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36DE3" w:rsidRPr="00536DE3" w:rsidRDefault="00536DE3" w:rsidP="00536DE3">
      <w:pPr>
        <w:spacing w:after="0" w:line="480" w:lineRule="auto"/>
        <w:jc w:val="both"/>
        <w:rPr>
          <w:rFonts w:ascii="Times New Roman" w:eastAsia="Times New Roman" w:hAnsi="Times New Roman" w:cs="Times New Roman"/>
          <w:b/>
          <w:sz w:val="24"/>
          <w:szCs w:val="24"/>
          <w:lang w:eastAsia="en-GB"/>
        </w:rPr>
      </w:pPr>
      <w:bookmarkStart w:id="0" w:name="_GoBack"/>
      <w:r w:rsidRPr="00536DE3">
        <w:rPr>
          <w:rFonts w:ascii="Times New Roman" w:eastAsia="Times New Roman" w:hAnsi="Times New Roman" w:cs="Times New Roman"/>
          <w:b/>
          <w:sz w:val="24"/>
          <w:szCs w:val="24"/>
          <w:lang w:eastAsia="en-GB"/>
        </w:rPr>
        <w:t xml:space="preserve">Neoliberal Nomads: Housing Insecurity and the Revival of Private Renting in the UK </w:t>
      </w:r>
    </w:p>
    <w:bookmarkEnd w:id="0"/>
    <w:p w:rsidR="00536DE3" w:rsidRPr="00536DE3" w:rsidRDefault="00536DE3" w:rsidP="00536DE3">
      <w:pPr>
        <w:spacing w:after="0" w:line="480" w:lineRule="auto"/>
        <w:ind w:left="540" w:right="926"/>
        <w:jc w:val="center"/>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Dr John D Bone</w:t>
      </w:r>
    </w:p>
    <w:p w:rsidR="00536DE3" w:rsidRPr="00536DE3" w:rsidRDefault="00536DE3" w:rsidP="00536DE3">
      <w:pPr>
        <w:spacing w:after="0" w:line="480" w:lineRule="auto"/>
        <w:ind w:left="540" w:right="926"/>
        <w:jc w:val="center"/>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Senior Lecturer</w:t>
      </w:r>
    </w:p>
    <w:p w:rsidR="00536DE3" w:rsidRPr="00536DE3" w:rsidRDefault="00536DE3" w:rsidP="00536DE3">
      <w:pPr>
        <w:spacing w:after="0" w:line="480" w:lineRule="auto"/>
        <w:ind w:left="540" w:right="926"/>
        <w:jc w:val="center"/>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School of Social Sciences</w:t>
      </w:r>
    </w:p>
    <w:p w:rsidR="00536DE3" w:rsidRPr="00536DE3" w:rsidRDefault="00536DE3" w:rsidP="00536DE3">
      <w:pPr>
        <w:spacing w:after="0" w:line="480" w:lineRule="auto"/>
        <w:ind w:left="540" w:right="926"/>
        <w:jc w:val="center"/>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F44 Edward Wright Building</w:t>
      </w:r>
    </w:p>
    <w:p w:rsidR="00536DE3" w:rsidRPr="00536DE3" w:rsidRDefault="00536DE3" w:rsidP="00536DE3">
      <w:pPr>
        <w:spacing w:after="0" w:line="480" w:lineRule="auto"/>
        <w:ind w:left="540" w:right="926"/>
        <w:jc w:val="center"/>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Dunbar Street</w:t>
      </w:r>
    </w:p>
    <w:p w:rsidR="00536DE3" w:rsidRPr="00536DE3" w:rsidRDefault="00536DE3" w:rsidP="00536DE3">
      <w:pPr>
        <w:spacing w:after="0" w:line="480" w:lineRule="auto"/>
        <w:ind w:left="540" w:right="926"/>
        <w:jc w:val="center"/>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University of Aberdeen</w:t>
      </w:r>
    </w:p>
    <w:p w:rsidR="00536DE3" w:rsidRPr="00536DE3" w:rsidRDefault="00536DE3" w:rsidP="00536DE3">
      <w:pPr>
        <w:spacing w:after="0" w:line="480" w:lineRule="auto"/>
        <w:ind w:left="540" w:right="926"/>
        <w:jc w:val="center"/>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AB24 3QY</w:t>
      </w:r>
    </w:p>
    <w:p w:rsidR="00536DE3" w:rsidRPr="00536DE3" w:rsidRDefault="00536DE3" w:rsidP="00536DE3">
      <w:pPr>
        <w:spacing w:after="0" w:line="480" w:lineRule="auto"/>
        <w:ind w:left="540" w:right="926"/>
        <w:jc w:val="center"/>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j.bone@abdn.ac.uk</w:t>
      </w:r>
    </w:p>
    <w:p w:rsidR="00536DE3" w:rsidRPr="00536DE3" w:rsidRDefault="00536DE3" w:rsidP="00536DE3">
      <w:pPr>
        <w:spacing w:after="0" w:line="480" w:lineRule="auto"/>
        <w:ind w:left="540" w:right="926"/>
        <w:jc w:val="center"/>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(01224) 274117</w:t>
      </w:r>
    </w:p>
    <w:p w:rsidR="00536DE3" w:rsidRPr="00536DE3" w:rsidRDefault="00536DE3" w:rsidP="00536DE3">
      <w:pPr>
        <w:spacing w:after="0" w:line="480" w:lineRule="auto"/>
        <w:ind w:left="540" w:right="926"/>
        <w:jc w:val="center"/>
        <w:rPr>
          <w:rFonts w:ascii="Times New Roman" w:eastAsia="Times New Roman" w:hAnsi="Times New Roman" w:cs="Times New Roman"/>
          <w:sz w:val="24"/>
          <w:szCs w:val="24"/>
          <w:lang w:eastAsia="en-GB"/>
        </w:rPr>
      </w:pPr>
    </w:p>
    <w:p w:rsidR="00536DE3" w:rsidRPr="00536DE3" w:rsidRDefault="00536DE3" w:rsidP="00536DE3">
      <w:pPr>
        <w:spacing w:after="0" w:line="480" w:lineRule="auto"/>
        <w:ind w:right="926"/>
        <w:rPr>
          <w:rFonts w:ascii="Times New Roman" w:eastAsia="Times New Roman" w:hAnsi="Times New Roman" w:cs="Times New Roman"/>
          <w:sz w:val="24"/>
          <w:szCs w:val="24"/>
          <w:lang w:eastAsia="en-GB"/>
        </w:rPr>
      </w:pPr>
    </w:p>
    <w:p w:rsidR="00536DE3" w:rsidRDefault="00536DE3" w:rsidP="00536DE3">
      <w:pPr>
        <w:spacing w:after="0" w:line="480" w:lineRule="auto"/>
        <w:ind w:right="-58"/>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John Bone is Senior Lecturer in Sociology at the University of Aberdeen. His research interests are in global political economy, social change and social theory. His work involves applying a develo</w:t>
      </w:r>
      <w:r w:rsidR="00333DAD">
        <w:rPr>
          <w:rFonts w:ascii="Times New Roman" w:eastAsia="Times New Roman" w:hAnsi="Times New Roman" w:cs="Times New Roman"/>
          <w:sz w:val="24"/>
          <w:szCs w:val="24"/>
          <w:lang w:eastAsia="en-GB"/>
        </w:rPr>
        <w:t xml:space="preserve">ping neurosociological theoretical model </w:t>
      </w:r>
      <w:r w:rsidRPr="00536DE3">
        <w:rPr>
          <w:rFonts w:ascii="Times New Roman" w:eastAsia="Times New Roman" w:hAnsi="Times New Roman" w:cs="Times New Roman"/>
          <w:sz w:val="24"/>
          <w:szCs w:val="24"/>
          <w:lang w:eastAsia="en-GB"/>
        </w:rPr>
        <w:t>to explore various ways in which the contemporary trajectory of global development and neo-liberal economic policy is affecting individuals and communities in terms of identities, working lives, well-being, social conflict and social cohesion.</w:t>
      </w:r>
    </w:p>
    <w:p w:rsidR="00A44FE1" w:rsidRPr="00536DE3" w:rsidRDefault="00A44FE1" w:rsidP="00536DE3">
      <w:pPr>
        <w:spacing w:after="0" w:line="480" w:lineRule="auto"/>
        <w:ind w:right="-58"/>
        <w:jc w:val="both"/>
        <w:rPr>
          <w:rFonts w:ascii="Times New Roman" w:eastAsia="Times New Roman" w:hAnsi="Times New Roman" w:cs="Times New Roman"/>
          <w:sz w:val="24"/>
          <w:szCs w:val="24"/>
          <w:lang w:eastAsia="en-GB"/>
        </w:rPr>
      </w:pPr>
    </w:p>
    <w:p w:rsidR="00536DE3" w:rsidRPr="00536DE3" w:rsidRDefault="00536DE3" w:rsidP="00536DE3">
      <w:pPr>
        <w:spacing w:after="0" w:line="480" w:lineRule="auto"/>
        <w:ind w:left="540" w:right="926"/>
        <w:jc w:val="center"/>
        <w:rPr>
          <w:rFonts w:ascii="Times New Roman" w:eastAsia="Times New Roman" w:hAnsi="Times New Roman" w:cs="Times New Roman"/>
          <w:sz w:val="24"/>
          <w:szCs w:val="24"/>
          <w:lang w:eastAsia="en-GB"/>
        </w:rPr>
      </w:pPr>
    </w:p>
    <w:p w:rsidR="00536DE3" w:rsidRPr="00536DE3" w:rsidRDefault="00536DE3" w:rsidP="00536DE3">
      <w:pPr>
        <w:spacing w:after="0" w:line="480" w:lineRule="auto"/>
        <w:ind w:left="540" w:right="926"/>
        <w:jc w:val="center"/>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 xml:space="preserve"> </w:t>
      </w:r>
    </w:p>
    <w:p w:rsidR="00536DE3" w:rsidRPr="00536DE3" w:rsidRDefault="00536DE3" w:rsidP="00536DE3">
      <w:pPr>
        <w:spacing w:after="0" w:line="480" w:lineRule="auto"/>
        <w:jc w:val="both"/>
        <w:rPr>
          <w:rFonts w:ascii="Times New Roman" w:eastAsia="Times New Roman" w:hAnsi="Times New Roman" w:cs="Times New Roman"/>
          <w:b/>
          <w:sz w:val="24"/>
          <w:szCs w:val="24"/>
          <w:lang w:eastAsia="en-GB"/>
        </w:rPr>
      </w:pPr>
    </w:p>
    <w:p w:rsidR="00536DE3" w:rsidRPr="00536DE3" w:rsidRDefault="00536DE3" w:rsidP="00536DE3">
      <w:pPr>
        <w:spacing w:after="0" w:line="480" w:lineRule="auto"/>
        <w:jc w:val="both"/>
        <w:rPr>
          <w:rFonts w:ascii="Times New Roman" w:eastAsia="Times New Roman" w:hAnsi="Times New Roman" w:cs="Times New Roman"/>
          <w:b/>
          <w:sz w:val="24"/>
          <w:szCs w:val="24"/>
          <w:lang w:eastAsia="en-GB"/>
        </w:rPr>
      </w:pPr>
    </w:p>
    <w:p w:rsidR="00536DE3" w:rsidRPr="00536DE3" w:rsidRDefault="00536DE3" w:rsidP="00536DE3">
      <w:pPr>
        <w:spacing w:after="0" w:line="480" w:lineRule="auto"/>
        <w:jc w:val="both"/>
        <w:rPr>
          <w:rFonts w:ascii="Times New Roman" w:eastAsia="Times New Roman" w:hAnsi="Times New Roman" w:cs="Times New Roman"/>
          <w:b/>
          <w:sz w:val="24"/>
          <w:szCs w:val="24"/>
          <w:lang w:eastAsia="en-GB"/>
        </w:rPr>
      </w:pPr>
    </w:p>
    <w:p w:rsidR="00536DE3" w:rsidRPr="00536DE3" w:rsidRDefault="00536DE3" w:rsidP="00536DE3">
      <w:pPr>
        <w:spacing w:after="0" w:line="480" w:lineRule="auto"/>
        <w:jc w:val="both"/>
        <w:rPr>
          <w:rFonts w:ascii="Times New Roman" w:eastAsia="Times New Roman" w:hAnsi="Times New Roman" w:cs="Times New Roman"/>
          <w:b/>
          <w:sz w:val="24"/>
          <w:szCs w:val="24"/>
          <w:lang w:eastAsia="en-GB"/>
        </w:rPr>
      </w:pPr>
    </w:p>
    <w:p w:rsidR="00536DE3" w:rsidRPr="00536DE3" w:rsidRDefault="00536DE3" w:rsidP="00536DE3">
      <w:pPr>
        <w:spacing w:after="0" w:line="480" w:lineRule="auto"/>
        <w:jc w:val="both"/>
        <w:rPr>
          <w:rFonts w:ascii="Times New Roman" w:eastAsia="Times New Roman" w:hAnsi="Times New Roman" w:cs="Times New Roman"/>
          <w:b/>
          <w:sz w:val="24"/>
          <w:szCs w:val="24"/>
          <w:lang w:eastAsia="en-GB"/>
        </w:rPr>
      </w:pPr>
      <w:r w:rsidRPr="00536DE3">
        <w:rPr>
          <w:rFonts w:ascii="Times New Roman" w:eastAsia="Times New Roman" w:hAnsi="Times New Roman" w:cs="Times New Roman"/>
          <w:b/>
          <w:sz w:val="24"/>
          <w:szCs w:val="24"/>
          <w:lang w:eastAsia="en-GB"/>
        </w:rPr>
        <w:lastRenderedPageBreak/>
        <w:t xml:space="preserve">Neoliberal Nomads: Housing Insecurity and the Revival of Private Renting in the UK </w:t>
      </w:r>
    </w:p>
    <w:p w:rsidR="00536DE3" w:rsidRPr="00536DE3" w:rsidRDefault="00536DE3" w:rsidP="00536DE3">
      <w:pPr>
        <w:spacing w:after="0" w:line="480" w:lineRule="auto"/>
        <w:ind w:right="926"/>
        <w:jc w:val="both"/>
        <w:rPr>
          <w:rFonts w:ascii="Times New Roman" w:eastAsia="Times New Roman" w:hAnsi="Times New Roman" w:cs="Times New Roman"/>
          <w:sz w:val="24"/>
          <w:szCs w:val="24"/>
          <w:lang w:eastAsia="en-GB"/>
        </w:rPr>
      </w:pPr>
    </w:p>
    <w:p w:rsidR="00536DE3" w:rsidRPr="00536DE3" w:rsidRDefault="00536DE3" w:rsidP="00536DE3">
      <w:pPr>
        <w:spacing w:after="0" w:line="480" w:lineRule="auto"/>
        <w:ind w:right="926"/>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Abstract</w:t>
      </w:r>
    </w:p>
    <w:p w:rsidR="00536DE3" w:rsidRPr="00536DE3" w:rsidRDefault="00536DE3" w:rsidP="00536DE3">
      <w:pPr>
        <w:spacing w:after="0" w:line="480" w:lineRule="auto"/>
        <w:ind w:left="540" w:right="926"/>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This paper offers a critical analysis, including insights from the fledgling sub-discipline of neurosociology, with the aim of challenging some of the key assumptions informing the state supported revival of the UK private rented sector (PRS) as a mainstream form of housing tenure. As is widely recognised, the PRS’s expansion has occurred in tandem with the long running decline of social housing and the more recent reversal in the longstanding trend towards increasing owner occupation. This paper assert</w:t>
      </w:r>
      <w:r w:rsidR="009F7B72">
        <w:rPr>
          <w:rFonts w:ascii="Times New Roman" w:eastAsia="Times New Roman" w:hAnsi="Times New Roman" w:cs="Times New Roman"/>
          <w:sz w:val="24"/>
          <w:szCs w:val="24"/>
          <w:lang w:eastAsia="en-GB"/>
        </w:rPr>
        <w:t>s</w:t>
      </w:r>
      <w:r w:rsidRPr="00536DE3">
        <w:rPr>
          <w:rFonts w:ascii="Times New Roman" w:eastAsia="Times New Roman" w:hAnsi="Times New Roman" w:cs="Times New Roman"/>
          <w:sz w:val="24"/>
          <w:szCs w:val="24"/>
          <w:lang w:eastAsia="en-GB"/>
        </w:rPr>
        <w:t xml:space="preserve"> that the policies supporting this overall trend are misconceived on a number of fronts, as the loosely regulated UK private rented sector is not only a major contributor to the country’s ongoing housing crisis but carries with it a range of unacknowledged economic and social problems including profound effects on personal well-being, some fairly evident and others less so. With respect to the latter, it is argued that coming to an understanding of the negative implications of private renting in the UK under current arrangements, in addition to the more evident issues associated with poor condition and high cost accommodation, also requires an appreciation of the deeper psycho-social effects of involuntary mobility, insecurity and socio-spatial dislocation. </w:t>
      </w:r>
    </w:p>
    <w:p w:rsidR="00536DE3" w:rsidRPr="00536DE3" w:rsidRDefault="00536DE3" w:rsidP="00536DE3">
      <w:pPr>
        <w:spacing w:after="0" w:line="480" w:lineRule="auto"/>
        <w:ind w:left="567" w:right="926"/>
        <w:jc w:val="both"/>
        <w:rPr>
          <w:rFonts w:ascii="Times New Roman" w:eastAsia="Times New Roman" w:hAnsi="Times New Roman" w:cs="Times New Roman"/>
          <w:sz w:val="24"/>
          <w:szCs w:val="24"/>
          <w:lang w:eastAsia="en-GB"/>
        </w:rPr>
      </w:pPr>
    </w:p>
    <w:p w:rsidR="00536DE3" w:rsidRPr="00536DE3" w:rsidRDefault="00536DE3" w:rsidP="00536DE3">
      <w:pPr>
        <w:spacing w:after="0" w:line="480" w:lineRule="auto"/>
        <w:ind w:left="567" w:right="926"/>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 xml:space="preserve">Keywords: Landlordism; Neoliberalism; </w:t>
      </w:r>
      <w:r w:rsidR="00A44FE1">
        <w:rPr>
          <w:rFonts w:ascii="Times New Roman" w:eastAsia="Times New Roman" w:hAnsi="Times New Roman" w:cs="Times New Roman"/>
          <w:sz w:val="24"/>
          <w:szCs w:val="24"/>
          <w:lang w:eastAsia="en-GB"/>
        </w:rPr>
        <w:t>Housing;</w:t>
      </w:r>
      <w:r w:rsidRPr="00536DE3">
        <w:rPr>
          <w:rFonts w:ascii="Times New Roman" w:eastAsia="Times New Roman" w:hAnsi="Times New Roman" w:cs="Times New Roman"/>
          <w:sz w:val="24"/>
          <w:szCs w:val="24"/>
          <w:lang w:eastAsia="en-GB"/>
        </w:rPr>
        <w:t xml:space="preserve"> </w:t>
      </w:r>
      <w:r w:rsidR="00A44FE1">
        <w:rPr>
          <w:rFonts w:ascii="Times New Roman" w:eastAsia="Times New Roman" w:hAnsi="Times New Roman" w:cs="Times New Roman"/>
          <w:sz w:val="24"/>
          <w:szCs w:val="24"/>
          <w:lang w:eastAsia="en-GB"/>
        </w:rPr>
        <w:t>‘Generation Rent’; Precarity; Neurosociology</w:t>
      </w:r>
      <w:r w:rsidRPr="00536DE3">
        <w:rPr>
          <w:rFonts w:ascii="Times New Roman" w:eastAsia="Times New Roman" w:hAnsi="Times New Roman" w:cs="Times New Roman"/>
          <w:sz w:val="24"/>
          <w:szCs w:val="24"/>
          <w:lang w:eastAsia="en-GB"/>
        </w:rPr>
        <w:t>.</w:t>
      </w:r>
    </w:p>
    <w:p w:rsidR="00536DE3" w:rsidRPr="00536DE3" w:rsidRDefault="00536DE3" w:rsidP="00536DE3">
      <w:pPr>
        <w:spacing w:after="0" w:line="480" w:lineRule="auto"/>
        <w:ind w:right="26"/>
        <w:jc w:val="both"/>
        <w:rPr>
          <w:rFonts w:ascii="Times New Roman" w:eastAsia="Times New Roman" w:hAnsi="Times New Roman" w:cs="Times New Roman"/>
          <w:b/>
          <w:sz w:val="24"/>
          <w:szCs w:val="24"/>
          <w:lang w:eastAsia="en-GB"/>
        </w:rPr>
      </w:pPr>
    </w:p>
    <w:p w:rsidR="00536DE3" w:rsidRPr="00536DE3" w:rsidRDefault="00536DE3" w:rsidP="00536DE3">
      <w:pPr>
        <w:spacing w:after="0" w:line="480" w:lineRule="auto"/>
        <w:ind w:right="26"/>
        <w:jc w:val="both"/>
        <w:rPr>
          <w:rFonts w:ascii="Times New Roman" w:eastAsia="Times New Roman" w:hAnsi="Times New Roman" w:cs="Times New Roman"/>
          <w:b/>
          <w:sz w:val="24"/>
          <w:szCs w:val="24"/>
          <w:lang w:eastAsia="en-GB"/>
        </w:rPr>
      </w:pPr>
    </w:p>
    <w:p w:rsidR="00536DE3" w:rsidRPr="00B7096E" w:rsidRDefault="00536DE3" w:rsidP="00536DE3">
      <w:pPr>
        <w:spacing w:after="0" w:line="480" w:lineRule="auto"/>
        <w:ind w:right="26"/>
        <w:jc w:val="both"/>
        <w:rPr>
          <w:rFonts w:ascii="Times New Roman" w:eastAsia="Times New Roman" w:hAnsi="Times New Roman" w:cs="Times New Roman"/>
          <w:b/>
          <w:sz w:val="24"/>
          <w:szCs w:val="24"/>
          <w:lang w:eastAsia="en-GB"/>
        </w:rPr>
      </w:pPr>
      <w:r w:rsidRPr="00B7096E">
        <w:rPr>
          <w:rFonts w:ascii="Times New Roman" w:eastAsia="Times New Roman" w:hAnsi="Times New Roman" w:cs="Times New Roman"/>
          <w:b/>
          <w:sz w:val="24"/>
          <w:szCs w:val="24"/>
          <w:lang w:eastAsia="en-GB"/>
        </w:rPr>
        <w:lastRenderedPageBreak/>
        <w:t>Introduction</w:t>
      </w:r>
    </w:p>
    <w:p w:rsidR="00536DE3" w:rsidRPr="00536DE3" w:rsidRDefault="00536DE3" w:rsidP="00536DE3">
      <w:pPr>
        <w:spacing w:after="0" w:line="480" w:lineRule="auto"/>
        <w:ind w:left="567" w:right="1088"/>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color w:val="333333"/>
          <w:sz w:val="24"/>
          <w:szCs w:val="24"/>
          <w:lang w:val="en" w:eastAsia="en-GB"/>
        </w:rPr>
        <w:t>A family on average income is nowhere near able to afford a house at the average price (Vince Cable, Business Secretary, 4 April 2013)</w:t>
      </w:r>
    </w:p>
    <w:p w:rsidR="00536DE3" w:rsidRPr="00536DE3" w:rsidRDefault="00536DE3" w:rsidP="00536DE3">
      <w:pPr>
        <w:spacing w:after="0" w:line="480" w:lineRule="auto"/>
        <w:ind w:right="26"/>
        <w:jc w:val="both"/>
        <w:rPr>
          <w:rFonts w:ascii="Times New Roman" w:eastAsia="Times New Roman" w:hAnsi="Times New Roman" w:cs="Times New Roman"/>
          <w:sz w:val="24"/>
          <w:szCs w:val="24"/>
          <w:lang w:eastAsia="en-GB"/>
        </w:rPr>
      </w:pPr>
    </w:p>
    <w:p w:rsidR="00536DE3" w:rsidRPr="00536DE3" w:rsidRDefault="00536DE3" w:rsidP="00536DE3">
      <w:pPr>
        <w:spacing w:after="0" w:line="480" w:lineRule="auto"/>
        <w:ind w:right="26"/>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It is clear that the UK has a serious housing crisis, an issue subject to growing public, media and political debate. This has largely been precipitated by the contraction of the social housing sector over the last 30 years or so and, more recently, by a reversal in the long running expansion of</w:t>
      </w:r>
      <w:r w:rsidR="005E17DB">
        <w:rPr>
          <w:rFonts w:ascii="Times New Roman" w:eastAsia="Times New Roman" w:hAnsi="Times New Roman" w:cs="Times New Roman"/>
          <w:sz w:val="24"/>
          <w:szCs w:val="24"/>
          <w:lang w:eastAsia="en-GB"/>
        </w:rPr>
        <w:t xml:space="preserve"> owner occupation</w:t>
      </w:r>
      <w:r w:rsidR="009F7B72">
        <w:rPr>
          <w:rFonts w:ascii="Times New Roman" w:eastAsia="Times New Roman" w:hAnsi="Times New Roman" w:cs="Times New Roman"/>
          <w:sz w:val="24"/>
          <w:szCs w:val="24"/>
          <w:lang w:eastAsia="en-GB"/>
        </w:rPr>
        <w:t>,</w:t>
      </w:r>
      <w:r w:rsidR="003F40A5">
        <w:rPr>
          <w:rFonts w:ascii="Times New Roman" w:eastAsia="Times New Roman" w:hAnsi="Times New Roman" w:cs="Times New Roman"/>
          <w:sz w:val="24"/>
          <w:szCs w:val="24"/>
          <w:lang w:eastAsia="en-GB"/>
        </w:rPr>
        <w:t xml:space="preserve"> which</w:t>
      </w:r>
      <w:r w:rsidRPr="00536DE3">
        <w:rPr>
          <w:rFonts w:ascii="Times New Roman" w:eastAsia="Times New Roman" w:hAnsi="Times New Roman" w:cs="Times New Roman"/>
          <w:sz w:val="24"/>
          <w:szCs w:val="24"/>
          <w:lang w:eastAsia="en-GB"/>
        </w:rPr>
        <w:t xml:space="preserve"> has been rendered prohibitively expensive for many new entrants since the ‘noughties’ house price boom. Evident</w:t>
      </w:r>
      <w:r w:rsidR="00291FF7">
        <w:rPr>
          <w:rFonts w:ascii="Times New Roman" w:eastAsia="Times New Roman" w:hAnsi="Times New Roman" w:cs="Times New Roman"/>
          <w:sz w:val="24"/>
          <w:szCs w:val="24"/>
          <w:lang w:eastAsia="en-GB"/>
        </w:rPr>
        <w:t xml:space="preserve">ly, the latter was driven </w:t>
      </w:r>
      <w:r w:rsidRPr="00536DE3">
        <w:rPr>
          <w:rFonts w:ascii="Times New Roman" w:eastAsia="Times New Roman" w:hAnsi="Times New Roman" w:cs="Times New Roman"/>
          <w:sz w:val="24"/>
          <w:szCs w:val="24"/>
          <w:lang w:eastAsia="en-GB"/>
        </w:rPr>
        <w:t>by the pre-crisis expansion of mortgage credit offered by a d</w:t>
      </w:r>
      <w:r w:rsidR="00291FF7">
        <w:rPr>
          <w:rFonts w:ascii="Times New Roman" w:eastAsia="Times New Roman" w:hAnsi="Times New Roman" w:cs="Times New Roman"/>
          <w:sz w:val="24"/>
          <w:szCs w:val="24"/>
          <w:lang w:eastAsia="en-GB"/>
        </w:rPr>
        <w:t>e</w:t>
      </w:r>
      <w:r w:rsidR="004F22E3">
        <w:rPr>
          <w:rFonts w:ascii="Times New Roman" w:eastAsia="Times New Roman" w:hAnsi="Times New Roman" w:cs="Times New Roman"/>
          <w:sz w:val="24"/>
          <w:szCs w:val="24"/>
          <w:lang w:eastAsia="en-GB"/>
        </w:rPr>
        <w:t xml:space="preserve">regulated </w:t>
      </w:r>
      <w:r w:rsidR="0048026C">
        <w:rPr>
          <w:rFonts w:ascii="Times New Roman" w:eastAsia="Times New Roman" w:hAnsi="Times New Roman" w:cs="Times New Roman"/>
          <w:sz w:val="24"/>
          <w:szCs w:val="24"/>
          <w:lang w:eastAsia="en-GB"/>
        </w:rPr>
        <w:t>banking</w:t>
      </w:r>
      <w:r w:rsidR="004F22E3">
        <w:rPr>
          <w:rFonts w:ascii="Times New Roman" w:eastAsia="Times New Roman" w:hAnsi="Times New Roman" w:cs="Times New Roman"/>
          <w:sz w:val="24"/>
          <w:szCs w:val="24"/>
          <w:lang w:eastAsia="en-GB"/>
        </w:rPr>
        <w:t xml:space="preserve"> sector</w:t>
      </w:r>
      <w:r w:rsidR="0048026C">
        <w:rPr>
          <w:rFonts w:ascii="Times New Roman" w:eastAsia="Times New Roman" w:hAnsi="Times New Roman" w:cs="Times New Roman"/>
          <w:sz w:val="24"/>
          <w:szCs w:val="24"/>
          <w:lang w:eastAsia="en-GB"/>
        </w:rPr>
        <w:t xml:space="preserve">, </w:t>
      </w:r>
      <w:r w:rsidR="00D12B1D">
        <w:rPr>
          <w:rFonts w:ascii="Times New Roman" w:eastAsia="Times New Roman" w:hAnsi="Times New Roman" w:cs="Times New Roman"/>
          <w:sz w:val="24"/>
          <w:szCs w:val="24"/>
          <w:lang w:eastAsia="en-GB"/>
        </w:rPr>
        <w:t>and facilitated</w:t>
      </w:r>
      <w:r w:rsidR="004F22E3">
        <w:rPr>
          <w:rFonts w:ascii="Times New Roman" w:eastAsia="Times New Roman" w:hAnsi="Times New Roman" w:cs="Times New Roman"/>
          <w:sz w:val="24"/>
          <w:szCs w:val="24"/>
          <w:lang w:eastAsia="en-GB"/>
        </w:rPr>
        <w:t xml:space="preserve"> by</w:t>
      </w:r>
      <w:r w:rsidR="00222915">
        <w:rPr>
          <w:rFonts w:ascii="Times New Roman" w:eastAsia="Times New Roman" w:hAnsi="Times New Roman" w:cs="Times New Roman"/>
          <w:sz w:val="24"/>
          <w:szCs w:val="24"/>
          <w:lang w:eastAsia="en-GB"/>
        </w:rPr>
        <w:t xml:space="preserve"> its employment of</w:t>
      </w:r>
      <w:r w:rsidR="00291FF7">
        <w:rPr>
          <w:rFonts w:ascii="Times New Roman" w:eastAsia="Times New Roman" w:hAnsi="Times New Roman" w:cs="Times New Roman"/>
          <w:sz w:val="24"/>
          <w:szCs w:val="24"/>
          <w:lang w:eastAsia="en-GB"/>
        </w:rPr>
        <w:t xml:space="preserve"> </w:t>
      </w:r>
      <w:r w:rsidRPr="00536DE3">
        <w:rPr>
          <w:rFonts w:ascii="Times New Roman" w:eastAsia="Times New Roman" w:hAnsi="Times New Roman" w:cs="Times New Roman"/>
          <w:sz w:val="24"/>
          <w:szCs w:val="24"/>
          <w:lang w:eastAsia="en-GB"/>
        </w:rPr>
        <w:t xml:space="preserve">increasingly </w:t>
      </w:r>
      <w:r w:rsidR="00291FF7">
        <w:rPr>
          <w:rFonts w:ascii="Times New Roman" w:eastAsia="Times New Roman" w:hAnsi="Times New Roman" w:cs="Times New Roman"/>
          <w:sz w:val="24"/>
          <w:szCs w:val="24"/>
          <w:lang w:eastAsia="en-GB"/>
        </w:rPr>
        <w:t>‘</w:t>
      </w:r>
      <w:r w:rsidRPr="00536DE3">
        <w:rPr>
          <w:rFonts w:ascii="Times New Roman" w:eastAsia="Times New Roman" w:hAnsi="Times New Roman" w:cs="Times New Roman"/>
          <w:sz w:val="24"/>
          <w:szCs w:val="24"/>
          <w:lang w:eastAsia="en-GB"/>
        </w:rPr>
        <w:t>innova</w:t>
      </w:r>
      <w:r w:rsidR="007D65E0">
        <w:rPr>
          <w:rFonts w:ascii="Times New Roman" w:eastAsia="Times New Roman" w:hAnsi="Times New Roman" w:cs="Times New Roman"/>
          <w:sz w:val="24"/>
          <w:szCs w:val="24"/>
          <w:lang w:eastAsia="en-GB"/>
        </w:rPr>
        <w:t>tive</w:t>
      </w:r>
      <w:r w:rsidR="00291FF7">
        <w:rPr>
          <w:rFonts w:ascii="Times New Roman" w:eastAsia="Times New Roman" w:hAnsi="Times New Roman" w:cs="Times New Roman"/>
          <w:sz w:val="24"/>
          <w:szCs w:val="24"/>
          <w:lang w:eastAsia="en-GB"/>
        </w:rPr>
        <w:t>’</w:t>
      </w:r>
      <w:r w:rsidR="00D12B1D">
        <w:rPr>
          <w:rFonts w:ascii="Times New Roman" w:eastAsia="Times New Roman" w:hAnsi="Times New Roman" w:cs="Times New Roman"/>
          <w:sz w:val="24"/>
          <w:szCs w:val="24"/>
          <w:lang w:eastAsia="en-GB"/>
        </w:rPr>
        <w:t xml:space="preserve"> financial engineering. T</w:t>
      </w:r>
      <w:r w:rsidRPr="00536DE3">
        <w:rPr>
          <w:rFonts w:ascii="Times New Roman" w:eastAsia="Times New Roman" w:hAnsi="Times New Roman" w:cs="Times New Roman"/>
          <w:sz w:val="24"/>
          <w:szCs w:val="24"/>
          <w:lang w:eastAsia="en-GB"/>
        </w:rPr>
        <w:t>he growth and proliferation of mortgage products</w:t>
      </w:r>
      <w:r w:rsidR="00D12B1D">
        <w:rPr>
          <w:rFonts w:ascii="Times New Roman" w:eastAsia="Times New Roman" w:hAnsi="Times New Roman" w:cs="Times New Roman"/>
          <w:sz w:val="24"/>
          <w:szCs w:val="24"/>
          <w:lang w:eastAsia="en-GB"/>
        </w:rPr>
        <w:t xml:space="preserve">, in turn, </w:t>
      </w:r>
      <w:r w:rsidRPr="00536DE3">
        <w:rPr>
          <w:rFonts w:ascii="Times New Roman" w:eastAsia="Times New Roman" w:hAnsi="Times New Roman" w:cs="Times New Roman"/>
          <w:sz w:val="24"/>
          <w:szCs w:val="24"/>
          <w:lang w:eastAsia="en-GB"/>
        </w:rPr>
        <w:t xml:space="preserve">funded a rise in speculative </w:t>
      </w:r>
      <w:r w:rsidR="00291FF7">
        <w:rPr>
          <w:rFonts w:ascii="Times New Roman" w:eastAsia="Times New Roman" w:hAnsi="Times New Roman" w:cs="Times New Roman"/>
          <w:sz w:val="24"/>
          <w:szCs w:val="24"/>
          <w:lang w:eastAsia="en-GB"/>
        </w:rPr>
        <w:t>property investment from, mainly</w:t>
      </w:r>
      <w:r w:rsidRPr="00536DE3">
        <w:rPr>
          <w:rFonts w:ascii="Times New Roman" w:eastAsia="Times New Roman" w:hAnsi="Times New Roman" w:cs="Times New Roman"/>
          <w:sz w:val="24"/>
          <w:szCs w:val="24"/>
          <w:lang w:eastAsia="en-GB"/>
        </w:rPr>
        <w:t>, small scale investors seeking to capitalise on rising prices and rents. The consequent pro</w:t>
      </w:r>
      <w:r w:rsidR="0048026C">
        <w:rPr>
          <w:rFonts w:ascii="Times New Roman" w:eastAsia="Times New Roman" w:hAnsi="Times New Roman" w:cs="Times New Roman"/>
          <w:sz w:val="24"/>
          <w:szCs w:val="24"/>
          <w:lang w:eastAsia="en-GB"/>
        </w:rPr>
        <w:t xml:space="preserve">blems of rising costs </w:t>
      </w:r>
      <w:r w:rsidRPr="00536DE3">
        <w:rPr>
          <w:rFonts w:ascii="Times New Roman" w:eastAsia="Times New Roman" w:hAnsi="Times New Roman" w:cs="Times New Roman"/>
          <w:sz w:val="24"/>
          <w:szCs w:val="24"/>
          <w:lang w:eastAsia="en-GB"/>
        </w:rPr>
        <w:t>and competition ensuing from the extended financialisation of the UK housing market prompted policymakers across the mainstream political spectrum, in addition to offering various schemes to support mortgage lending, to turn to a resurgent private renting sector (PRS) as the main housing solution for the growing numbers now unable to buy or, alternatively, to access increasingly scarce social housing (Author 2010). This paper argues, however, that in addition to the ironie</w:t>
      </w:r>
      <w:r w:rsidR="0048026C">
        <w:rPr>
          <w:rFonts w:ascii="Times New Roman" w:eastAsia="Times New Roman" w:hAnsi="Times New Roman" w:cs="Times New Roman"/>
          <w:sz w:val="24"/>
          <w:szCs w:val="24"/>
          <w:lang w:eastAsia="en-GB"/>
        </w:rPr>
        <w:t xml:space="preserve">s inherent in advocating </w:t>
      </w:r>
      <w:r w:rsidRPr="00536DE3">
        <w:rPr>
          <w:rFonts w:ascii="Times New Roman" w:eastAsia="Times New Roman" w:hAnsi="Times New Roman" w:cs="Times New Roman"/>
          <w:sz w:val="24"/>
          <w:szCs w:val="24"/>
          <w:lang w:eastAsia="en-GB"/>
        </w:rPr>
        <w:t>causal fac</w:t>
      </w:r>
      <w:r w:rsidR="0048026C">
        <w:rPr>
          <w:rFonts w:ascii="Times New Roman" w:eastAsia="Times New Roman" w:hAnsi="Times New Roman" w:cs="Times New Roman"/>
          <w:sz w:val="24"/>
          <w:szCs w:val="24"/>
          <w:lang w:eastAsia="en-GB"/>
        </w:rPr>
        <w:t xml:space="preserve">tors of the housing crisis as </w:t>
      </w:r>
      <w:r w:rsidRPr="00536DE3">
        <w:rPr>
          <w:rFonts w:ascii="Times New Roman" w:eastAsia="Times New Roman" w:hAnsi="Times New Roman" w:cs="Times New Roman"/>
          <w:sz w:val="24"/>
          <w:szCs w:val="24"/>
          <w:lang w:eastAsia="en-GB"/>
        </w:rPr>
        <w:t>potential solution</w:t>
      </w:r>
      <w:r w:rsidR="0048026C">
        <w:rPr>
          <w:rFonts w:ascii="Times New Roman" w:eastAsia="Times New Roman" w:hAnsi="Times New Roman" w:cs="Times New Roman"/>
          <w:sz w:val="24"/>
          <w:szCs w:val="24"/>
          <w:lang w:eastAsia="en-GB"/>
        </w:rPr>
        <w:t>s</w:t>
      </w:r>
      <w:r w:rsidRPr="00536DE3">
        <w:rPr>
          <w:rFonts w:ascii="Times New Roman" w:eastAsia="Times New Roman" w:hAnsi="Times New Roman" w:cs="Times New Roman"/>
          <w:sz w:val="24"/>
          <w:szCs w:val="24"/>
          <w:lang w:eastAsia="en-GB"/>
        </w:rPr>
        <w:t xml:space="preserve">, the promotion of the UK PRS in its current form is also misguided from the standpoint that, for a variety of reasons outlined here, it is wholly unsuitable as a mainstream housing tenure. </w:t>
      </w:r>
    </w:p>
    <w:p w:rsidR="00536DE3" w:rsidRPr="00536DE3" w:rsidRDefault="00536DE3" w:rsidP="00536DE3">
      <w:pPr>
        <w:spacing w:after="0" w:line="480" w:lineRule="auto"/>
        <w:ind w:right="26"/>
        <w:jc w:val="both"/>
        <w:rPr>
          <w:rFonts w:ascii="Times New Roman" w:eastAsia="Times New Roman" w:hAnsi="Times New Roman" w:cs="Times New Roman"/>
          <w:sz w:val="24"/>
          <w:szCs w:val="24"/>
          <w:lang w:eastAsia="en-GB"/>
        </w:rPr>
      </w:pPr>
    </w:p>
    <w:p w:rsidR="00536DE3" w:rsidRPr="00536DE3" w:rsidRDefault="00536DE3" w:rsidP="00536DE3">
      <w:pPr>
        <w:spacing w:after="0" w:line="480" w:lineRule="auto"/>
        <w:ind w:right="26"/>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 xml:space="preserve">The paper draws on a range of sources and theoretical perspectives, including important insights from the fledgling field of neurosociology, to argue that the problems associated </w:t>
      </w:r>
      <w:r w:rsidRPr="00536DE3">
        <w:rPr>
          <w:rFonts w:ascii="Times New Roman" w:eastAsia="Times New Roman" w:hAnsi="Times New Roman" w:cs="Times New Roman"/>
          <w:sz w:val="24"/>
          <w:szCs w:val="24"/>
          <w:lang w:eastAsia="en-GB"/>
        </w:rPr>
        <w:lastRenderedPageBreak/>
        <w:t>with the return to mass private renting in the UK, and particularly the chronic insecurity of tenure experienced by many private sector tenants, may be generating significantly more profound negative social and personal effects than are currently acknowledged. These issues are explored within the context of an overview of the historical and contemporary problems associated with private renting and, indeed, recent UK housing policy more generally.</w:t>
      </w:r>
    </w:p>
    <w:p w:rsidR="00536DE3" w:rsidRPr="00536DE3" w:rsidRDefault="00536DE3" w:rsidP="00536DE3">
      <w:pPr>
        <w:spacing w:after="0" w:line="480" w:lineRule="auto"/>
        <w:ind w:right="926"/>
        <w:jc w:val="both"/>
        <w:rPr>
          <w:rFonts w:ascii="Times New Roman" w:eastAsia="Times New Roman" w:hAnsi="Times New Roman" w:cs="Times New Roman"/>
          <w:b/>
          <w:sz w:val="24"/>
          <w:szCs w:val="24"/>
          <w:lang w:eastAsia="en-GB"/>
        </w:rPr>
      </w:pPr>
    </w:p>
    <w:p w:rsidR="00536DE3" w:rsidRPr="00536DE3" w:rsidRDefault="00536DE3" w:rsidP="00536DE3">
      <w:pPr>
        <w:spacing w:after="0" w:line="480" w:lineRule="auto"/>
        <w:ind w:right="926"/>
        <w:jc w:val="both"/>
        <w:rPr>
          <w:rFonts w:ascii="Times New Roman" w:eastAsia="Times New Roman" w:hAnsi="Times New Roman" w:cs="Times New Roman"/>
          <w:sz w:val="20"/>
          <w:szCs w:val="20"/>
          <w:lang w:eastAsia="en-GB"/>
        </w:rPr>
      </w:pPr>
      <w:r w:rsidRPr="00536DE3">
        <w:rPr>
          <w:rFonts w:ascii="Times New Roman" w:eastAsia="Times New Roman" w:hAnsi="Times New Roman" w:cs="Times New Roman"/>
          <w:b/>
          <w:sz w:val="24"/>
          <w:szCs w:val="24"/>
          <w:lang w:eastAsia="en-GB"/>
        </w:rPr>
        <w:t>Private Renting in the UK</w:t>
      </w:r>
      <w:r w:rsidRPr="00536DE3">
        <w:rPr>
          <w:rFonts w:ascii="Times New Roman" w:eastAsia="Times New Roman" w:hAnsi="Times New Roman" w:cs="Times New Roman"/>
          <w:sz w:val="20"/>
          <w:szCs w:val="20"/>
          <w:lang w:eastAsia="en-GB"/>
        </w:rPr>
        <w:t xml:space="preserve"> </w:t>
      </w:r>
    </w:p>
    <w:p w:rsidR="00536DE3" w:rsidRPr="00536DE3" w:rsidRDefault="00536DE3" w:rsidP="00536DE3">
      <w:pPr>
        <w:spacing w:after="0" w:line="480" w:lineRule="auto"/>
        <w:ind w:left="540" w:right="926"/>
        <w:jc w:val="both"/>
        <w:rPr>
          <w:rFonts w:ascii="Times New Roman" w:eastAsia="Times New Roman" w:hAnsi="Times New Roman" w:cs="Times New Roman"/>
          <w:sz w:val="20"/>
          <w:szCs w:val="20"/>
          <w:lang w:eastAsia="en-GB"/>
        </w:rPr>
      </w:pPr>
    </w:p>
    <w:p w:rsidR="00536DE3" w:rsidRPr="00536DE3" w:rsidRDefault="00536DE3" w:rsidP="00536DE3">
      <w:pPr>
        <w:spacing w:after="0" w:line="480" w:lineRule="auto"/>
        <w:ind w:left="540" w:right="926"/>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 xml:space="preserve">Private renting was a housing tenure in terminal decline through most of the twentieth century. In the 1920’s, powerful and subsidized competitors, owner occupation and council housing, began to eat into the historic position of private renting as the normal housing tenure of nineteenth-century industrial society (Lowe 2007 p. 2-3). </w:t>
      </w:r>
    </w:p>
    <w:p w:rsidR="00536DE3" w:rsidRPr="00536DE3" w:rsidRDefault="00536DE3" w:rsidP="00536DE3">
      <w:pPr>
        <w:spacing w:after="0" w:line="480" w:lineRule="auto"/>
        <w:ind w:left="540" w:right="926"/>
        <w:jc w:val="both"/>
        <w:rPr>
          <w:rFonts w:ascii="Times New Roman" w:eastAsia="Times New Roman" w:hAnsi="Times New Roman" w:cs="Times New Roman"/>
          <w:sz w:val="24"/>
          <w:szCs w:val="24"/>
          <w:lang w:eastAsia="en-GB"/>
        </w:rPr>
      </w:pP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Throughout the 19</w:t>
      </w:r>
      <w:r w:rsidRPr="00536DE3">
        <w:rPr>
          <w:rFonts w:ascii="Times New Roman" w:eastAsia="Times New Roman" w:hAnsi="Times New Roman" w:cs="Times New Roman"/>
          <w:sz w:val="24"/>
          <w:szCs w:val="24"/>
          <w:vertAlign w:val="superscript"/>
          <w:lang w:eastAsia="en-GB"/>
        </w:rPr>
        <w:t>th</w:t>
      </w:r>
      <w:r w:rsidRPr="00536DE3">
        <w:rPr>
          <w:rFonts w:ascii="Times New Roman" w:eastAsia="Times New Roman" w:hAnsi="Times New Roman" w:cs="Times New Roman"/>
          <w:sz w:val="24"/>
          <w:szCs w:val="24"/>
          <w:lang w:eastAsia="en-GB"/>
        </w:rPr>
        <w:t xml:space="preserve"> century the overwhelming majority of the UK population (cc 90 per cent) had been housed in the private rented sector, providing income to a property owning upper class (Hughes and Lowe 2007). </w:t>
      </w:r>
    </w:p>
    <w:p w:rsidR="00536DE3" w:rsidRPr="00536DE3" w:rsidRDefault="00536DE3" w:rsidP="00536DE3">
      <w:pPr>
        <w:spacing w:after="0" w:line="480" w:lineRule="auto"/>
        <w:ind w:left="567" w:right="935"/>
        <w:jc w:val="both"/>
        <w:rPr>
          <w:rFonts w:ascii="Times New Roman" w:eastAsia="Times New Roman" w:hAnsi="Times New Roman" w:cs="Times New Roman"/>
          <w:sz w:val="24"/>
          <w:szCs w:val="24"/>
          <w:lang w:eastAsia="en-GB"/>
        </w:rPr>
      </w:pPr>
    </w:p>
    <w:p w:rsidR="00536DE3" w:rsidRPr="00536DE3" w:rsidRDefault="00536DE3" w:rsidP="00536DE3">
      <w:pPr>
        <w:spacing w:after="0" w:line="480" w:lineRule="auto"/>
        <w:ind w:left="567" w:right="935"/>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The landlords are not ashamed to let dwellings ... the floors of which stand at least two feet below the low-water level …, where the ground floor, utterly uninhabitable, stands deprived of all fittings for doors and windows... (Engels 1844: 52).</w:t>
      </w: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As above, the standard of housing on offer in the poorer areas of the rapidly expanding industrial cities was a source of private discontent and public concern; often highly insecure, overcrowded, squalid and unsafe (Engels 1844; Roberts [1971] 1990). Moreover, despite the privations associated with renting in the poorer di</w:t>
      </w:r>
      <w:r w:rsidR="00F72BC8">
        <w:rPr>
          <w:rFonts w:ascii="Times New Roman" w:eastAsia="Times New Roman" w:hAnsi="Times New Roman" w:cs="Times New Roman"/>
          <w:sz w:val="24"/>
          <w:szCs w:val="24"/>
          <w:lang w:eastAsia="en-GB"/>
        </w:rPr>
        <w:t>stricts,</w:t>
      </w:r>
      <w:r w:rsidRPr="00536DE3">
        <w:rPr>
          <w:rFonts w:ascii="Times New Roman" w:eastAsia="Times New Roman" w:hAnsi="Times New Roman" w:cs="Times New Roman"/>
          <w:sz w:val="24"/>
          <w:szCs w:val="24"/>
          <w:lang w:eastAsia="en-GB"/>
        </w:rPr>
        <w:t xml:space="preserve"> housing was expensive in relative terms, taking up a large proportion of weekly incomes. </w:t>
      </w:r>
    </w:p>
    <w:p w:rsidR="00536DE3" w:rsidRPr="00536DE3" w:rsidRDefault="00536DE3" w:rsidP="00536DE3">
      <w:pPr>
        <w:spacing w:after="0" w:line="480" w:lineRule="auto"/>
        <w:ind w:left="567" w:right="935"/>
        <w:jc w:val="both"/>
        <w:rPr>
          <w:rFonts w:ascii="Times New Roman" w:eastAsia="Times New Roman" w:hAnsi="Times New Roman" w:cs="Times New Roman"/>
          <w:sz w:val="24"/>
          <w:szCs w:val="24"/>
          <w:lang w:eastAsia="en-GB"/>
        </w:rPr>
      </w:pP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The angst generated by poor housing and high rents remained a central social and political issue into the early 20</w:t>
      </w:r>
      <w:r w:rsidRPr="00536DE3">
        <w:rPr>
          <w:rFonts w:ascii="Times New Roman" w:eastAsia="Times New Roman" w:hAnsi="Times New Roman" w:cs="Times New Roman"/>
          <w:sz w:val="24"/>
          <w:szCs w:val="24"/>
          <w:vertAlign w:val="superscript"/>
          <w:lang w:eastAsia="en-GB"/>
        </w:rPr>
        <w:t>th</w:t>
      </w:r>
      <w:r w:rsidR="00F72C95">
        <w:rPr>
          <w:rFonts w:ascii="Times New Roman" w:eastAsia="Times New Roman" w:hAnsi="Times New Roman" w:cs="Times New Roman"/>
          <w:sz w:val="24"/>
          <w:szCs w:val="24"/>
          <w:lang w:eastAsia="en-GB"/>
        </w:rPr>
        <w:t xml:space="preserve"> century</w:t>
      </w:r>
      <w:r w:rsidRPr="00536DE3">
        <w:rPr>
          <w:rFonts w:ascii="Times New Roman" w:eastAsia="Times New Roman" w:hAnsi="Times New Roman" w:cs="Times New Roman"/>
          <w:sz w:val="24"/>
          <w:szCs w:val="24"/>
          <w:lang w:eastAsia="en-GB"/>
        </w:rPr>
        <w:t xml:space="preserve"> and was starkly illustrated in the form of large scale rent strikes in 1914 and 1915, as tenants in Leeds and Glasgow withheld their rents in protest over large increases being imposed, particularly during a period when large numbers of the main wage earners were off fighting in the Great War. Such was the widespread unrest generated by landlords’ actions that, in Glasgow, this cause was supported by the threat of mass industrial action in the shipyards and beyond, the threat of which led to the introduction of legislation restricting rents to pre-war levels (Moorhouse et al 1972; Glynn 2009).</w:t>
      </w:r>
    </w:p>
    <w:p w:rsidR="00536DE3" w:rsidRPr="00536DE3" w:rsidRDefault="00536DE3" w:rsidP="00536DE3">
      <w:pPr>
        <w:spacing w:after="0" w:line="480" w:lineRule="auto"/>
        <w:ind w:left="567" w:right="935"/>
        <w:jc w:val="both"/>
        <w:rPr>
          <w:rFonts w:ascii="Times New Roman" w:eastAsia="Times New Roman" w:hAnsi="Times New Roman" w:cs="Times New Roman"/>
          <w:sz w:val="24"/>
          <w:szCs w:val="24"/>
          <w:lang w:eastAsia="en-GB"/>
        </w:rPr>
      </w:pPr>
    </w:p>
    <w:p w:rsidR="00536DE3" w:rsidRPr="00536DE3" w:rsidRDefault="00536DE3" w:rsidP="00536DE3">
      <w:pPr>
        <w:spacing w:after="0" w:line="480" w:lineRule="auto"/>
        <w:ind w:left="567" w:right="935"/>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The early development of public health and housing policy reﬂected a focus on housing shortage and housing conditions: slums, sharing and overcrowding and threats to the health and well-being associated with ﬁtness for habitation, housing quality and provision of basic amenities (Murie 2009: 535).</w:t>
      </w: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State intervention in housing became increasingly evident during the first half of the 20</w:t>
      </w:r>
      <w:r w:rsidRPr="00536DE3">
        <w:rPr>
          <w:rFonts w:ascii="Times New Roman" w:eastAsia="Times New Roman" w:hAnsi="Times New Roman" w:cs="Times New Roman"/>
          <w:sz w:val="24"/>
          <w:szCs w:val="24"/>
          <w:vertAlign w:val="superscript"/>
          <w:lang w:eastAsia="en-GB"/>
        </w:rPr>
        <w:t>th</w:t>
      </w:r>
      <w:r w:rsidRPr="00536DE3">
        <w:rPr>
          <w:rFonts w:ascii="Times New Roman" w:eastAsia="Times New Roman" w:hAnsi="Times New Roman" w:cs="Times New Roman"/>
          <w:sz w:val="24"/>
          <w:szCs w:val="24"/>
          <w:lang w:eastAsia="en-GB"/>
        </w:rPr>
        <w:t xml:space="preserve"> century, albeit that this trend was somewhat uneven prior to the Second World War, with a resurgence of private renting and associated social problems occurring in the 1930s. Post WWII housing policy, however, as is widely acknowledged, ushered in a more comprehensive shift encompassing the regulation of private lettings to direct provision of secure and affordable housing, of much improved quality, via local authorities by mandate of the state or, alternatively, through state support for owner occupation (Francis 1997). Even as the post-war housing market evolved, however, lingering problems with the private rented sector persisted such that the PRS remained a source of public concern (Green 1979). Accordingly, the sector's role was gradually reduced to that of an increasingly regulated and marginal form of tenure, largely catering for students and young singles, new migrants and people in various stages of life course transition. This remedial set of arrangements, as is also well understood, has been subject to substantial retrenchment with the return to ‘free markets’ of the neoliberal era (Author 2010).    </w:t>
      </w:r>
    </w:p>
    <w:p w:rsidR="00536DE3" w:rsidRPr="00536DE3" w:rsidRDefault="00536DE3" w:rsidP="00536DE3">
      <w:pPr>
        <w:spacing w:after="0" w:line="480" w:lineRule="auto"/>
        <w:jc w:val="both"/>
        <w:rPr>
          <w:rFonts w:ascii="Times New Roman" w:eastAsia="Times New Roman" w:hAnsi="Times New Roman" w:cs="Times New Roman"/>
          <w:b/>
          <w:sz w:val="24"/>
          <w:szCs w:val="24"/>
          <w:lang w:eastAsia="en-GB"/>
        </w:rPr>
      </w:pPr>
    </w:p>
    <w:p w:rsidR="00536DE3" w:rsidRPr="00536DE3" w:rsidRDefault="00536DE3" w:rsidP="00536DE3">
      <w:pPr>
        <w:spacing w:after="0" w:line="480" w:lineRule="auto"/>
        <w:jc w:val="both"/>
        <w:rPr>
          <w:rFonts w:ascii="Times New Roman" w:eastAsia="Times New Roman" w:hAnsi="Times New Roman" w:cs="Times New Roman"/>
          <w:b/>
          <w:sz w:val="24"/>
          <w:szCs w:val="24"/>
          <w:lang w:eastAsia="en-GB"/>
        </w:rPr>
      </w:pPr>
      <w:r w:rsidRPr="00536DE3">
        <w:rPr>
          <w:rFonts w:ascii="Times New Roman" w:eastAsia="Times New Roman" w:hAnsi="Times New Roman" w:cs="Times New Roman"/>
          <w:b/>
          <w:sz w:val="24"/>
          <w:szCs w:val="24"/>
          <w:lang w:eastAsia="en-GB"/>
        </w:rPr>
        <w:t xml:space="preserve">Deregulated Housing    </w:t>
      </w: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The exhaustively documented 1970s neoliberal challenge to the p</w:t>
      </w:r>
      <w:r w:rsidR="00F72C95">
        <w:rPr>
          <w:rFonts w:ascii="Times New Roman" w:eastAsia="Times New Roman" w:hAnsi="Times New Roman" w:cs="Times New Roman"/>
          <w:sz w:val="24"/>
          <w:szCs w:val="24"/>
          <w:lang w:eastAsia="en-GB"/>
        </w:rPr>
        <w:t>ost-war social democratic model</w:t>
      </w:r>
      <w:r w:rsidRPr="00536DE3">
        <w:rPr>
          <w:rFonts w:ascii="Times New Roman" w:eastAsia="Times New Roman" w:hAnsi="Times New Roman" w:cs="Times New Roman"/>
          <w:sz w:val="24"/>
          <w:szCs w:val="24"/>
          <w:lang w:eastAsia="en-GB"/>
        </w:rPr>
        <w:t xml:space="preserve"> sought redress for what its exponents characterised as a ‘sclerotic’, ‘state dependent’ and ‘anti-enterprise’ regulatory culture within British society. Alongside the ‘freeing up’ of the financial sector and a vast array of policies promoting privatisation and business deregulation - including the flexibilisation of labour markets - ‘socialised’ housing was considered ripe for reform (Riddell 1985). Consequently, there was an almost wholesale di</w:t>
      </w:r>
      <w:r w:rsidR="00F72C95">
        <w:rPr>
          <w:rFonts w:ascii="Times New Roman" w:eastAsia="Times New Roman" w:hAnsi="Times New Roman" w:cs="Times New Roman"/>
          <w:sz w:val="24"/>
          <w:szCs w:val="24"/>
          <w:lang w:eastAsia="en-GB"/>
        </w:rPr>
        <w:t xml:space="preserve">smantling of the </w:t>
      </w:r>
      <w:r w:rsidRPr="00536DE3">
        <w:rPr>
          <w:rFonts w:ascii="Times New Roman" w:eastAsia="Times New Roman" w:hAnsi="Times New Roman" w:cs="Times New Roman"/>
          <w:sz w:val="24"/>
          <w:szCs w:val="24"/>
          <w:lang w:eastAsia="en-GB"/>
        </w:rPr>
        <w:t>post-war mixed market in housing, via the ‘right-to-buy’ and the sale of heavily discounted council housing to existing tenants, and through support for home ownership generally. Moreover, since the mid-1990s the application of various fiscal and legislative devices, in tandem with new financial prod</w:t>
      </w:r>
      <w:r w:rsidR="009F7B72">
        <w:rPr>
          <w:rFonts w:ascii="Times New Roman" w:eastAsia="Times New Roman" w:hAnsi="Times New Roman" w:cs="Times New Roman"/>
          <w:sz w:val="24"/>
          <w:szCs w:val="24"/>
          <w:lang w:eastAsia="en-GB"/>
        </w:rPr>
        <w:t>ucts, has stimulated the recent revival of the PRS, with the sector expanding rapidly during the housing boom. By contrast</w:t>
      </w:r>
      <w:r w:rsidRPr="00536DE3">
        <w:rPr>
          <w:rFonts w:ascii="Times New Roman" w:eastAsia="Times New Roman" w:hAnsi="Times New Roman" w:cs="Times New Roman"/>
          <w:sz w:val="24"/>
          <w:szCs w:val="24"/>
          <w:lang w:eastAsia="en-GB"/>
        </w:rPr>
        <w:t>, the social housing once envisioned as a mass affordable, secure and socially mixed alternative to private housing, through a process of residualisation, has also been redefined as a marginal, ‘subsidised’</w:t>
      </w:r>
      <w:r w:rsidRPr="00536DE3">
        <w:rPr>
          <w:rFonts w:ascii="Times New Roman" w:eastAsia="Times New Roman" w:hAnsi="Times New Roman" w:cs="Times New Roman"/>
          <w:sz w:val="24"/>
          <w:szCs w:val="24"/>
          <w:vertAlign w:val="superscript"/>
          <w:lang w:eastAsia="en-GB"/>
        </w:rPr>
        <w:endnoteReference w:id="1"/>
      </w:r>
      <w:r w:rsidRPr="00536DE3">
        <w:rPr>
          <w:rFonts w:ascii="Times New Roman" w:eastAsia="Times New Roman" w:hAnsi="Times New Roman" w:cs="Times New Roman"/>
          <w:sz w:val="24"/>
          <w:szCs w:val="24"/>
          <w:lang w:eastAsia="en-GB"/>
        </w:rPr>
        <w:t xml:space="preserve"> housing tenure for the poor (Burrows 1999; Glynn 2009; Fitzpatrick and Pawson 2013).  </w:t>
      </w: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p>
    <w:p w:rsidR="00536DE3" w:rsidRPr="00B7096E" w:rsidRDefault="00536DE3" w:rsidP="00536DE3">
      <w:pPr>
        <w:spacing w:after="0" w:line="480" w:lineRule="auto"/>
        <w:jc w:val="both"/>
        <w:rPr>
          <w:rFonts w:ascii="Times New Roman" w:eastAsia="Times New Roman" w:hAnsi="Times New Roman" w:cs="Times New Roman"/>
          <w:i/>
          <w:sz w:val="24"/>
          <w:szCs w:val="24"/>
          <w:lang w:eastAsia="en-GB"/>
        </w:rPr>
      </w:pPr>
      <w:r w:rsidRPr="00B7096E">
        <w:rPr>
          <w:rFonts w:ascii="Times New Roman" w:eastAsia="Times New Roman" w:hAnsi="Times New Roman" w:cs="Times New Roman"/>
          <w:i/>
          <w:sz w:val="24"/>
          <w:szCs w:val="24"/>
          <w:lang w:eastAsia="en-GB"/>
        </w:rPr>
        <w:t>Generation Rent &amp; the Demise of the ‘Home Owning Democracy’</w:t>
      </w:r>
    </w:p>
    <w:p w:rsidR="00B7096E" w:rsidRPr="00536DE3" w:rsidRDefault="00B7096E" w:rsidP="00536DE3">
      <w:pPr>
        <w:spacing w:after="0" w:line="480" w:lineRule="auto"/>
        <w:jc w:val="both"/>
        <w:rPr>
          <w:rFonts w:ascii="Times New Roman" w:eastAsia="Times New Roman" w:hAnsi="Times New Roman" w:cs="Times New Roman"/>
          <w:sz w:val="24"/>
          <w:szCs w:val="24"/>
          <w:lang w:eastAsia="en-GB"/>
        </w:rPr>
      </w:pPr>
    </w:p>
    <w:p w:rsidR="00536DE3" w:rsidRPr="00536DE3" w:rsidRDefault="00536DE3" w:rsidP="00536DE3">
      <w:pPr>
        <w:spacing w:after="0" w:line="480" w:lineRule="auto"/>
        <w:jc w:val="center"/>
        <w:rPr>
          <w:rFonts w:ascii="Times New Roman" w:eastAsia="Times New Roman" w:hAnsi="Times New Roman" w:cs="Times New Roman"/>
          <w:sz w:val="24"/>
          <w:szCs w:val="24"/>
          <w:lang w:eastAsia="en-GB"/>
        </w:rPr>
      </w:pPr>
      <w:r w:rsidRPr="00536DE3">
        <w:rPr>
          <w:rFonts w:ascii="Times New Roman" w:eastAsia="Times New Roman" w:hAnsi="Times New Roman" w:cs="Times New Roman"/>
          <w:noProof/>
          <w:sz w:val="24"/>
          <w:szCs w:val="24"/>
          <w:lang w:eastAsia="en-GB"/>
        </w:rPr>
        <w:drawing>
          <wp:inline distT="0" distB="0" distL="0" distR="0" wp14:anchorId="0A39318E" wp14:editId="4F2ED5B3">
            <wp:extent cx="4591050" cy="1974850"/>
            <wp:effectExtent l="19050" t="19050" r="19050" b="2540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4591050" cy="1974850"/>
                    </a:xfrm>
                    <a:prstGeom prst="rect">
                      <a:avLst/>
                    </a:prstGeom>
                    <a:ln w="3175">
                      <a:solidFill>
                        <a:sysClr val="windowText" lastClr="000000"/>
                      </a:solidFill>
                    </a:ln>
                  </pic:spPr>
                </pic:pic>
              </a:graphicData>
            </a:graphic>
          </wp:inline>
        </w:drawing>
      </w:r>
    </w:p>
    <w:p w:rsidR="00536DE3" w:rsidRPr="00536DE3" w:rsidRDefault="00536DE3" w:rsidP="00536DE3">
      <w:pPr>
        <w:spacing w:after="0" w:line="480" w:lineRule="auto"/>
        <w:ind w:right="926" w:firstLine="720"/>
        <w:jc w:val="both"/>
        <w:rPr>
          <w:rFonts w:ascii="Times New Roman" w:eastAsia="Times New Roman" w:hAnsi="Times New Roman" w:cs="Times New Roman"/>
          <w:b/>
          <w:sz w:val="20"/>
          <w:szCs w:val="24"/>
          <w:lang w:eastAsia="en-GB"/>
        </w:rPr>
      </w:pPr>
      <w:r w:rsidRPr="00536DE3">
        <w:rPr>
          <w:rFonts w:ascii="Times New Roman" w:eastAsia="Times New Roman" w:hAnsi="Times New Roman" w:cs="Times New Roman"/>
          <w:b/>
          <w:sz w:val="20"/>
          <w:szCs w:val="24"/>
          <w:lang w:eastAsia="en-GB"/>
        </w:rPr>
        <w:t xml:space="preserve">Figure 1 Housing Tenure in the UK (England) </w:t>
      </w:r>
      <w:r w:rsidRPr="00536DE3">
        <w:rPr>
          <w:rFonts w:ascii="Times New Roman" w:eastAsia="Times New Roman" w:hAnsi="Times New Roman" w:cs="Times New Roman"/>
          <w:b/>
          <w:sz w:val="20"/>
          <w:szCs w:val="24"/>
          <w:lang w:eastAsia="en-GB"/>
        </w:rPr>
        <w:tab/>
      </w:r>
      <w:r w:rsidRPr="00536DE3">
        <w:rPr>
          <w:rFonts w:ascii="Times New Roman" w:eastAsia="Times New Roman" w:hAnsi="Times New Roman" w:cs="Times New Roman"/>
          <w:b/>
          <w:sz w:val="20"/>
          <w:szCs w:val="24"/>
          <w:lang w:eastAsia="en-GB"/>
        </w:rPr>
        <w:tab/>
      </w:r>
      <w:r w:rsidRPr="00536DE3">
        <w:rPr>
          <w:rFonts w:ascii="Times New Roman" w:eastAsia="Times New Roman" w:hAnsi="Times New Roman" w:cs="Times New Roman"/>
          <w:b/>
          <w:sz w:val="20"/>
          <w:szCs w:val="24"/>
          <w:lang w:eastAsia="en-GB"/>
        </w:rPr>
        <w:tab/>
        <w:t>(DCLG 2014)</w:t>
      </w: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ab/>
      </w: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 xml:space="preserve">Figure 1 illustrates the trends described above, charting the ongoing contraction of public housing in favour of owner occupation since the early 1980s, the more recent decline of the latter during since the housing boom, and the concomitant rise in private renting. </w:t>
      </w:r>
      <w:r w:rsidR="002F65A3">
        <w:rPr>
          <w:rFonts w:ascii="Times New Roman" w:eastAsia="Times New Roman" w:hAnsi="Times New Roman" w:cs="Times New Roman"/>
          <w:sz w:val="24"/>
          <w:szCs w:val="24"/>
          <w:lang w:eastAsia="en-GB"/>
        </w:rPr>
        <w:t>Moreover</w:t>
      </w:r>
      <w:r w:rsidRPr="00536DE3">
        <w:rPr>
          <w:rFonts w:ascii="Times New Roman" w:eastAsia="Times New Roman" w:hAnsi="Times New Roman" w:cs="Times New Roman"/>
          <w:sz w:val="24"/>
          <w:szCs w:val="24"/>
          <w:lang w:eastAsia="en-GB"/>
        </w:rPr>
        <w:t xml:space="preserve">, </w:t>
      </w:r>
      <w:r w:rsidR="002F65A3">
        <w:rPr>
          <w:rFonts w:ascii="Times New Roman" w:eastAsia="Times New Roman" w:hAnsi="Times New Roman" w:cs="Times New Roman"/>
          <w:sz w:val="24"/>
          <w:szCs w:val="24"/>
          <w:lang w:eastAsia="en-GB"/>
        </w:rPr>
        <w:t>amid</w:t>
      </w:r>
      <w:r w:rsidR="00B26F80">
        <w:rPr>
          <w:rFonts w:ascii="Times New Roman" w:eastAsia="Times New Roman" w:hAnsi="Times New Roman" w:cs="Times New Roman"/>
          <w:sz w:val="24"/>
          <w:szCs w:val="24"/>
          <w:lang w:eastAsia="en-GB"/>
        </w:rPr>
        <w:t xml:space="preserve"> more restrained post-crisis lending to first time buyers, </w:t>
      </w:r>
      <w:r w:rsidRPr="00536DE3">
        <w:rPr>
          <w:rFonts w:ascii="Times New Roman" w:eastAsia="Times New Roman" w:hAnsi="Times New Roman" w:cs="Times New Roman"/>
          <w:sz w:val="24"/>
          <w:szCs w:val="24"/>
          <w:lang w:eastAsia="en-GB"/>
        </w:rPr>
        <w:t xml:space="preserve">extensive competition from investor landlords </w:t>
      </w:r>
      <w:r w:rsidR="00B26F80">
        <w:rPr>
          <w:rFonts w:ascii="Times New Roman" w:eastAsia="Times New Roman" w:hAnsi="Times New Roman" w:cs="Times New Roman"/>
          <w:sz w:val="24"/>
          <w:szCs w:val="24"/>
          <w:lang w:eastAsia="en-GB"/>
        </w:rPr>
        <w:t>has continued</w:t>
      </w:r>
      <w:r w:rsidRPr="00536DE3">
        <w:rPr>
          <w:rFonts w:ascii="Times New Roman" w:eastAsia="Times New Roman" w:hAnsi="Times New Roman" w:cs="Times New Roman"/>
          <w:sz w:val="24"/>
          <w:szCs w:val="24"/>
          <w:lang w:eastAsia="en-GB"/>
        </w:rPr>
        <w:t xml:space="preserve"> to play a significant role in raising prices and squeezing </w:t>
      </w:r>
      <w:r w:rsidR="00B26F80">
        <w:rPr>
          <w:rFonts w:ascii="Times New Roman" w:eastAsia="Times New Roman" w:hAnsi="Times New Roman" w:cs="Times New Roman"/>
          <w:sz w:val="24"/>
          <w:szCs w:val="24"/>
          <w:lang w:eastAsia="en-GB"/>
        </w:rPr>
        <w:t xml:space="preserve">potential </w:t>
      </w:r>
      <w:r w:rsidRPr="00536DE3">
        <w:rPr>
          <w:rFonts w:ascii="Times New Roman" w:eastAsia="Times New Roman" w:hAnsi="Times New Roman" w:cs="Times New Roman"/>
          <w:sz w:val="24"/>
          <w:szCs w:val="24"/>
          <w:lang w:eastAsia="en-GB"/>
        </w:rPr>
        <w:t>new entrants out of owner occu</w:t>
      </w:r>
      <w:r w:rsidR="00B26F80">
        <w:rPr>
          <w:rFonts w:ascii="Times New Roman" w:eastAsia="Times New Roman" w:hAnsi="Times New Roman" w:cs="Times New Roman"/>
          <w:sz w:val="24"/>
          <w:szCs w:val="24"/>
          <w:lang w:eastAsia="en-GB"/>
        </w:rPr>
        <w:t>pation. This has left increasing numbers with</w:t>
      </w:r>
      <w:r w:rsidRPr="00536DE3">
        <w:rPr>
          <w:rFonts w:ascii="Times New Roman" w:eastAsia="Times New Roman" w:hAnsi="Times New Roman" w:cs="Times New Roman"/>
          <w:sz w:val="24"/>
          <w:szCs w:val="24"/>
          <w:lang w:eastAsia="en-GB"/>
        </w:rPr>
        <w:t xml:space="preserve"> little option but to rent privately the sort of homes that previously they would have been able to buy (Author 2010). As discussed in more detail below, a number of controversial government schemes have emerged ostensibly aimed at </w:t>
      </w:r>
      <w:r w:rsidRPr="00536DE3">
        <w:rPr>
          <w:rFonts w:ascii="Times New Roman" w:eastAsia="Times New Roman" w:hAnsi="Times New Roman" w:cs="Times New Roman"/>
          <w:i/>
          <w:sz w:val="24"/>
          <w:szCs w:val="24"/>
          <w:lang w:eastAsia="en-GB"/>
        </w:rPr>
        <w:t>assisting</w:t>
      </w:r>
      <w:r w:rsidRPr="00536DE3">
        <w:rPr>
          <w:rFonts w:ascii="Times New Roman" w:eastAsia="Times New Roman" w:hAnsi="Times New Roman" w:cs="Times New Roman"/>
          <w:sz w:val="24"/>
          <w:szCs w:val="24"/>
          <w:lang w:eastAsia="en-GB"/>
        </w:rPr>
        <w:t xml:space="preserve"> new home buyers</w:t>
      </w:r>
      <w:r w:rsidR="00573867">
        <w:rPr>
          <w:rFonts w:ascii="Times New Roman" w:eastAsia="Times New Roman" w:hAnsi="Times New Roman" w:cs="Times New Roman"/>
          <w:sz w:val="24"/>
          <w:szCs w:val="24"/>
          <w:lang w:eastAsia="en-GB"/>
        </w:rPr>
        <w:t>, in terms of improving access to mortgage funds</w:t>
      </w:r>
      <w:r w:rsidRPr="00536DE3">
        <w:rPr>
          <w:rFonts w:ascii="Times New Roman" w:eastAsia="Times New Roman" w:hAnsi="Times New Roman" w:cs="Times New Roman"/>
          <w:sz w:val="24"/>
          <w:szCs w:val="24"/>
          <w:lang w:eastAsia="en-GB"/>
        </w:rPr>
        <w:t>. However, as many of these initiatives have tended to support prices rathe</w:t>
      </w:r>
      <w:r w:rsidR="00F72C95">
        <w:rPr>
          <w:rFonts w:ascii="Times New Roman" w:eastAsia="Times New Roman" w:hAnsi="Times New Roman" w:cs="Times New Roman"/>
          <w:sz w:val="24"/>
          <w:szCs w:val="24"/>
          <w:lang w:eastAsia="en-GB"/>
        </w:rPr>
        <w:t>r than substantially stimulate</w:t>
      </w:r>
      <w:r w:rsidRPr="00536DE3">
        <w:rPr>
          <w:rFonts w:ascii="Times New Roman" w:eastAsia="Times New Roman" w:hAnsi="Times New Roman" w:cs="Times New Roman"/>
          <w:sz w:val="24"/>
          <w:szCs w:val="24"/>
          <w:lang w:eastAsia="en-GB"/>
        </w:rPr>
        <w:t xml:space="preserve"> supply, their precis</w:t>
      </w:r>
      <w:r w:rsidR="008F443E">
        <w:rPr>
          <w:rFonts w:ascii="Times New Roman" w:eastAsia="Times New Roman" w:hAnsi="Times New Roman" w:cs="Times New Roman"/>
          <w:sz w:val="24"/>
          <w:szCs w:val="24"/>
          <w:lang w:eastAsia="en-GB"/>
        </w:rPr>
        <w:t>e benefits</w:t>
      </w:r>
      <w:r w:rsidR="00B22AF2">
        <w:rPr>
          <w:rFonts w:ascii="Times New Roman" w:eastAsia="Times New Roman" w:hAnsi="Times New Roman" w:cs="Times New Roman"/>
          <w:sz w:val="24"/>
          <w:szCs w:val="24"/>
          <w:lang w:eastAsia="en-GB"/>
        </w:rPr>
        <w:t xml:space="preserve"> </w:t>
      </w:r>
      <w:r w:rsidRPr="00536DE3">
        <w:rPr>
          <w:rFonts w:ascii="Times New Roman" w:eastAsia="Times New Roman" w:hAnsi="Times New Roman" w:cs="Times New Roman"/>
          <w:sz w:val="24"/>
          <w:szCs w:val="24"/>
          <w:lang w:eastAsia="en-GB"/>
        </w:rPr>
        <w:t xml:space="preserve">as well as their wider economic implications have been subject to contentious debate. </w:t>
      </w:r>
    </w:p>
    <w:p w:rsidR="00F72C95" w:rsidRPr="00B7096E" w:rsidRDefault="00536DE3" w:rsidP="00536DE3">
      <w:pPr>
        <w:spacing w:after="0" w:line="480" w:lineRule="auto"/>
        <w:jc w:val="both"/>
        <w:rPr>
          <w:rFonts w:ascii="Times New Roman" w:eastAsia="Times New Roman" w:hAnsi="Times New Roman" w:cs="Times New Roman"/>
          <w:i/>
          <w:sz w:val="24"/>
          <w:szCs w:val="20"/>
          <w:lang w:eastAsia="en-GB"/>
        </w:rPr>
      </w:pPr>
      <w:r w:rsidRPr="00B7096E">
        <w:rPr>
          <w:rFonts w:ascii="Times New Roman" w:eastAsia="Times New Roman" w:hAnsi="Times New Roman" w:cs="Times New Roman"/>
          <w:i/>
          <w:sz w:val="24"/>
          <w:szCs w:val="20"/>
          <w:lang w:eastAsia="en-GB"/>
        </w:rPr>
        <w:t>Deregulated Renting &amp; Housing Costs</w:t>
      </w:r>
    </w:p>
    <w:p w:rsidR="00B931CB" w:rsidRPr="00536DE3" w:rsidRDefault="00B931CB" w:rsidP="00536DE3">
      <w:pPr>
        <w:spacing w:after="0" w:line="480" w:lineRule="auto"/>
        <w:jc w:val="both"/>
        <w:rPr>
          <w:rFonts w:ascii="Times New Roman" w:eastAsia="Times New Roman" w:hAnsi="Times New Roman" w:cs="Times New Roman"/>
          <w:sz w:val="24"/>
          <w:szCs w:val="20"/>
          <w:lang w:eastAsia="en-GB"/>
        </w:rPr>
      </w:pPr>
    </w:p>
    <w:p w:rsidR="00536DE3" w:rsidRPr="00536DE3" w:rsidRDefault="00536DE3" w:rsidP="00536DE3">
      <w:pPr>
        <w:spacing w:after="0" w:line="480" w:lineRule="auto"/>
        <w:ind w:left="567" w:right="935"/>
        <w:jc w:val="both"/>
        <w:rPr>
          <w:rFonts w:ascii="Times New Roman" w:eastAsia="Times New Roman" w:hAnsi="Times New Roman" w:cs="Times New Roman"/>
          <w:sz w:val="20"/>
          <w:szCs w:val="20"/>
          <w:lang w:eastAsia="en-GB"/>
        </w:rPr>
      </w:pPr>
      <w:r w:rsidRPr="00536DE3">
        <w:rPr>
          <w:rFonts w:ascii="Times New Roman" w:eastAsia="Times New Roman" w:hAnsi="Times New Roman" w:cs="Times New Roman"/>
          <w:noProof/>
          <w:sz w:val="24"/>
          <w:szCs w:val="24"/>
          <w:lang w:eastAsia="en-GB"/>
        </w:rPr>
        <w:drawing>
          <wp:inline distT="0" distB="0" distL="0" distR="0" wp14:anchorId="52C907F2" wp14:editId="0542B98A">
            <wp:extent cx="4768850" cy="2019300"/>
            <wp:effectExtent l="0" t="0" r="12700" b="1905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536DE3" w:rsidRPr="00536DE3" w:rsidRDefault="00536DE3" w:rsidP="00536DE3">
      <w:pPr>
        <w:tabs>
          <w:tab w:val="left" w:pos="6960"/>
        </w:tabs>
        <w:spacing w:after="0" w:line="480" w:lineRule="auto"/>
        <w:jc w:val="both"/>
        <w:rPr>
          <w:rFonts w:ascii="Times New Roman" w:eastAsia="Times New Roman" w:hAnsi="Times New Roman" w:cs="Times New Roman"/>
          <w:b/>
          <w:sz w:val="20"/>
          <w:szCs w:val="20"/>
          <w:lang w:eastAsia="en-GB"/>
        </w:rPr>
      </w:pPr>
      <w:r w:rsidRPr="00536DE3">
        <w:rPr>
          <w:rFonts w:ascii="Times New Roman" w:eastAsia="Times New Roman" w:hAnsi="Times New Roman" w:cs="Times New Roman"/>
          <w:sz w:val="24"/>
          <w:szCs w:val="24"/>
          <w:lang w:eastAsia="en-GB"/>
        </w:rPr>
        <w:t xml:space="preserve">         </w:t>
      </w:r>
      <w:r w:rsidRPr="00536DE3">
        <w:rPr>
          <w:rFonts w:ascii="Times New Roman" w:eastAsia="Times New Roman" w:hAnsi="Times New Roman" w:cs="Times New Roman"/>
          <w:b/>
          <w:sz w:val="20"/>
          <w:szCs w:val="20"/>
          <w:lang w:eastAsia="en-GB"/>
        </w:rPr>
        <w:t>Figure 2    Index of Private Housing Rental Prices                                              (ONS 2013)</w:t>
      </w:r>
      <w:r w:rsidRPr="00536DE3">
        <w:rPr>
          <w:rFonts w:ascii="Times New Roman" w:eastAsia="Times New Roman" w:hAnsi="Times New Roman" w:cs="Times New Roman"/>
          <w:b/>
          <w:sz w:val="20"/>
          <w:szCs w:val="20"/>
          <w:lang w:eastAsia="en-GB"/>
        </w:rPr>
        <w:tab/>
      </w:r>
    </w:p>
    <w:p w:rsidR="00536DE3" w:rsidRPr="00536DE3" w:rsidRDefault="00536DE3" w:rsidP="00536DE3">
      <w:pPr>
        <w:tabs>
          <w:tab w:val="left" w:pos="6960"/>
        </w:tabs>
        <w:spacing w:after="0" w:line="480" w:lineRule="auto"/>
        <w:jc w:val="both"/>
        <w:rPr>
          <w:rFonts w:ascii="Times New Roman" w:eastAsia="Times New Roman" w:hAnsi="Times New Roman" w:cs="Times New Roman"/>
          <w:sz w:val="24"/>
          <w:szCs w:val="24"/>
          <w:lang w:eastAsia="en-GB"/>
        </w:rPr>
      </w:pPr>
    </w:p>
    <w:p w:rsidR="008F443E" w:rsidRDefault="00536DE3" w:rsidP="00536DE3">
      <w:pPr>
        <w:tabs>
          <w:tab w:val="left" w:pos="6960"/>
        </w:tabs>
        <w:spacing w:after="0" w:line="480" w:lineRule="auto"/>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While the consequences of historically high house price</w:t>
      </w:r>
      <w:r w:rsidR="0067195C">
        <w:rPr>
          <w:rFonts w:ascii="Times New Roman" w:eastAsia="Times New Roman" w:hAnsi="Times New Roman" w:cs="Times New Roman"/>
          <w:sz w:val="24"/>
          <w:szCs w:val="24"/>
          <w:lang w:eastAsia="en-GB"/>
        </w:rPr>
        <w:t>s have been widely acknowledged</w:t>
      </w:r>
      <w:r w:rsidRPr="00536DE3">
        <w:rPr>
          <w:rFonts w:ascii="Times New Roman" w:eastAsia="Times New Roman" w:hAnsi="Times New Roman" w:cs="Times New Roman"/>
          <w:sz w:val="24"/>
          <w:szCs w:val="24"/>
          <w:lang w:eastAsia="en-GB"/>
        </w:rPr>
        <w:t xml:space="preserve"> the effects of rising costs on the deregulated</w:t>
      </w:r>
      <w:r w:rsidR="007D65E0">
        <w:rPr>
          <w:rFonts w:ascii="Times New Roman" w:eastAsia="Times New Roman" w:hAnsi="Times New Roman" w:cs="Times New Roman"/>
          <w:sz w:val="24"/>
          <w:szCs w:val="24"/>
          <w:lang w:eastAsia="en-GB"/>
        </w:rPr>
        <w:t xml:space="preserve"> PR</w:t>
      </w:r>
      <w:r w:rsidR="009F7B72">
        <w:rPr>
          <w:rFonts w:ascii="Times New Roman" w:eastAsia="Times New Roman" w:hAnsi="Times New Roman" w:cs="Times New Roman"/>
          <w:sz w:val="24"/>
          <w:szCs w:val="24"/>
          <w:lang w:eastAsia="en-GB"/>
        </w:rPr>
        <w:t>S have also been profound, as</w:t>
      </w:r>
      <w:r w:rsidRPr="00536DE3">
        <w:rPr>
          <w:rFonts w:ascii="Times New Roman" w:eastAsia="Times New Roman" w:hAnsi="Times New Roman" w:cs="Times New Roman"/>
          <w:sz w:val="24"/>
          <w:szCs w:val="24"/>
          <w:lang w:eastAsia="en-GB"/>
        </w:rPr>
        <w:t xml:space="preserve"> the lack of accessible alternatives has seen private sector rents continue to rise. In qualification, </w:t>
      </w:r>
      <w:r w:rsidR="00222915">
        <w:rPr>
          <w:rFonts w:ascii="Times New Roman" w:eastAsia="Times New Roman" w:hAnsi="Times New Roman" w:cs="Times New Roman"/>
          <w:sz w:val="24"/>
          <w:szCs w:val="24"/>
          <w:lang w:eastAsia="en-GB"/>
        </w:rPr>
        <w:t xml:space="preserve">it may be noted that </w:t>
      </w:r>
      <w:r w:rsidRPr="00536DE3">
        <w:rPr>
          <w:rFonts w:ascii="Times New Roman" w:eastAsia="Times New Roman" w:hAnsi="Times New Roman" w:cs="Times New Roman"/>
          <w:sz w:val="24"/>
          <w:szCs w:val="24"/>
          <w:lang w:eastAsia="en-GB"/>
        </w:rPr>
        <w:t xml:space="preserve">there are considerable regional variations in rent levels, </w:t>
      </w:r>
      <w:r w:rsidR="00573867">
        <w:rPr>
          <w:rFonts w:ascii="Times New Roman" w:eastAsia="Times New Roman" w:hAnsi="Times New Roman" w:cs="Times New Roman"/>
          <w:sz w:val="24"/>
          <w:szCs w:val="24"/>
          <w:lang w:eastAsia="en-GB"/>
        </w:rPr>
        <w:t xml:space="preserve">reinforcing notions of </w:t>
      </w:r>
      <w:r w:rsidR="00222915">
        <w:rPr>
          <w:rFonts w:ascii="Times New Roman" w:eastAsia="Times New Roman" w:hAnsi="Times New Roman" w:cs="Times New Roman"/>
          <w:sz w:val="24"/>
          <w:szCs w:val="24"/>
          <w:lang w:eastAsia="en-GB"/>
        </w:rPr>
        <w:t>a</w:t>
      </w:r>
      <w:r w:rsidR="00573867">
        <w:rPr>
          <w:rFonts w:ascii="Times New Roman" w:eastAsia="Times New Roman" w:hAnsi="Times New Roman" w:cs="Times New Roman"/>
          <w:sz w:val="24"/>
          <w:szCs w:val="24"/>
          <w:lang w:eastAsia="en-GB"/>
        </w:rPr>
        <w:t xml:space="preserve"> </w:t>
      </w:r>
      <w:r w:rsidR="00A80F28">
        <w:rPr>
          <w:rFonts w:ascii="Times New Roman" w:eastAsia="Times New Roman" w:hAnsi="Times New Roman" w:cs="Times New Roman"/>
          <w:sz w:val="24"/>
          <w:szCs w:val="24"/>
          <w:lang w:eastAsia="en-GB"/>
        </w:rPr>
        <w:t xml:space="preserve">UK </w:t>
      </w:r>
      <w:r w:rsidR="00573867">
        <w:rPr>
          <w:rFonts w:ascii="Times New Roman" w:eastAsia="Times New Roman" w:hAnsi="Times New Roman" w:cs="Times New Roman"/>
          <w:sz w:val="24"/>
          <w:szCs w:val="24"/>
          <w:lang w:eastAsia="en-GB"/>
        </w:rPr>
        <w:t xml:space="preserve">‘North/South divide’, </w:t>
      </w:r>
      <w:r w:rsidR="00A80647">
        <w:rPr>
          <w:rFonts w:ascii="Times New Roman" w:eastAsia="Times New Roman" w:hAnsi="Times New Roman" w:cs="Times New Roman"/>
          <w:sz w:val="24"/>
          <w:szCs w:val="24"/>
          <w:lang w:eastAsia="en-GB"/>
        </w:rPr>
        <w:t xml:space="preserve">given that London and </w:t>
      </w:r>
      <w:r w:rsidRPr="00536DE3">
        <w:rPr>
          <w:rFonts w:ascii="Times New Roman" w:eastAsia="Times New Roman" w:hAnsi="Times New Roman" w:cs="Times New Roman"/>
          <w:sz w:val="24"/>
          <w:szCs w:val="24"/>
          <w:lang w:eastAsia="en-GB"/>
        </w:rPr>
        <w:t xml:space="preserve">other areas of </w:t>
      </w:r>
      <w:r w:rsidR="00A80647">
        <w:rPr>
          <w:rFonts w:ascii="Times New Roman" w:eastAsia="Times New Roman" w:hAnsi="Times New Roman" w:cs="Times New Roman"/>
          <w:sz w:val="24"/>
          <w:szCs w:val="24"/>
          <w:lang w:eastAsia="en-GB"/>
        </w:rPr>
        <w:t xml:space="preserve">particularly </w:t>
      </w:r>
      <w:r w:rsidRPr="00536DE3">
        <w:rPr>
          <w:rFonts w:ascii="Times New Roman" w:eastAsia="Times New Roman" w:hAnsi="Times New Roman" w:cs="Times New Roman"/>
          <w:sz w:val="24"/>
          <w:szCs w:val="24"/>
          <w:lang w:eastAsia="en-GB"/>
        </w:rPr>
        <w:t xml:space="preserve">high demand </w:t>
      </w:r>
      <w:r w:rsidR="00573867">
        <w:rPr>
          <w:rFonts w:ascii="Times New Roman" w:eastAsia="Times New Roman" w:hAnsi="Times New Roman" w:cs="Times New Roman"/>
          <w:sz w:val="24"/>
          <w:szCs w:val="24"/>
          <w:lang w:eastAsia="en-GB"/>
        </w:rPr>
        <w:t xml:space="preserve">in the South </w:t>
      </w:r>
      <w:r w:rsidRPr="00536DE3">
        <w:rPr>
          <w:rFonts w:ascii="Times New Roman" w:eastAsia="Times New Roman" w:hAnsi="Times New Roman" w:cs="Times New Roman"/>
          <w:sz w:val="24"/>
          <w:szCs w:val="24"/>
          <w:lang w:eastAsia="en-GB"/>
        </w:rPr>
        <w:t>have commensurately higher rents</w:t>
      </w:r>
      <w:r w:rsidR="00573867">
        <w:rPr>
          <w:rFonts w:ascii="Times New Roman" w:eastAsia="Times New Roman" w:hAnsi="Times New Roman" w:cs="Times New Roman"/>
          <w:sz w:val="24"/>
          <w:szCs w:val="24"/>
          <w:lang w:eastAsia="en-GB"/>
        </w:rPr>
        <w:t xml:space="preserve"> as well as house prices</w:t>
      </w:r>
      <w:r w:rsidR="00A80647">
        <w:rPr>
          <w:rStyle w:val="EndnoteReference"/>
          <w:rFonts w:ascii="Times New Roman" w:eastAsia="Times New Roman" w:hAnsi="Times New Roman" w:cs="Times New Roman"/>
          <w:sz w:val="24"/>
          <w:szCs w:val="24"/>
          <w:lang w:eastAsia="en-GB"/>
        </w:rPr>
        <w:endnoteReference w:id="2"/>
      </w:r>
      <w:r w:rsidR="00573867">
        <w:rPr>
          <w:rFonts w:ascii="Times New Roman" w:eastAsia="Times New Roman" w:hAnsi="Times New Roman" w:cs="Times New Roman"/>
          <w:sz w:val="24"/>
          <w:szCs w:val="24"/>
          <w:lang w:eastAsia="en-GB"/>
        </w:rPr>
        <w:t>.</w:t>
      </w:r>
      <w:r w:rsidR="007D65E0">
        <w:rPr>
          <w:rFonts w:ascii="Times New Roman" w:eastAsia="Times New Roman" w:hAnsi="Times New Roman" w:cs="Times New Roman"/>
          <w:sz w:val="24"/>
          <w:szCs w:val="24"/>
          <w:lang w:eastAsia="en-GB"/>
        </w:rPr>
        <w:t xml:space="preserve"> </w:t>
      </w:r>
      <w:r w:rsidR="00A80F28">
        <w:rPr>
          <w:rFonts w:ascii="Times New Roman" w:eastAsia="Times New Roman" w:hAnsi="Times New Roman" w:cs="Times New Roman"/>
          <w:sz w:val="24"/>
          <w:szCs w:val="24"/>
          <w:lang w:eastAsia="en-GB"/>
        </w:rPr>
        <w:t>Nonetheless</w:t>
      </w:r>
      <w:r w:rsidR="00573867">
        <w:rPr>
          <w:rFonts w:ascii="Times New Roman" w:eastAsia="Times New Roman" w:hAnsi="Times New Roman" w:cs="Times New Roman"/>
          <w:sz w:val="24"/>
          <w:szCs w:val="24"/>
          <w:lang w:eastAsia="en-GB"/>
        </w:rPr>
        <w:t xml:space="preserve">, </w:t>
      </w:r>
      <w:r w:rsidRPr="00536DE3">
        <w:rPr>
          <w:rFonts w:ascii="Times New Roman" w:eastAsia="Times New Roman" w:hAnsi="Times New Roman" w:cs="Times New Roman"/>
          <w:sz w:val="24"/>
          <w:szCs w:val="24"/>
          <w:lang w:eastAsia="en-GB"/>
        </w:rPr>
        <w:t xml:space="preserve">as Figure 2 above illustrates, an inexorable increase in costs has been the general trend. </w:t>
      </w:r>
    </w:p>
    <w:p w:rsidR="008F443E" w:rsidRDefault="008F443E" w:rsidP="00536DE3">
      <w:pPr>
        <w:tabs>
          <w:tab w:val="left" w:pos="6960"/>
        </w:tabs>
        <w:spacing w:after="0" w:line="480" w:lineRule="auto"/>
        <w:jc w:val="both"/>
        <w:rPr>
          <w:rFonts w:ascii="Times New Roman" w:eastAsia="Times New Roman" w:hAnsi="Times New Roman" w:cs="Times New Roman"/>
          <w:sz w:val="24"/>
          <w:szCs w:val="24"/>
          <w:lang w:eastAsia="en-GB"/>
        </w:rPr>
      </w:pPr>
    </w:p>
    <w:p w:rsidR="00536DE3" w:rsidRDefault="008F443E" w:rsidP="00536DE3">
      <w:pPr>
        <w:tabs>
          <w:tab w:val="left" w:pos="6960"/>
        </w:tabs>
        <w:spacing w:after="0"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W</w:t>
      </w:r>
      <w:r w:rsidR="00536DE3" w:rsidRPr="00536DE3">
        <w:rPr>
          <w:rFonts w:ascii="Times New Roman" w:eastAsia="Times New Roman" w:hAnsi="Times New Roman" w:cs="Times New Roman"/>
          <w:sz w:val="24"/>
          <w:szCs w:val="24"/>
          <w:lang w:eastAsia="en-GB"/>
        </w:rPr>
        <w:t>hen considering the impact of rising rents it is also important to note that this scenario has evolved against a backdrop of high unemployment, underemployment, casualisation and below inflation wage increases (Lansley 2011; Shildrick et al</w:t>
      </w:r>
      <w:r w:rsidR="0020713C">
        <w:rPr>
          <w:rFonts w:ascii="Times New Roman" w:eastAsia="Times New Roman" w:hAnsi="Times New Roman" w:cs="Times New Roman"/>
          <w:sz w:val="24"/>
          <w:szCs w:val="24"/>
          <w:lang w:eastAsia="en-GB"/>
        </w:rPr>
        <w:t>.</w:t>
      </w:r>
      <w:r w:rsidR="00536DE3" w:rsidRPr="00536DE3">
        <w:rPr>
          <w:rFonts w:ascii="Times New Roman" w:eastAsia="Times New Roman" w:hAnsi="Times New Roman" w:cs="Times New Roman"/>
          <w:sz w:val="24"/>
          <w:szCs w:val="24"/>
          <w:lang w:eastAsia="en-GB"/>
        </w:rPr>
        <w:t xml:space="preserve"> 2012). Thus, there is a growing constituency of those who find themselves in the expanding peripheries of </w:t>
      </w:r>
      <w:r w:rsidR="00536DE3" w:rsidRPr="00536DE3">
        <w:rPr>
          <w:rFonts w:ascii="Times New Roman" w:eastAsia="Times New Roman" w:hAnsi="Times New Roman" w:cs="Times New Roman"/>
          <w:i/>
          <w:sz w:val="24"/>
          <w:szCs w:val="24"/>
          <w:lang w:eastAsia="en-GB"/>
        </w:rPr>
        <w:t>both</w:t>
      </w:r>
      <w:r w:rsidR="00536DE3" w:rsidRPr="00536DE3">
        <w:rPr>
          <w:rFonts w:ascii="Times New Roman" w:eastAsia="Times New Roman" w:hAnsi="Times New Roman" w:cs="Times New Roman"/>
          <w:sz w:val="24"/>
          <w:szCs w:val="24"/>
          <w:lang w:eastAsia="en-GB"/>
        </w:rPr>
        <w:t xml:space="preserve"> the job and housing markets (Author 20</w:t>
      </w:r>
      <w:r w:rsidR="006A65FB">
        <w:rPr>
          <w:rFonts w:ascii="Times New Roman" w:eastAsia="Times New Roman" w:hAnsi="Times New Roman" w:cs="Times New Roman"/>
          <w:sz w:val="24"/>
          <w:szCs w:val="24"/>
          <w:lang w:eastAsia="en-GB"/>
        </w:rPr>
        <w:t xml:space="preserve">09b; Standing 2011). </w:t>
      </w:r>
      <w:r w:rsidR="00686998">
        <w:rPr>
          <w:rFonts w:ascii="Times New Roman" w:eastAsia="Times New Roman" w:hAnsi="Times New Roman" w:cs="Times New Roman"/>
          <w:sz w:val="24"/>
          <w:szCs w:val="24"/>
          <w:lang w:eastAsia="en-GB"/>
        </w:rPr>
        <w:t>T</w:t>
      </w:r>
      <w:r w:rsidR="00536DE3" w:rsidRPr="00536DE3">
        <w:rPr>
          <w:rFonts w:ascii="Times New Roman" w:eastAsia="Times New Roman" w:hAnsi="Times New Roman" w:cs="Times New Roman"/>
          <w:sz w:val="24"/>
          <w:szCs w:val="24"/>
          <w:lang w:eastAsia="en-GB"/>
        </w:rPr>
        <w:t>he combined effects</w:t>
      </w:r>
      <w:r w:rsidR="00C972EE">
        <w:rPr>
          <w:rFonts w:ascii="Times New Roman" w:eastAsia="Times New Roman" w:hAnsi="Times New Roman" w:cs="Times New Roman"/>
          <w:sz w:val="24"/>
          <w:szCs w:val="24"/>
          <w:lang w:eastAsia="en-GB"/>
        </w:rPr>
        <w:t xml:space="preserve"> </w:t>
      </w:r>
      <w:r w:rsidR="00536DE3" w:rsidRPr="00536DE3">
        <w:rPr>
          <w:rFonts w:ascii="Times New Roman" w:eastAsia="Times New Roman" w:hAnsi="Times New Roman" w:cs="Times New Roman"/>
          <w:sz w:val="24"/>
          <w:szCs w:val="24"/>
          <w:lang w:eastAsia="en-GB"/>
        </w:rPr>
        <w:t>of reduced job opportunities, stagnating</w:t>
      </w:r>
      <w:r w:rsidR="00C972EE">
        <w:rPr>
          <w:rFonts w:ascii="Times New Roman" w:eastAsia="Times New Roman" w:hAnsi="Times New Roman" w:cs="Times New Roman"/>
          <w:sz w:val="24"/>
          <w:szCs w:val="24"/>
          <w:lang w:eastAsia="en-GB"/>
        </w:rPr>
        <w:t xml:space="preserve"> incomes and high housing costs</w:t>
      </w:r>
      <w:r w:rsidR="006A65FB">
        <w:rPr>
          <w:rFonts w:ascii="Times New Roman" w:eastAsia="Times New Roman" w:hAnsi="Times New Roman" w:cs="Times New Roman"/>
          <w:sz w:val="24"/>
          <w:szCs w:val="24"/>
          <w:lang w:eastAsia="en-GB"/>
        </w:rPr>
        <w:t xml:space="preserve"> </w:t>
      </w:r>
      <w:r w:rsidR="00536DE3" w:rsidRPr="00536DE3">
        <w:rPr>
          <w:rFonts w:ascii="Times New Roman" w:eastAsia="Times New Roman" w:hAnsi="Times New Roman" w:cs="Times New Roman"/>
          <w:sz w:val="24"/>
          <w:szCs w:val="24"/>
          <w:lang w:eastAsia="en-GB"/>
        </w:rPr>
        <w:t xml:space="preserve">have </w:t>
      </w:r>
      <w:r w:rsidR="00686998">
        <w:rPr>
          <w:rFonts w:ascii="Times New Roman" w:eastAsia="Times New Roman" w:hAnsi="Times New Roman" w:cs="Times New Roman"/>
          <w:sz w:val="24"/>
          <w:szCs w:val="24"/>
          <w:lang w:eastAsia="en-GB"/>
        </w:rPr>
        <w:t xml:space="preserve">also </w:t>
      </w:r>
      <w:r w:rsidR="00536DE3" w:rsidRPr="00536DE3">
        <w:rPr>
          <w:rFonts w:ascii="Times New Roman" w:eastAsia="Times New Roman" w:hAnsi="Times New Roman" w:cs="Times New Roman"/>
          <w:sz w:val="24"/>
          <w:szCs w:val="24"/>
          <w:lang w:eastAsia="en-GB"/>
        </w:rPr>
        <w:t xml:space="preserve">contributed to a </w:t>
      </w:r>
      <w:r w:rsidR="0067195C">
        <w:rPr>
          <w:rFonts w:ascii="Times New Roman" w:eastAsia="Times New Roman" w:hAnsi="Times New Roman" w:cs="Times New Roman"/>
          <w:sz w:val="24"/>
          <w:szCs w:val="24"/>
          <w:lang w:eastAsia="en-GB"/>
        </w:rPr>
        <w:t>significant decline in</w:t>
      </w:r>
      <w:r w:rsidR="00536DE3" w:rsidRPr="00536DE3">
        <w:rPr>
          <w:rFonts w:ascii="Times New Roman" w:eastAsia="Times New Roman" w:hAnsi="Times New Roman" w:cs="Times New Roman"/>
          <w:sz w:val="24"/>
          <w:szCs w:val="24"/>
          <w:lang w:eastAsia="en-GB"/>
        </w:rPr>
        <w:t xml:space="preserve"> independent living amongst young UK adults, as illustrated in Figure 3 (below). </w:t>
      </w:r>
    </w:p>
    <w:p w:rsidR="0067195C" w:rsidRPr="00536DE3" w:rsidRDefault="0067195C" w:rsidP="00536DE3">
      <w:pPr>
        <w:tabs>
          <w:tab w:val="left" w:pos="6960"/>
        </w:tabs>
        <w:spacing w:after="0" w:line="480" w:lineRule="auto"/>
        <w:jc w:val="both"/>
        <w:rPr>
          <w:rFonts w:ascii="Times New Roman" w:eastAsia="Times New Roman" w:hAnsi="Times New Roman" w:cs="Times New Roman"/>
          <w:sz w:val="24"/>
          <w:szCs w:val="24"/>
          <w:lang w:eastAsia="en-GB"/>
        </w:rPr>
      </w:pPr>
    </w:p>
    <w:p w:rsidR="00536DE3" w:rsidRPr="00536DE3" w:rsidRDefault="00536DE3" w:rsidP="00536DE3">
      <w:pPr>
        <w:spacing w:after="0" w:line="480" w:lineRule="auto"/>
        <w:ind w:left="540" w:right="1088"/>
        <w:jc w:val="both"/>
        <w:rPr>
          <w:rFonts w:ascii="Times New Roman" w:eastAsia="Times New Roman" w:hAnsi="Times New Roman" w:cs="Times New Roman"/>
          <w:bCs/>
          <w:sz w:val="24"/>
          <w:szCs w:val="24"/>
          <w:lang w:eastAsia="en-GB"/>
        </w:rPr>
      </w:pPr>
      <w:r w:rsidRPr="00536DE3">
        <w:rPr>
          <w:rFonts w:ascii="Arial" w:eastAsia="Times New Roman" w:hAnsi="Arial" w:cs="Arial"/>
          <w:noProof/>
          <w:color w:val="000000"/>
          <w:sz w:val="20"/>
          <w:szCs w:val="20"/>
          <w:lang w:eastAsia="en-GB"/>
        </w:rPr>
        <w:drawing>
          <wp:inline distT="0" distB="0" distL="0" distR="0" wp14:anchorId="6BD4A8D0" wp14:editId="585D30EB">
            <wp:extent cx="4730750" cy="1790700"/>
            <wp:effectExtent l="19050" t="19050" r="12700" b="19050"/>
            <wp:docPr id="4" name="Picture 4" descr="Graph showing total number of young adults living with their par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raph showing total number of young adults living with their parents"/>
                    <pic:cNvPicPr>
                      <a:picLocks noChangeAspect="1" noChangeArrowheads="1"/>
                    </pic:cNvPicPr>
                  </pic:nvPicPr>
                  <pic:blipFill rotWithShape="1">
                    <a:blip r:embed="rId9">
                      <a:extLst>
                        <a:ext uri="{28A0092B-C50C-407E-A947-70E740481C1C}">
                          <a14:useLocalDpi xmlns:a14="http://schemas.microsoft.com/office/drawing/2010/main" val="0"/>
                        </a:ext>
                      </a:extLst>
                    </a:blip>
                    <a:srcRect t="6992" b="5956"/>
                    <a:stretch/>
                  </pic:blipFill>
                  <pic:spPr bwMode="auto">
                    <a:xfrm>
                      <a:off x="0" y="0"/>
                      <a:ext cx="4733880" cy="1791885"/>
                    </a:xfrm>
                    <a:prstGeom prst="rect">
                      <a:avLst/>
                    </a:prstGeom>
                    <a:noFill/>
                    <a:ln w="9525" cap="flat" cmpd="sng" algn="ctr">
                      <a:solidFill>
                        <a:srgbClr val="4F81BD"/>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536DE3" w:rsidRPr="00536DE3" w:rsidRDefault="00536DE3" w:rsidP="00536DE3">
      <w:pPr>
        <w:spacing w:after="0" w:line="480" w:lineRule="auto"/>
        <w:ind w:left="540" w:right="1088"/>
        <w:jc w:val="both"/>
        <w:rPr>
          <w:rFonts w:ascii="Times New Roman" w:eastAsia="Times New Roman" w:hAnsi="Times New Roman" w:cs="Times New Roman"/>
          <w:b/>
          <w:bCs/>
          <w:sz w:val="20"/>
          <w:szCs w:val="20"/>
          <w:lang w:eastAsia="en-GB"/>
        </w:rPr>
      </w:pPr>
      <w:r w:rsidRPr="00536DE3">
        <w:rPr>
          <w:rFonts w:ascii="Times New Roman" w:eastAsia="Times New Roman" w:hAnsi="Times New Roman" w:cs="Times New Roman"/>
          <w:bCs/>
          <w:sz w:val="24"/>
          <w:szCs w:val="24"/>
          <w:lang w:eastAsia="en-GB"/>
        </w:rPr>
        <w:t xml:space="preserve"> </w:t>
      </w:r>
      <w:r w:rsidRPr="00536DE3">
        <w:rPr>
          <w:rFonts w:ascii="Times New Roman" w:eastAsia="Times New Roman" w:hAnsi="Times New Roman" w:cs="Times New Roman"/>
          <w:b/>
          <w:bCs/>
          <w:sz w:val="20"/>
          <w:szCs w:val="20"/>
          <w:lang w:eastAsia="en-GB"/>
        </w:rPr>
        <w:t>Figure 3</w:t>
      </w:r>
      <w:r w:rsidRPr="00536DE3">
        <w:rPr>
          <w:rFonts w:ascii="Times New Roman" w:eastAsia="Times New Roman" w:hAnsi="Times New Roman" w:cs="Times New Roman"/>
          <w:b/>
          <w:bCs/>
          <w:sz w:val="20"/>
          <w:szCs w:val="20"/>
          <w:lang w:eastAsia="en-GB"/>
        </w:rPr>
        <w:tab/>
        <w:t>Adults aged 20-34 (1996-2013) living with parents</w:t>
      </w:r>
      <w:r w:rsidRPr="00536DE3">
        <w:rPr>
          <w:rFonts w:ascii="Times New Roman" w:eastAsia="Times New Roman" w:hAnsi="Times New Roman" w:cs="Times New Roman"/>
          <w:b/>
          <w:bCs/>
          <w:sz w:val="20"/>
          <w:szCs w:val="20"/>
          <w:lang w:eastAsia="en-GB"/>
        </w:rPr>
        <w:tab/>
        <w:t xml:space="preserve">                    (ONS 2013)</w:t>
      </w:r>
    </w:p>
    <w:p w:rsidR="00536DE3" w:rsidRPr="00536DE3" w:rsidRDefault="00536DE3" w:rsidP="00536DE3">
      <w:pPr>
        <w:tabs>
          <w:tab w:val="left" w:pos="6960"/>
        </w:tabs>
        <w:spacing w:after="0" w:line="480" w:lineRule="auto"/>
        <w:jc w:val="both"/>
        <w:rPr>
          <w:rFonts w:ascii="Times New Roman" w:eastAsia="Times New Roman" w:hAnsi="Times New Roman" w:cs="Times New Roman"/>
          <w:b/>
          <w:sz w:val="24"/>
          <w:szCs w:val="24"/>
          <w:lang w:eastAsia="en-GB"/>
        </w:rPr>
      </w:pPr>
    </w:p>
    <w:p w:rsidR="00536DE3" w:rsidRPr="00536DE3" w:rsidRDefault="00536DE3" w:rsidP="00536DE3">
      <w:pPr>
        <w:tabs>
          <w:tab w:val="left" w:pos="6960"/>
        </w:tabs>
        <w:spacing w:after="0" w:line="480" w:lineRule="auto"/>
        <w:jc w:val="both"/>
        <w:rPr>
          <w:rFonts w:ascii="Times New Roman" w:eastAsia="Times New Roman" w:hAnsi="Times New Roman" w:cs="Times New Roman"/>
          <w:b/>
          <w:sz w:val="24"/>
          <w:szCs w:val="24"/>
          <w:lang w:eastAsia="en-GB"/>
        </w:rPr>
      </w:pPr>
      <w:r w:rsidRPr="00536DE3">
        <w:rPr>
          <w:rFonts w:ascii="Times New Roman" w:eastAsia="Times New Roman" w:hAnsi="Times New Roman" w:cs="Times New Roman"/>
          <w:b/>
          <w:sz w:val="24"/>
          <w:szCs w:val="24"/>
          <w:lang w:eastAsia="en-GB"/>
        </w:rPr>
        <w:t>Shaping the Market</w:t>
      </w:r>
    </w:p>
    <w:p w:rsidR="00B7096E" w:rsidRDefault="00B7096E" w:rsidP="00536DE3">
      <w:pPr>
        <w:tabs>
          <w:tab w:val="left" w:pos="6960"/>
        </w:tabs>
        <w:spacing w:after="0" w:line="480" w:lineRule="auto"/>
        <w:jc w:val="both"/>
        <w:rPr>
          <w:rFonts w:ascii="Times New Roman" w:eastAsia="Times New Roman" w:hAnsi="Times New Roman" w:cs="Times New Roman"/>
          <w:sz w:val="24"/>
          <w:szCs w:val="24"/>
          <w:lang w:eastAsia="en-GB"/>
        </w:rPr>
      </w:pPr>
    </w:p>
    <w:p w:rsidR="00536DE3" w:rsidRPr="00536DE3" w:rsidRDefault="009F7B72" w:rsidP="00536DE3">
      <w:pPr>
        <w:tabs>
          <w:tab w:val="left" w:pos="6960"/>
        </w:tabs>
        <w:spacing w:after="0"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As suggested</w:t>
      </w:r>
      <w:r w:rsidR="00C972EE">
        <w:rPr>
          <w:rFonts w:ascii="Times New Roman" w:eastAsia="Times New Roman" w:hAnsi="Times New Roman" w:cs="Times New Roman"/>
          <w:sz w:val="24"/>
          <w:szCs w:val="24"/>
          <w:lang w:eastAsia="en-GB"/>
        </w:rPr>
        <w:t xml:space="preserve"> above</w:t>
      </w:r>
      <w:r w:rsidR="00536DE3" w:rsidRPr="00536DE3">
        <w:rPr>
          <w:rFonts w:ascii="Times New Roman" w:eastAsia="Times New Roman" w:hAnsi="Times New Roman" w:cs="Times New Roman"/>
          <w:sz w:val="24"/>
          <w:szCs w:val="24"/>
          <w:lang w:eastAsia="en-GB"/>
        </w:rPr>
        <w:t>, the structure and functioning of housing markets is evid</w:t>
      </w:r>
      <w:r w:rsidR="008F443E">
        <w:rPr>
          <w:rFonts w:ascii="Times New Roman" w:eastAsia="Times New Roman" w:hAnsi="Times New Roman" w:cs="Times New Roman"/>
          <w:sz w:val="24"/>
          <w:szCs w:val="24"/>
          <w:lang w:eastAsia="en-GB"/>
        </w:rPr>
        <w:t xml:space="preserve">ently dependent upon the </w:t>
      </w:r>
      <w:r w:rsidR="00536DE3" w:rsidRPr="00536DE3">
        <w:rPr>
          <w:rFonts w:ascii="Times New Roman" w:eastAsia="Times New Roman" w:hAnsi="Times New Roman" w:cs="Times New Roman"/>
          <w:sz w:val="24"/>
          <w:szCs w:val="24"/>
          <w:lang w:eastAsia="en-GB"/>
        </w:rPr>
        <w:t>legi</w:t>
      </w:r>
      <w:r w:rsidR="001D193B">
        <w:rPr>
          <w:rFonts w:ascii="Times New Roman" w:eastAsia="Times New Roman" w:hAnsi="Times New Roman" w:cs="Times New Roman"/>
          <w:sz w:val="24"/>
          <w:szCs w:val="24"/>
          <w:lang w:eastAsia="en-GB"/>
        </w:rPr>
        <w:t xml:space="preserve">slative and regulatory arrangements </w:t>
      </w:r>
      <w:r w:rsidR="00536DE3" w:rsidRPr="00536DE3">
        <w:rPr>
          <w:rFonts w:ascii="Times New Roman" w:eastAsia="Times New Roman" w:hAnsi="Times New Roman" w:cs="Times New Roman"/>
          <w:sz w:val="24"/>
          <w:szCs w:val="24"/>
          <w:lang w:eastAsia="en-GB"/>
        </w:rPr>
        <w:t>mandated by the state. The current UK framework, moreover, is one that has shifted from treating housing as an essential utility towards housing as an investment vehicle, increasingly favouring the interests of the financial and</w:t>
      </w:r>
      <w:r w:rsidR="00C972EE">
        <w:rPr>
          <w:rFonts w:ascii="Times New Roman" w:eastAsia="Times New Roman" w:hAnsi="Times New Roman" w:cs="Times New Roman"/>
          <w:sz w:val="24"/>
          <w:szCs w:val="24"/>
          <w:lang w:eastAsia="en-GB"/>
        </w:rPr>
        <w:t xml:space="preserve"> property sectors, including the growing army of </w:t>
      </w:r>
      <w:r w:rsidR="00536DE3" w:rsidRPr="00536DE3">
        <w:rPr>
          <w:rFonts w:ascii="Times New Roman" w:eastAsia="Times New Roman" w:hAnsi="Times New Roman" w:cs="Times New Roman"/>
          <w:sz w:val="24"/>
          <w:szCs w:val="24"/>
          <w:lang w:eastAsia="en-GB"/>
        </w:rPr>
        <w:t>privat</w:t>
      </w:r>
      <w:r w:rsidR="00C972EE">
        <w:rPr>
          <w:rFonts w:ascii="Times New Roman" w:eastAsia="Times New Roman" w:hAnsi="Times New Roman" w:cs="Times New Roman"/>
          <w:sz w:val="24"/>
          <w:szCs w:val="24"/>
          <w:lang w:eastAsia="en-GB"/>
        </w:rPr>
        <w:t>e landlords</w:t>
      </w:r>
      <w:r w:rsidR="00536DE3" w:rsidRPr="00536DE3">
        <w:rPr>
          <w:rFonts w:ascii="Times New Roman" w:eastAsia="Times New Roman" w:hAnsi="Times New Roman" w:cs="Times New Roman"/>
          <w:sz w:val="24"/>
          <w:szCs w:val="24"/>
          <w:lang w:eastAsia="en-GB"/>
        </w:rPr>
        <w:t>. With respect to the latter, in addition to benefiting from a range of advantageous regulatory changes (discussed below), landlords can offset rental income against mortgage payments for tax purposes</w:t>
      </w:r>
      <w:r w:rsidR="00C972EE">
        <w:rPr>
          <w:rFonts w:ascii="Times New Roman" w:eastAsia="Times New Roman" w:hAnsi="Times New Roman" w:cs="Times New Roman"/>
          <w:sz w:val="24"/>
          <w:szCs w:val="24"/>
          <w:lang w:eastAsia="en-GB"/>
        </w:rPr>
        <w:t>,</w:t>
      </w:r>
      <w:r w:rsidR="00536DE3" w:rsidRPr="00536DE3">
        <w:rPr>
          <w:rFonts w:ascii="Times New Roman" w:eastAsia="Times New Roman" w:hAnsi="Times New Roman" w:cs="Times New Roman"/>
          <w:sz w:val="24"/>
          <w:szCs w:val="24"/>
          <w:lang w:eastAsia="en-GB"/>
        </w:rPr>
        <w:t xml:space="preserve"> affording them a significant financial advantage over prospective first time buyers (Author 2010). Perhaps more politically sensitive, however, is the fact that many private rented sector mortgages are effectiv</w:t>
      </w:r>
      <w:r w:rsidR="00CF40EC">
        <w:rPr>
          <w:rFonts w:ascii="Times New Roman" w:eastAsia="Times New Roman" w:hAnsi="Times New Roman" w:cs="Times New Roman"/>
          <w:sz w:val="24"/>
          <w:szCs w:val="24"/>
          <w:lang w:eastAsia="en-GB"/>
        </w:rPr>
        <w:t xml:space="preserve">ely paid, in whole or in part, </w:t>
      </w:r>
      <w:r w:rsidR="00536DE3" w:rsidRPr="00536DE3">
        <w:rPr>
          <w:rFonts w:ascii="Times New Roman" w:eastAsia="Times New Roman" w:hAnsi="Times New Roman" w:cs="Times New Roman"/>
          <w:sz w:val="24"/>
          <w:szCs w:val="24"/>
          <w:lang w:eastAsia="en-GB"/>
        </w:rPr>
        <w:t xml:space="preserve">through the housing benefit system. </w:t>
      </w:r>
    </w:p>
    <w:p w:rsidR="008A1837" w:rsidRDefault="008A1837" w:rsidP="00536DE3">
      <w:pPr>
        <w:tabs>
          <w:tab w:val="left" w:pos="6960"/>
        </w:tabs>
        <w:spacing w:after="0" w:line="480" w:lineRule="auto"/>
        <w:ind w:right="926"/>
        <w:jc w:val="both"/>
        <w:rPr>
          <w:rFonts w:ascii="Times New Roman" w:eastAsia="Times New Roman" w:hAnsi="Times New Roman" w:cs="Times New Roman"/>
          <w:i/>
          <w:sz w:val="24"/>
          <w:szCs w:val="24"/>
          <w:lang w:eastAsia="en-GB"/>
        </w:rPr>
      </w:pPr>
    </w:p>
    <w:p w:rsidR="00CF40EC" w:rsidRDefault="00CF40EC" w:rsidP="00536DE3">
      <w:pPr>
        <w:tabs>
          <w:tab w:val="left" w:pos="6960"/>
        </w:tabs>
        <w:spacing w:after="0" w:line="480" w:lineRule="auto"/>
        <w:ind w:right="926"/>
        <w:jc w:val="both"/>
        <w:rPr>
          <w:rFonts w:ascii="Times New Roman" w:eastAsia="Times New Roman" w:hAnsi="Times New Roman" w:cs="Times New Roman"/>
          <w:i/>
          <w:sz w:val="24"/>
          <w:szCs w:val="24"/>
          <w:lang w:eastAsia="en-GB"/>
        </w:rPr>
      </w:pPr>
    </w:p>
    <w:p w:rsidR="00CF40EC" w:rsidRDefault="00CF40EC" w:rsidP="00536DE3">
      <w:pPr>
        <w:tabs>
          <w:tab w:val="left" w:pos="6960"/>
        </w:tabs>
        <w:spacing w:after="0" w:line="480" w:lineRule="auto"/>
        <w:ind w:right="926"/>
        <w:jc w:val="both"/>
        <w:rPr>
          <w:rFonts w:ascii="Times New Roman" w:eastAsia="Times New Roman" w:hAnsi="Times New Roman" w:cs="Times New Roman"/>
          <w:i/>
          <w:sz w:val="24"/>
          <w:szCs w:val="24"/>
          <w:lang w:eastAsia="en-GB"/>
        </w:rPr>
      </w:pPr>
    </w:p>
    <w:p w:rsidR="00536DE3" w:rsidRPr="00B7096E" w:rsidRDefault="00536DE3" w:rsidP="00536DE3">
      <w:pPr>
        <w:tabs>
          <w:tab w:val="left" w:pos="6960"/>
        </w:tabs>
        <w:spacing w:after="0" w:line="480" w:lineRule="auto"/>
        <w:ind w:right="926"/>
        <w:jc w:val="both"/>
        <w:rPr>
          <w:rFonts w:ascii="Times New Roman" w:eastAsia="Times New Roman" w:hAnsi="Times New Roman" w:cs="Times New Roman"/>
          <w:b/>
          <w:i/>
          <w:sz w:val="24"/>
          <w:szCs w:val="24"/>
          <w:lang w:eastAsia="en-GB"/>
        </w:rPr>
      </w:pPr>
      <w:r w:rsidRPr="00B7096E">
        <w:rPr>
          <w:rFonts w:ascii="Times New Roman" w:eastAsia="Times New Roman" w:hAnsi="Times New Roman" w:cs="Times New Roman"/>
          <w:i/>
          <w:sz w:val="24"/>
          <w:szCs w:val="24"/>
          <w:lang w:eastAsia="en-GB"/>
        </w:rPr>
        <w:t>Housing Benefit: Who benefits?</w:t>
      </w:r>
    </w:p>
    <w:p w:rsidR="00536DE3" w:rsidRPr="00536DE3" w:rsidRDefault="00536DE3" w:rsidP="00536DE3">
      <w:pPr>
        <w:tabs>
          <w:tab w:val="left" w:pos="6960"/>
        </w:tabs>
        <w:spacing w:after="0" w:line="480" w:lineRule="auto"/>
        <w:jc w:val="both"/>
        <w:rPr>
          <w:rFonts w:ascii="Times New Roman" w:eastAsia="Times New Roman" w:hAnsi="Times New Roman" w:cs="Times New Roman"/>
          <w:sz w:val="24"/>
          <w:szCs w:val="24"/>
          <w:lang w:eastAsia="en-GB"/>
        </w:rPr>
      </w:pPr>
    </w:p>
    <w:p w:rsidR="00536DE3" w:rsidRPr="00536DE3" w:rsidRDefault="00536DE3" w:rsidP="00536DE3">
      <w:pPr>
        <w:tabs>
          <w:tab w:val="left" w:pos="6960"/>
        </w:tabs>
        <w:spacing w:after="0" w:line="480" w:lineRule="auto"/>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 xml:space="preserve">An ongoing ‘moral panic’ in the UK press over the increasing ‘burden’ imposed by the welfare system can, to some extent, be attributed to the rising numbers of housing benefit recipients being housed in increasingly expensive private rented accommodation, as the more affordable social housing alternative has contracted. According to DCLG Housing Survey figures (2011-12), claimants in the PRS typically receive around 57% more per week in housing benefit than their counterparts in social housing. With respect to the latter, many housing benefit recipients occupy former local authority housing that has found its way into the hands of private landlords via right-to-buy, the </w:t>
      </w:r>
      <w:r w:rsidR="00C972EE">
        <w:rPr>
          <w:rFonts w:ascii="Times New Roman" w:eastAsia="Times New Roman" w:hAnsi="Times New Roman" w:cs="Times New Roman"/>
          <w:sz w:val="24"/>
          <w:szCs w:val="24"/>
          <w:lang w:eastAsia="en-GB"/>
        </w:rPr>
        <w:t xml:space="preserve">outcome being that the state </w:t>
      </w:r>
      <w:r w:rsidRPr="00536DE3">
        <w:rPr>
          <w:rFonts w:ascii="Times New Roman" w:eastAsia="Times New Roman" w:hAnsi="Times New Roman" w:cs="Times New Roman"/>
          <w:sz w:val="24"/>
          <w:szCs w:val="24"/>
          <w:lang w:eastAsia="en-GB"/>
        </w:rPr>
        <w:t>now pays a substantial premium to house tenants in the same accommodation that formerly could have been rented from a local authority at sign</w:t>
      </w:r>
      <w:r w:rsidR="004F5CBA">
        <w:rPr>
          <w:rFonts w:ascii="Times New Roman" w:eastAsia="Times New Roman" w:hAnsi="Times New Roman" w:cs="Times New Roman"/>
          <w:sz w:val="24"/>
          <w:szCs w:val="24"/>
          <w:lang w:eastAsia="en-GB"/>
        </w:rPr>
        <w:t>ificantly lower cost. A</w:t>
      </w:r>
      <w:r w:rsidRPr="00536DE3">
        <w:rPr>
          <w:rFonts w:ascii="Times New Roman" w:eastAsia="Times New Roman" w:hAnsi="Times New Roman" w:cs="Times New Roman"/>
          <w:sz w:val="24"/>
          <w:szCs w:val="24"/>
          <w:lang w:eastAsia="en-GB"/>
        </w:rPr>
        <w:t xml:space="preserve">s the ranks of the poorly paid, underemployed and jobless </w:t>
      </w:r>
      <w:r w:rsidR="00C972EE">
        <w:rPr>
          <w:rFonts w:ascii="Times New Roman" w:eastAsia="Times New Roman" w:hAnsi="Times New Roman" w:cs="Times New Roman"/>
          <w:sz w:val="24"/>
          <w:szCs w:val="24"/>
          <w:lang w:eastAsia="en-GB"/>
        </w:rPr>
        <w:t>has expanded since</w:t>
      </w:r>
      <w:r w:rsidRPr="00536DE3">
        <w:rPr>
          <w:rFonts w:ascii="Times New Roman" w:eastAsia="Times New Roman" w:hAnsi="Times New Roman" w:cs="Times New Roman"/>
          <w:sz w:val="24"/>
          <w:szCs w:val="24"/>
          <w:lang w:eastAsia="en-GB"/>
        </w:rPr>
        <w:t xml:space="preserve"> the credit crisis, this has exerted a considerable impact upon this call on public funds (Standing 2011; Lansley 2011). Consequently, and consistent with the current welfare reform agenda, a good deal of government and media attention has focused on the need to reduce housing benefit costs.</w:t>
      </w:r>
    </w:p>
    <w:p w:rsidR="00536DE3" w:rsidRPr="00536DE3" w:rsidRDefault="00536DE3" w:rsidP="00536DE3">
      <w:pPr>
        <w:tabs>
          <w:tab w:val="left" w:pos="6960"/>
        </w:tabs>
        <w:spacing w:after="0" w:line="480" w:lineRule="auto"/>
        <w:jc w:val="both"/>
        <w:rPr>
          <w:rFonts w:ascii="Times New Roman" w:eastAsia="Times New Roman" w:hAnsi="Times New Roman" w:cs="Times New Roman"/>
          <w:sz w:val="24"/>
          <w:szCs w:val="24"/>
          <w:lang w:eastAsia="en-GB"/>
        </w:rPr>
      </w:pPr>
    </w:p>
    <w:p w:rsidR="00536DE3" w:rsidRPr="00B7096E" w:rsidRDefault="00536DE3" w:rsidP="00536DE3">
      <w:pPr>
        <w:spacing w:after="0" w:line="480" w:lineRule="auto"/>
        <w:jc w:val="both"/>
        <w:rPr>
          <w:rFonts w:ascii="Times New Roman" w:eastAsia="Times New Roman" w:hAnsi="Times New Roman" w:cs="Times New Roman"/>
          <w:i/>
          <w:sz w:val="24"/>
          <w:szCs w:val="24"/>
          <w:lang w:eastAsia="en-GB"/>
        </w:rPr>
      </w:pPr>
      <w:r w:rsidRPr="00B7096E">
        <w:rPr>
          <w:rFonts w:ascii="Times New Roman" w:eastAsia="Times New Roman" w:hAnsi="Times New Roman" w:cs="Times New Roman"/>
          <w:i/>
          <w:sz w:val="24"/>
          <w:szCs w:val="24"/>
          <w:lang w:eastAsia="en-GB"/>
        </w:rPr>
        <w:t>The ‘Spare Room Subsidy’</w:t>
      </w:r>
    </w:p>
    <w:p w:rsidR="00536DE3" w:rsidRPr="00536DE3" w:rsidRDefault="00536DE3" w:rsidP="00536DE3">
      <w:pPr>
        <w:spacing w:after="0" w:line="480" w:lineRule="auto"/>
        <w:ind w:left="567" w:right="1088"/>
        <w:jc w:val="both"/>
        <w:rPr>
          <w:rFonts w:ascii="Times New Roman" w:eastAsia="Times New Roman" w:hAnsi="Times New Roman" w:cs="Times New Roman"/>
          <w:sz w:val="24"/>
          <w:szCs w:val="24"/>
          <w:lang w:eastAsia="en-GB"/>
        </w:rPr>
      </w:pPr>
    </w:p>
    <w:p w:rsidR="00536DE3" w:rsidRDefault="00536DE3" w:rsidP="00536DE3">
      <w:pPr>
        <w:spacing w:after="0" w:line="480" w:lineRule="auto"/>
        <w:ind w:left="567" w:right="1088"/>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The bedroom tax is one of these once-in-a-generation decisions that is wrong in every respect. It's bad policy, it's bad economics, it's bad for hundreds of thousands of ordinary people whose lives will be made difficult for no benefit – and I think it's about to become profoundly bad politics (David Orr, Chief Executive, National Housing Federation (NHF), March, 2013).</w:t>
      </w: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It is evident that one cost saving initiative, the ‘spare room subsidy’ or ‘bedroom tax’, has proven particularly contentious. It is impractical in this piece to outline all of the implications of this policy. Briefly, the legislation aims to deduct ‘a fixed percentage of the Housing Benefit eligible rent… set at 14% for one extra bedroom and 25% for two or more extra bedrooms’ from social housing tenants</w:t>
      </w:r>
      <w:r w:rsidRPr="00536DE3">
        <w:rPr>
          <w:rFonts w:ascii="Times New Roman" w:eastAsia="Times New Roman" w:hAnsi="Times New Roman" w:cs="Times New Roman"/>
          <w:b/>
          <w:sz w:val="24"/>
          <w:szCs w:val="24"/>
          <w:lang w:eastAsia="en-GB"/>
        </w:rPr>
        <w:t xml:space="preserve"> </w:t>
      </w:r>
      <w:r w:rsidRPr="00536DE3">
        <w:rPr>
          <w:rFonts w:ascii="Times New Roman" w:eastAsia="Times New Roman" w:hAnsi="Times New Roman" w:cs="Times New Roman"/>
          <w:sz w:val="24"/>
          <w:szCs w:val="24"/>
          <w:lang w:eastAsia="en-GB"/>
        </w:rPr>
        <w:t xml:space="preserve">deemed to have ‘spare rooms’ (NHF 2013). The asserted aim is to move social housing tenants out of ‘under-occupied’ accommodation into smaller homes, freeing these up for others, while also lowering the benefit bill.  </w:t>
      </w: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p>
    <w:p w:rsidR="00536DE3" w:rsidRDefault="00536DE3" w:rsidP="00536DE3">
      <w:pPr>
        <w:spacing w:after="0" w:line="480" w:lineRule="auto"/>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Amid the highly charged debate surrounding this policy, particular attention has been given to the position of disabled people and other groups who, for one reason or another, need ‘extra’ living space (NHF 2013). Aside from these precise concerns, however, the wider logic of the policy has been challenged on practical as well as ethical grounds. Firstly, the obvious point has been raised that there is very prospect of people finding accommodation of the correct size, so defined, within the greatly depleted UK social housing sector. Indeed, current evidence suggests that tenants are being effectively left with the option of finding additional monies from already stretched incomes or moving to smaller accommodation in the PRS. In the first instance more pressure is placed on family finances and, perv</w:t>
      </w:r>
      <w:r w:rsidR="00CF40EC">
        <w:rPr>
          <w:rFonts w:ascii="Times New Roman" w:eastAsia="Times New Roman" w:hAnsi="Times New Roman" w:cs="Times New Roman"/>
          <w:sz w:val="24"/>
          <w:szCs w:val="24"/>
          <w:lang w:eastAsia="en-GB"/>
        </w:rPr>
        <w:t xml:space="preserve">ersely, the second option </w:t>
      </w:r>
      <w:r w:rsidRPr="00536DE3">
        <w:rPr>
          <w:rFonts w:ascii="Times New Roman" w:eastAsia="Times New Roman" w:hAnsi="Times New Roman" w:cs="Times New Roman"/>
          <w:sz w:val="24"/>
          <w:szCs w:val="24"/>
          <w:lang w:eastAsia="en-GB"/>
        </w:rPr>
        <w:t>invariably entails that those relocating to the PRS would be charged a higher rent for potentially lesser and more ins</w:t>
      </w:r>
      <w:r w:rsidR="007A798F">
        <w:rPr>
          <w:rFonts w:ascii="Times New Roman" w:eastAsia="Times New Roman" w:hAnsi="Times New Roman" w:cs="Times New Roman"/>
          <w:sz w:val="24"/>
          <w:szCs w:val="24"/>
          <w:lang w:eastAsia="en-GB"/>
        </w:rPr>
        <w:t>ecure accommodation (Stephenson</w:t>
      </w:r>
      <w:r w:rsidRPr="00536DE3">
        <w:rPr>
          <w:rFonts w:ascii="Times New Roman" w:eastAsia="Times New Roman" w:hAnsi="Times New Roman" w:cs="Times New Roman"/>
          <w:sz w:val="24"/>
          <w:szCs w:val="24"/>
          <w:lang w:eastAsia="en-GB"/>
        </w:rPr>
        <w:t xml:space="preserve"> 2013). Moreover, little consideration appears to have been given to the considerable one-off costs of relocation, personal as well as economic, being imposed on a </w:t>
      </w:r>
      <w:r w:rsidR="00CF40EC">
        <w:rPr>
          <w:rFonts w:ascii="Times New Roman" w:eastAsia="Times New Roman" w:hAnsi="Times New Roman" w:cs="Times New Roman"/>
          <w:sz w:val="24"/>
          <w:szCs w:val="24"/>
          <w:lang w:eastAsia="en-GB"/>
        </w:rPr>
        <w:t xml:space="preserve">vulnerable </w:t>
      </w:r>
      <w:r w:rsidRPr="00536DE3">
        <w:rPr>
          <w:rFonts w:ascii="Times New Roman" w:eastAsia="Times New Roman" w:hAnsi="Times New Roman" w:cs="Times New Roman"/>
          <w:sz w:val="24"/>
          <w:szCs w:val="24"/>
          <w:lang w:eastAsia="en-GB"/>
        </w:rPr>
        <w:t>sector of</w:t>
      </w:r>
      <w:r w:rsidR="00CF40EC">
        <w:rPr>
          <w:rFonts w:ascii="Times New Roman" w:eastAsia="Times New Roman" w:hAnsi="Times New Roman" w:cs="Times New Roman"/>
          <w:sz w:val="24"/>
          <w:szCs w:val="24"/>
          <w:lang w:eastAsia="en-GB"/>
        </w:rPr>
        <w:t xml:space="preserve"> society</w:t>
      </w:r>
      <w:r w:rsidRPr="00536DE3">
        <w:rPr>
          <w:rFonts w:ascii="Times New Roman" w:eastAsia="Times New Roman" w:hAnsi="Times New Roman" w:cs="Times New Roman"/>
          <w:sz w:val="24"/>
          <w:szCs w:val="24"/>
          <w:lang w:eastAsia="en-GB"/>
        </w:rPr>
        <w:t xml:space="preserve">.  </w:t>
      </w:r>
    </w:p>
    <w:p w:rsidR="00A80647" w:rsidRDefault="00A80647" w:rsidP="00536DE3">
      <w:pPr>
        <w:spacing w:after="0" w:line="480" w:lineRule="auto"/>
        <w:jc w:val="both"/>
        <w:rPr>
          <w:rFonts w:ascii="Times New Roman" w:eastAsia="Times New Roman" w:hAnsi="Times New Roman" w:cs="Times New Roman"/>
          <w:i/>
          <w:sz w:val="24"/>
          <w:szCs w:val="24"/>
          <w:lang w:eastAsia="en-GB"/>
        </w:rPr>
      </w:pPr>
    </w:p>
    <w:p w:rsidR="00CF40EC" w:rsidRDefault="00CF40EC" w:rsidP="00536DE3">
      <w:pPr>
        <w:spacing w:after="0" w:line="480" w:lineRule="auto"/>
        <w:jc w:val="both"/>
        <w:rPr>
          <w:rFonts w:ascii="Times New Roman" w:eastAsia="Times New Roman" w:hAnsi="Times New Roman" w:cs="Times New Roman"/>
          <w:i/>
          <w:sz w:val="24"/>
          <w:szCs w:val="24"/>
          <w:lang w:eastAsia="en-GB"/>
        </w:rPr>
      </w:pPr>
    </w:p>
    <w:p w:rsidR="00CF40EC" w:rsidRDefault="00CF40EC" w:rsidP="00536DE3">
      <w:pPr>
        <w:spacing w:after="0" w:line="480" w:lineRule="auto"/>
        <w:jc w:val="both"/>
        <w:rPr>
          <w:rFonts w:ascii="Times New Roman" w:eastAsia="Times New Roman" w:hAnsi="Times New Roman" w:cs="Times New Roman"/>
          <w:i/>
          <w:sz w:val="24"/>
          <w:szCs w:val="24"/>
          <w:lang w:eastAsia="en-GB"/>
        </w:rPr>
      </w:pPr>
    </w:p>
    <w:p w:rsidR="00CF40EC" w:rsidRDefault="00CF40EC" w:rsidP="00536DE3">
      <w:pPr>
        <w:spacing w:after="0" w:line="480" w:lineRule="auto"/>
        <w:jc w:val="both"/>
        <w:rPr>
          <w:rFonts w:ascii="Times New Roman" w:eastAsia="Times New Roman" w:hAnsi="Times New Roman" w:cs="Times New Roman"/>
          <w:i/>
          <w:sz w:val="24"/>
          <w:szCs w:val="24"/>
          <w:lang w:eastAsia="en-GB"/>
        </w:rPr>
      </w:pPr>
    </w:p>
    <w:p w:rsidR="005A1287" w:rsidRPr="00B7096E" w:rsidRDefault="00CB7E23" w:rsidP="00536DE3">
      <w:pPr>
        <w:spacing w:after="0" w:line="480" w:lineRule="auto"/>
        <w:jc w:val="both"/>
        <w:rPr>
          <w:rFonts w:ascii="Times New Roman" w:eastAsia="Times New Roman" w:hAnsi="Times New Roman" w:cs="Times New Roman"/>
          <w:i/>
          <w:sz w:val="24"/>
          <w:szCs w:val="24"/>
          <w:lang w:eastAsia="en-GB"/>
        </w:rPr>
      </w:pPr>
      <w:r>
        <w:rPr>
          <w:rFonts w:ascii="Times New Roman" w:eastAsia="Times New Roman" w:hAnsi="Times New Roman" w:cs="Times New Roman"/>
          <w:i/>
          <w:sz w:val="24"/>
          <w:szCs w:val="24"/>
          <w:lang w:eastAsia="en-GB"/>
        </w:rPr>
        <w:t>Local Housing Allowance</w:t>
      </w:r>
    </w:p>
    <w:p w:rsidR="00B7096E" w:rsidRDefault="00B7096E" w:rsidP="00536DE3">
      <w:pPr>
        <w:spacing w:after="0" w:line="480" w:lineRule="auto"/>
        <w:jc w:val="both"/>
        <w:rPr>
          <w:rFonts w:ascii="Times New Roman" w:eastAsia="Times New Roman" w:hAnsi="Times New Roman" w:cs="Times New Roman"/>
          <w:sz w:val="24"/>
          <w:szCs w:val="24"/>
          <w:lang w:eastAsia="en-GB"/>
        </w:rPr>
      </w:pPr>
    </w:p>
    <w:p w:rsidR="005A1287" w:rsidRPr="00536DE3" w:rsidRDefault="00CB7E23" w:rsidP="00536DE3">
      <w:pPr>
        <w:spacing w:after="0"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With respect to</w:t>
      </w:r>
      <w:r w:rsidR="005A1287">
        <w:rPr>
          <w:rFonts w:ascii="Times New Roman" w:eastAsia="Times New Roman" w:hAnsi="Times New Roman" w:cs="Times New Roman"/>
          <w:sz w:val="24"/>
          <w:szCs w:val="24"/>
          <w:lang w:eastAsia="en-GB"/>
        </w:rPr>
        <w:t xml:space="preserve"> private sector </w:t>
      </w:r>
      <w:r w:rsidR="00712D5A">
        <w:rPr>
          <w:rFonts w:ascii="Times New Roman" w:eastAsia="Times New Roman" w:hAnsi="Times New Roman" w:cs="Times New Roman"/>
          <w:sz w:val="24"/>
          <w:szCs w:val="24"/>
          <w:lang w:eastAsia="en-GB"/>
        </w:rPr>
        <w:t>tenants receiving</w:t>
      </w:r>
      <w:r>
        <w:rPr>
          <w:rFonts w:ascii="Times New Roman" w:eastAsia="Times New Roman" w:hAnsi="Times New Roman" w:cs="Times New Roman"/>
          <w:sz w:val="24"/>
          <w:szCs w:val="24"/>
          <w:lang w:eastAsia="en-GB"/>
        </w:rPr>
        <w:t xml:space="preserve"> benefits</w:t>
      </w:r>
      <w:r w:rsidR="001B56D7">
        <w:rPr>
          <w:rFonts w:ascii="Times New Roman" w:eastAsia="Times New Roman" w:hAnsi="Times New Roman" w:cs="Times New Roman"/>
          <w:sz w:val="24"/>
          <w:szCs w:val="24"/>
          <w:lang w:eastAsia="en-GB"/>
        </w:rPr>
        <w:t xml:space="preserve">, </w:t>
      </w:r>
      <w:r w:rsidR="000C1AB6">
        <w:rPr>
          <w:rFonts w:ascii="Times New Roman" w:eastAsia="Times New Roman" w:hAnsi="Times New Roman" w:cs="Times New Roman"/>
          <w:sz w:val="24"/>
          <w:szCs w:val="24"/>
          <w:lang w:eastAsia="en-GB"/>
        </w:rPr>
        <w:t xml:space="preserve">key </w:t>
      </w:r>
      <w:r w:rsidR="001B56D7">
        <w:rPr>
          <w:rFonts w:ascii="Times New Roman" w:eastAsia="Times New Roman" w:hAnsi="Times New Roman" w:cs="Times New Roman"/>
          <w:sz w:val="24"/>
          <w:szCs w:val="24"/>
          <w:lang w:eastAsia="en-GB"/>
        </w:rPr>
        <w:t xml:space="preserve">changes to </w:t>
      </w:r>
      <w:r w:rsidR="00692F18">
        <w:rPr>
          <w:rFonts w:ascii="Times New Roman" w:eastAsia="Times New Roman" w:hAnsi="Times New Roman" w:cs="Times New Roman"/>
          <w:sz w:val="24"/>
          <w:szCs w:val="24"/>
          <w:lang w:eastAsia="en-GB"/>
        </w:rPr>
        <w:t>Local Housing A</w:t>
      </w:r>
      <w:r w:rsidR="00890D6B">
        <w:rPr>
          <w:rFonts w:ascii="Times New Roman" w:eastAsia="Times New Roman" w:hAnsi="Times New Roman" w:cs="Times New Roman"/>
          <w:sz w:val="24"/>
          <w:szCs w:val="24"/>
          <w:lang w:eastAsia="en-GB"/>
        </w:rPr>
        <w:t>llowance (</w:t>
      </w:r>
      <w:r w:rsidR="001B56D7">
        <w:rPr>
          <w:rFonts w:ascii="Times New Roman" w:eastAsia="Times New Roman" w:hAnsi="Times New Roman" w:cs="Times New Roman"/>
          <w:sz w:val="24"/>
          <w:szCs w:val="24"/>
          <w:lang w:eastAsia="en-GB"/>
        </w:rPr>
        <w:t xml:space="preserve">the </w:t>
      </w:r>
      <w:r w:rsidR="00AC2A36">
        <w:rPr>
          <w:rFonts w:ascii="Times New Roman" w:eastAsia="Times New Roman" w:hAnsi="Times New Roman" w:cs="Times New Roman"/>
          <w:sz w:val="24"/>
          <w:szCs w:val="24"/>
          <w:lang w:eastAsia="en-GB"/>
        </w:rPr>
        <w:t>form of Housing B</w:t>
      </w:r>
      <w:r w:rsidR="001B56D7">
        <w:rPr>
          <w:rFonts w:ascii="Times New Roman" w:eastAsia="Times New Roman" w:hAnsi="Times New Roman" w:cs="Times New Roman"/>
          <w:sz w:val="24"/>
          <w:szCs w:val="24"/>
          <w:lang w:eastAsia="en-GB"/>
        </w:rPr>
        <w:t>enefit received by</w:t>
      </w:r>
      <w:r w:rsidR="005A1287">
        <w:rPr>
          <w:rFonts w:ascii="Times New Roman" w:eastAsia="Times New Roman" w:hAnsi="Times New Roman" w:cs="Times New Roman"/>
          <w:sz w:val="24"/>
          <w:szCs w:val="24"/>
          <w:lang w:eastAsia="en-GB"/>
        </w:rPr>
        <w:t xml:space="preserve"> private renters</w:t>
      </w:r>
      <w:r w:rsidR="00890D6B">
        <w:rPr>
          <w:rFonts w:ascii="Times New Roman" w:eastAsia="Times New Roman" w:hAnsi="Times New Roman" w:cs="Times New Roman"/>
          <w:sz w:val="24"/>
          <w:szCs w:val="24"/>
          <w:lang w:eastAsia="en-GB"/>
        </w:rPr>
        <w:t>)</w:t>
      </w:r>
      <w:r w:rsidR="004F5CBA">
        <w:rPr>
          <w:rFonts w:ascii="Times New Roman" w:eastAsia="Times New Roman" w:hAnsi="Times New Roman" w:cs="Times New Roman"/>
          <w:sz w:val="24"/>
          <w:szCs w:val="24"/>
          <w:lang w:eastAsia="en-GB"/>
        </w:rPr>
        <w:t xml:space="preserve"> have also been subject to criticism</w:t>
      </w:r>
      <w:r w:rsidR="005A1287">
        <w:rPr>
          <w:rFonts w:ascii="Times New Roman" w:eastAsia="Times New Roman" w:hAnsi="Times New Roman" w:cs="Times New Roman"/>
          <w:sz w:val="24"/>
          <w:szCs w:val="24"/>
          <w:lang w:eastAsia="en-GB"/>
        </w:rPr>
        <w:t xml:space="preserve">. </w:t>
      </w:r>
      <w:r w:rsidR="00C15686">
        <w:rPr>
          <w:rFonts w:ascii="Times New Roman" w:eastAsia="Times New Roman" w:hAnsi="Times New Roman" w:cs="Times New Roman"/>
          <w:sz w:val="24"/>
          <w:szCs w:val="24"/>
          <w:lang w:eastAsia="en-GB"/>
        </w:rPr>
        <w:t>Local Housing A</w:t>
      </w:r>
      <w:r w:rsidR="005A1287">
        <w:rPr>
          <w:rFonts w:ascii="Times New Roman" w:eastAsia="Times New Roman" w:hAnsi="Times New Roman" w:cs="Times New Roman"/>
          <w:sz w:val="24"/>
          <w:szCs w:val="24"/>
          <w:lang w:eastAsia="en-GB"/>
        </w:rPr>
        <w:t xml:space="preserve">llowance </w:t>
      </w:r>
      <w:r w:rsidR="00C15686">
        <w:rPr>
          <w:rFonts w:ascii="Times New Roman" w:eastAsia="Times New Roman" w:hAnsi="Times New Roman" w:cs="Times New Roman"/>
          <w:sz w:val="24"/>
          <w:szCs w:val="24"/>
          <w:lang w:eastAsia="en-GB"/>
        </w:rPr>
        <w:t xml:space="preserve">(LHA) </w:t>
      </w:r>
      <w:r w:rsidR="00ED68AA">
        <w:rPr>
          <w:rFonts w:ascii="Times New Roman" w:eastAsia="Times New Roman" w:hAnsi="Times New Roman" w:cs="Times New Roman"/>
          <w:sz w:val="24"/>
          <w:szCs w:val="24"/>
          <w:lang w:eastAsia="en-GB"/>
        </w:rPr>
        <w:t>is ostensibly</w:t>
      </w:r>
      <w:r w:rsidR="00627416">
        <w:rPr>
          <w:rFonts w:ascii="Times New Roman" w:eastAsia="Times New Roman" w:hAnsi="Times New Roman" w:cs="Times New Roman"/>
          <w:sz w:val="24"/>
          <w:szCs w:val="24"/>
          <w:lang w:eastAsia="en-GB"/>
        </w:rPr>
        <w:t xml:space="preserve"> </w:t>
      </w:r>
      <w:r w:rsidR="005A1287">
        <w:rPr>
          <w:rFonts w:ascii="Times New Roman" w:eastAsia="Times New Roman" w:hAnsi="Times New Roman" w:cs="Times New Roman"/>
          <w:sz w:val="24"/>
          <w:szCs w:val="24"/>
          <w:lang w:eastAsia="en-GB"/>
        </w:rPr>
        <w:t xml:space="preserve">designed to match benefit levels to </w:t>
      </w:r>
      <w:r w:rsidR="00AC2A36">
        <w:rPr>
          <w:rFonts w:ascii="Times New Roman" w:eastAsia="Times New Roman" w:hAnsi="Times New Roman" w:cs="Times New Roman"/>
          <w:sz w:val="24"/>
          <w:szCs w:val="24"/>
          <w:lang w:eastAsia="en-GB"/>
        </w:rPr>
        <w:t xml:space="preserve">both family size (number of rooms) and </w:t>
      </w:r>
      <w:r w:rsidR="005A1287">
        <w:rPr>
          <w:rFonts w:ascii="Times New Roman" w:eastAsia="Times New Roman" w:hAnsi="Times New Roman" w:cs="Times New Roman"/>
          <w:sz w:val="24"/>
          <w:szCs w:val="24"/>
          <w:lang w:eastAsia="en-GB"/>
        </w:rPr>
        <w:t>a</w:t>
      </w:r>
      <w:r w:rsidR="00AC2A36">
        <w:rPr>
          <w:rFonts w:ascii="Times New Roman" w:eastAsia="Times New Roman" w:hAnsi="Times New Roman" w:cs="Times New Roman"/>
          <w:sz w:val="24"/>
          <w:szCs w:val="24"/>
          <w:lang w:eastAsia="en-GB"/>
        </w:rPr>
        <w:t>verage rental costs on a regional basis. Thus, a</w:t>
      </w:r>
      <w:r w:rsidR="00890D6B">
        <w:rPr>
          <w:rFonts w:ascii="Times New Roman" w:eastAsia="Times New Roman" w:hAnsi="Times New Roman" w:cs="Times New Roman"/>
          <w:sz w:val="24"/>
          <w:szCs w:val="24"/>
          <w:lang w:eastAsia="en-GB"/>
        </w:rPr>
        <w:t xml:space="preserve"> room restriction on funding for accommodation already applied to private sector lets. </w:t>
      </w:r>
      <w:r w:rsidR="00C15686">
        <w:rPr>
          <w:rFonts w:ascii="Times New Roman" w:eastAsia="Times New Roman" w:hAnsi="Times New Roman" w:cs="Times New Roman"/>
          <w:sz w:val="24"/>
          <w:szCs w:val="24"/>
          <w:lang w:eastAsia="en-GB"/>
        </w:rPr>
        <w:t>Welfare reform, however, has seen both a cap on increases to LHA</w:t>
      </w:r>
      <w:r w:rsidR="00ED68AA">
        <w:rPr>
          <w:rFonts w:ascii="Times New Roman" w:eastAsia="Times New Roman" w:hAnsi="Times New Roman" w:cs="Times New Roman"/>
          <w:sz w:val="24"/>
          <w:szCs w:val="24"/>
          <w:lang w:eastAsia="en-GB"/>
        </w:rPr>
        <w:t xml:space="preserve"> set at</w:t>
      </w:r>
      <w:r w:rsidR="00692F18">
        <w:rPr>
          <w:rFonts w:ascii="Times New Roman" w:eastAsia="Times New Roman" w:hAnsi="Times New Roman" w:cs="Times New Roman"/>
          <w:sz w:val="24"/>
          <w:szCs w:val="24"/>
          <w:lang w:eastAsia="en-GB"/>
        </w:rPr>
        <w:t xml:space="preserve"> 1% per annum</w:t>
      </w:r>
      <w:r w:rsidR="00C15686">
        <w:rPr>
          <w:rFonts w:ascii="Times New Roman" w:eastAsia="Times New Roman" w:hAnsi="Times New Roman" w:cs="Times New Roman"/>
          <w:sz w:val="24"/>
          <w:szCs w:val="24"/>
          <w:lang w:eastAsia="en-GB"/>
        </w:rPr>
        <w:t xml:space="preserve">, entailing that rent </w:t>
      </w:r>
      <w:r w:rsidR="00434F90">
        <w:rPr>
          <w:rFonts w:ascii="Times New Roman" w:eastAsia="Times New Roman" w:hAnsi="Times New Roman" w:cs="Times New Roman"/>
          <w:sz w:val="24"/>
          <w:szCs w:val="24"/>
          <w:lang w:eastAsia="en-GB"/>
        </w:rPr>
        <w:t xml:space="preserve">rises </w:t>
      </w:r>
      <w:r w:rsidR="000C1AB6">
        <w:rPr>
          <w:rFonts w:ascii="Times New Roman" w:eastAsia="Times New Roman" w:hAnsi="Times New Roman" w:cs="Times New Roman"/>
          <w:sz w:val="24"/>
          <w:szCs w:val="24"/>
          <w:lang w:eastAsia="en-GB"/>
        </w:rPr>
        <w:t xml:space="preserve">tend to continually </w:t>
      </w:r>
      <w:r w:rsidR="00434F90">
        <w:rPr>
          <w:rFonts w:ascii="Times New Roman" w:eastAsia="Times New Roman" w:hAnsi="Times New Roman" w:cs="Times New Roman"/>
          <w:sz w:val="24"/>
          <w:szCs w:val="24"/>
          <w:lang w:eastAsia="en-GB"/>
        </w:rPr>
        <w:t>outstrip benefit uprating</w:t>
      </w:r>
      <w:r w:rsidR="00712D5A">
        <w:rPr>
          <w:rFonts w:ascii="Times New Roman" w:eastAsia="Times New Roman" w:hAnsi="Times New Roman" w:cs="Times New Roman"/>
          <w:sz w:val="24"/>
          <w:szCs w:val="24"/>
          <w:lang w:eastAsia="en-GB"/>
        </w:rPr>
        <w:t>, as well as</w:t>
      </w:r>
      <w:r w:rsidR="00C15686">
        <w:rPr>
          <w:rFonts w:ascii="Times New Roman" w:eastAsia="Times New Roman" w:hAnsi="Times New Roman" w:cs="Times New Roman"/>
          <w:sz w:val="24"/>
          <w:szCs w:val="24"/>
          <w:lang w:eastAsia="en-GB"/>
        </w:rPr>
        <w:t xml:space="preserve"> a reduction in the levels </w:t>
      </w:r>
      <w:r w:rsidR="00065234">
        <w:rPr>
          <w:rFonts w:ascii="Times New Roman" w:eastAsia="Times New Roman" w:hAnsi="Times New Roman" w:cs="Times New Roman"/>
          <w:sz w:val="24"/>
          <w:szCs w:val="24"/>
          <w:lang w:eastAsia="en-GB"/>
        </w:rPr>
        <w:t>of</w:t>
      </w:r>
      <w:r>
        <w:rPr>
          <w:rFonts w:ascii="Times New Roman" w:eastAsia="Times New Roman" w:hAnsi="Times New Roman" w:cs="Times New Roman"/>
          <w:sz w:val="24"/>
          <w:szCs w:val="24"/>
          <w:lang w:eastAsia="en-GB"/>
        </w:rPr>
        <w:t xml:space="preserve"> assistance </w:t>
      </w:r>
      <w:r w:rsidR="00C15686">
        <w:rPr>
          <w:rFonts w:ascii="Times New Roman" w:eastAsia="Times New Roman" w:hAnsi="Times New Roman" w:cs="Times New Roman"/>
          <w:sz w:val="24"/>
          <w:szCs w:val="24"/>
          <w:lang w:eastAsia="en-GB"/>
        </w:rPr>
        <w:t xml:space="preserve">available in relation to local rental markets, where the maximum available </w:t>
      </w:r>
      <w:r w:rsidR="00F47175">
        <w:rPr>
          <w:rFonts w:ascii="Times New Roman" w:eastAsia="Times New Roman" w:hAnsi="Times New Roman" w:cs="Times New Roman"/>
          <w:sz w:val="24"/>
          <w:szCs w:val="24"/>
          <w:lang w:eastAsia="en-GB"/>
        </w:rPr>
        <w:t>has been reduced f</w:t>
      </w:r>
      <w:r w:rsidR="004F0CAB">
        <w:rPr>
          <w:rFonts w:ascii="Times New Roman" w:eastAsia="Times New Roman" w:hAnsi="Times New Roman" w:cs="Times New Roman"/>
          <w:sz w:val="24"/>
          <w:szCs w:val="24"/>
          <w:lang w:eastAsia="en-GB"/>
        </w:rPr>
        <w:t xml:space="preserve">rom 50% </w:t>
      </w:r>
      <w:r w:rsidR="00712D5A">
        <w:rPr>
          <w:rFonts w:ascii="Times New Roman" w:eastAsia="Times New Roman" w:hAnsi="Times New Roman" w:cs="Times New Roman"/>
          <w:sz w:val="24"/>
          <w:szCs w:val="24"/>
          <w:lang w:eastAsia="en-GB"/>
        </w:rPr>
        <w:t xml:space="preserve">to 30% of </w:t>
      </w:r>
      <w:r w:rsidR="00A50DBA">
        <w:rPr>
          <w:rFonts w:ascii="Times New Roman" w:eastAsia="Times New Roman" w:hAnsi="Times New Roman" w:cs="Times New Roman"/>
          <w:sz w:val="24"/>
          <w:szCs w:val="24"/>
          <w:lang w:eastAsia="en-GB"/>
        </w:rPr>
        <w:t>local median rents</w:t>
      </w:r>
      <w:r w:rsidR="00F47175">
        <w:rPr>
          <w:rFonts w:ascii="Times New Roman" w:eastAsia="Times New Roman" w:hAnsi="Times New Roman" w:cs="Times New Roman"/>
          <w:sz w:val="24"/>
          <w:szCs w:val="24"/>
          <w:lang w:eastAsia="en-GB"/>
        </w:rPr>
        <w:t xml:space="preserve">. </w:t>
      </w:r>
      <w:r w:rsidR="00627416">
        <w:rPr>
          <w:rFonts w:ascii="Times New Roman" w:eastAsia="Times New Roman" w:hAnsi="Times New Roman" w:cs="Times New Roman"/>
          <w:sz w:val="24"/>
          <w:szCs w:val="24"/>
          <w:lang w:eastAsia="en-GB"/>
        </w:rPr>
        <w:t xml:space="preserve">There has also been a shift in the age related entitlement to </w:t>
      </w:r>
      <w:r w:rsidR="00F728FD">
        <w:rPr>
          <w:rFonts w:ascii="Times New Roman" w:eastAsia="Times New Roman" w:hAnsi="Times New Roman" w:cs="Times New Roman"/>
          <w:sz w:val="24"/>
          <w:szCs w:val="24"/>
          <w:lang w:eastAsia="en-GB"/>
        </w:rPr>
        <w:t xml:space="preserve">benefit </w:t>
      </w:r>
      <w:r w:rsidR="00627416">
        <w:rPr>
          <w:rFonts w:ascii="Times New Roman" w:eastAsia="Times New Roman" w:hAnsi="Times New Roman" w:cs="Times New Roman"/>
          <w:sz w:val="24"/>
          <w:szCs w:val="24"/>
          <w:lang w:eastAsia="en-GB"/>
        </w:rPr>
        <w:t>for ‘younger’ singl</w:t>
      </w:r>
      <w:r w:rsidR="00F728FD">
        <w:rPr>
          <w:rFonts w:ascii="Times New Roman" w:eastAsia="Times New Roman" w:hAnsi="Times New Roman" w:cs="Times New Roman"/>
          <w:sz w:val="24"/>
          <w:szCs w:val="24"/>
          <w:lang w:eastAsia="en-GB"/>
        </w:rPr>
        <w:t>e claimants where those under 35 (as opposed to 25 previously)</w:t>
      </w:r>
      <w:r w:rsidR="00712D5A">
        <w:rPr>
          <w:rFonts w:ascii="Times New Roman" w:eastAsia="Times New Roman" w:hAnsi="Times New Roman" w:cs="Times New Roman"/>
          <w:sz w:val="24"/>
          <w:szCs w:val="24"/>
          <w:lang w:eastAsia="en-GB"/>
        </w:rPr>
        <w:t xml:space="preserve"> are restricted to claiming </w:t>
      </w:r>
      <w:r w:rsidR="00F728FD">
        <w:rPr>
          <w:rFonts w:ascii="Times New Roman" w:eastAsia="Times New Roman" w:hAnsi="Times New Roman" w:cs="Times New Roman"/>
          <w:sz w:val="24"/>
          <w:szCs w:val="24"/>
          <w:lang w:eastAsia="en-GB"/>
        </w:rPr>
        <w:t xml:space="preserve">Shared </w:t>
      </w:r>
      <w:r w:rsidR="005B550B">
        <w:rPr>
          <w:rFonts w:ascii="Times New Roman" w:eastAsia="Times New Roman" w:hAnsi="Times New Roman" w:cs="Times New Roman"/>
          <w:sz w:val="24"/>
          <w:szCs w:val="24"/>
          <w:lang w:eastAsia="en-GB"/>
        </w:rPr>
        <w:t>Accommodation</w:t>
      </w:r>
      <w:r w:rsidR="00F728FD">
        <w:rPr>
          <w:rFonts w:ascii="Times New Roman" w:eastAsia="Times New Roman" w:hAnsi="Times New Roman" w:cs="Times New Roman"/>
          <w:sz w:val="24"/>
          <w:szCs w:val="24"/>
          <w:lang w:eastAsia="en-GB"/>
        </w:rPr>
        <w:t xml:space="preserve"> Rate (SAR), </w:t>
      </w:r>
      <w:r w:rsidR="00890D6B">
        <w:rPr>
          <w:rFonts w:ascii="Times New Roman" w:eastAsia="Times New Roman" w:hAnsi="Times New Roman" w:cs="Times New Roman"/>
          <w:sz w:val="24"/>
          <w:szCs w:val="24"/>
          <w:lang w:eastAsia="en-GB"/>
        </w:rPr>
        <w:t xml:space="preserve">covering the cost of </w:t>
      </w:r>
      <w:r w:rsidR="005B550B">
        <w:rPr>
          <w:rFonts w:ascii="Times New Roman" w:eastAsia="Times New Roman" w:hAnsi="Times New Roman" w:cs="Times New Roman"/>
          <w:sz w:val="24"/>
          <w:szCs w:val="24"/>
          <w:lang w:eastAsia="en-GB"/>
        </w:rPr>
        <w:t xml:space="preserve">a single room in a flat/house share, </w:t>
      </w:r>
      <w:r w:rsidR="00F728FD">
        <w:rPr>
          <w:rFonts w:ascii="Times New Roman" w:eastAsia="Times New Roman" w:hAnsi="Times New Roman" w:cs="Times New Roman"/>
          <w:sz w:val="24"/>
          <w:szCs w:val="24"/>
          <w:lang w:eastAsia="en-GB"/>
        </w:rPr>
        <w:t xml:space="preserve">rather than </w:t>
      </w:r>
      <w:r w:rsidR="00ED68AA">
        <w:rPr>
          <w:rFonts w:ascii="Times New Roman" w:eastAsia="Times New Roman" w:hAnsi="Times New Roman" w:cs="Times New Roman"/>
          <w:sz w:val="24"/>
          <w:szCs w:val="24"/>
          <w:lang w:eastAsia="en-GB"/>
        </w:rPr>
        <w:t>being eligible to claim</w:t>
      </w:r>
      <w:r w:rsidR="00AC3717">
        <w:rPr>
          <w:rFonts w:ascii="Times New Roman" w:eastAsia="Times New Roman" w:hAnsi="Times New Roman" w:cs="Times New Roman"/>
          <w:sz w:val="24"/>
          <w:szCs w:val="24"/>
          <w:lang w:eastAsia="en-GB"/>
        </w:rPr>
        <w:t xml:space="preserve"> LHA </w:t>
      </w:r>
      <w:r w:rsidR="00ED68AA">
        <w:rPr>
          <w:rFonts w:ascii="Times New Roman" w:eastAsia="Times New Roman" w:hAnsi="Times New Roman" w:cs="Times New Roman"/>
          <w:sz w:val="24"/>
          <w:szCs w:val="24"/>
          <w:lang w:eastAsia="en-GB"/>
        </w:rPr>
        <w:t xml:space="preserve">for </w:t>
      </w:r>
      <w:r w:rsidR="00AC3717">
        <w:rPr>
          <w:rFonts w:ascii="Times New Roman" w:eastAsia="Times New Roman" w:hAnsi="Times New Roman" w:cs="Times New Roman"/>
          <w:sz w:val="24"/>
          <w:szCs w:val="24"/>
          <w:lang w:eastAsia="en-GB"/>
        </w:rPr>
        <w:t>a separate property.</w:t>
      </w:r>
      <w:r w:rsidR="000C1AB6">
        <w:rPr>
          <w:rFonts w:ascii="Times New Roman" w:eastAsia="Times New Roman" w:hAnsi="Times New Roman" w:cs="Times New Roman"/>
          <w:sz w:val="24"/>
          <w:szCs w:val="24"/>
          <w:lang w:eastAsia="en-GB"/>
        </w:rPr>
        <w:t xml:space="preserve"> </w:t>
      </w:r>
      <w:r w:rsidR="00AC3717">
        <w:rPr>
          <w:rFonts w:ascii="Times New Roman" w:eastAsia="Times New Roman" w:hAnsi="Times New Roman" w:cs="Times New Roman"/>
          <w:sz w:val="24"/>
          <w:szCs w:val="24"/>
          <w:lang w:eastAsia="en-GB"/>
        </w:rPr>
        <w:t>In r</w:t>
      </w:r>
      <w:r w:rsidR="00A50DBA">
        <w:rPr>
          <w:rFonts w:ascii="Times New Roman" w:eastAsia="Times New Roman" w:hAnsi="Times New Roman" w:cs="Times New Roman"/>
          <w:sz w:val="24"/>
          <w:szCs w:val="24"/>
          <w:lang w:eastAsia="en-GB"/>
        </w:rPr>
        <w:t xml:space="preserve">esearch conducted for the DWP, </w:t>
      </w:r>
      <w:r w:rsidR="00AC3717">
        <w:rPr>
          <w:rFonts w:ascii="Times New Roman" w:eastAsia="Times New Roman" w:hAnsi="Times New Roman" w:cs="Times New Roman"/>
          <w:sz w:val="24"/>
          <w:szCs w:val="24"/>
          <w:lang w:eastAsia="en-GB"/>
        </w:rPr>
        <w:t xml:space="preserve">some </w:t>
      </w:r>
      <w:r w:rsidR="00A50DBA">
        <w:rPr>
          <w:rFonts w:ascii="Times New Roman" w:eastAsia="Times New Roman" w:hAnsi="Times New Roman" w:cs="Times New Roman"/>
          <w:sz w:val="24"/>
          <w:szCs w:val="24"/>
          <w:lang w:eastAsia="en-GB"/>
        </w:rPr>
        <w:t>landlords noted that they would now be rel</w:t>
      </w:r>
      <w:r w:rsidR="00AC3717">
        <w:rPr>
          <w:rFonts w:ascii="Times New Roman" w:eastAsia="Times New Roman" w:hAnsi="Times New Roman" w:cs="Times New Roman"/>
          <w:sz w:val="24"/>
          <w:szCs w:val="24"/>
          <w:lang w:eastAsia="en-GB"/>
        </w:rPr>
        <w:t xml:space="preserve">uctant to let to the under 35s </w:t>
      </w:r>
      <w:r w:rsidR="00ED68AA">
        <w:rPr>
          <w:rFonts w:ascii="Times New Roman" w:eastAsia="Times New Roman" w:hAnsi="Times New Roman" w:cs="Times New Roman"/>
          <w:sz w:val="24"/>
          <w:szCs w:val="24"/>
          <w:lang w:eastAsia="en-GB"/>
        </w:rPr>
        <w:t xml:space="preserve">at all </w:t>
      </w:r>
      <w:r w:rsidR="00A50DBA">
        <w:rPr>
          <w:rFonts w:ascii="Times New Roman" w:eastAsia="Times New Roman" w:hAnsi="Times New Roman" w:cs="Times New Roman"/>
          <w:sz w:val="24"/>
          <w:szCs w:val="24"/>
          <w:lang w:eastAsia="en-GB"/>
        </w:rPr>
        <w:t>given the issues involved in managing houses in multiple occupation (HMOs)</w:t>
      </w:r>
      <w:r w:rsidR="004F5CBA" w:rsidRPr="004F5CBA">
        <w:rPr>
          <w:rFonts w:ascii="Times New Roman" w:eastAsia="Times New Roman" w:hAnsi="Times New Roman" w:cs="Times New Roman"/>
          <w:sz w:val="24"/>
          <w:szCs w:val="24"/>
          <w:lang w:eastAsia="en-GB"/>
        </w:rPr>
        <w:t xml:space="preserve"> </w:t>
      </w:r>
      <w:r w:rsidR="004F5CBA">
        <w:rPr>
          <w:rFonts w:ascii="Times New Roman" w:eastAsia="Times New Roman" w:hAnsi="Times New Roman" w:cs="Times New Roman"/>
          <w:sz w:val="24"/>
          <w:szCs w:val="24"/>
          <w:lang w:eastAsia="en-GB"/>
        </w:rPr>
        <w:t>(DWP 2013)</w:t>
      </w:r>
      <w:r w:rsidR="00A50DBA">
        <w:rPr>
          <w:rFonts w:ascii="Times New Roman" w:eastAsia="Times New Roman" w:hAnsi="Times New Roman" w:cs="Times New Roman"/>
          <w:sz w:val="24"/>
          <w:szCs w:val="24"/>
          <w:lang w:eastAsia="en-GB"/>
        </w:rPr>
        <w:t>. Overall,</w:t>
      </w:r>
      <w:r w:rsidR="00F47175">
        <w:rPr>
          <w:rFonts w:ascii="Times New Roman" w:eastAsia="Times New Roman" w:hAnsi="Times New Roman" w:cs="Times New Roman"/>
          <w:sz w:val="24"/>
          <w:szCs w:val="24"/>
          <w:lang w:eastAsia="en-GB"/>
        </w:rPr>
        <w:t xml:space="preserve"> these changes have entailed </w:t>
      </w:r>
      <w:r w:rsidR="00FB15C3">
        <w:rPr>
          <w:rFonts w:ascii="Times New Roman" w:eastAsia="Times New Roman" w:hAnsi="Times New Roman" w:cs="Times New Roman"/>
          <w:sz w:val="24"/>
          <w:szCs w:val="24"/>
          <w:lang w:eastAsia="en-GB"/>
        </w:rPr>
        <w:t>that, as with the implications of the bedroom tax for social housing tenants</w:t>
      </w:r>
      <w:r w:rsidR="001B56D7">
        <w:rPr>
          <w:rFonts w:ascii="Times New Roman" w:eastAsia="Times New Roman" w:hAnsi="Times New Roman" w:cs="Times New Roman"/>
          <w:sz w:val="24"/>
          <w:szCs w:val="24"/>
          <w:lang w:eastAsia="en-GB"/>
        </w:rPr>
        <w:t>,</w:t>
      </w:r>
      <w:r w:rsidR="00F47175">
        <w:rPr>
          <w:rFonts w:ascii="Times New Roman" w:eastAsia="Times New Roman" w:hAnsi="Times New Roman" w:cs="Times New Roman"/>
          <w:sz w:val="24"/>
          <w:szCs w:val="24"/>
          <w:lang w:eastAsia="en-GB"/>
        </w:rPr>
        <w:t xml:space="preserve"> there is </w:t>
      </w:r>
      <w:r w:rsidR="00692F18">
        <w:rPr>
          <w:rFonts w:ascii="Times New Roman" w:eastAsia="Times New Roman" w:hAnsi="Times New Roman" w:cs="Times New Roman"/>
          <w:sz w:val="24"/>
          <w:szCs w:val="24"/>
          <w:lang w:eastAsia="en-GB"/>
        </w:rPr>
        <w:t xml:space="preserve">also </w:t>
      </w:r>
      <w:r w:rsidR="00F47175">
        <w:rPr>
          <w:rFonts w:ascii="Times New Roman" w:eastAsia="Times New Roman" w:hAnsi="Times New Roman" w:cs="Times New Roman"/>
          <w:sz w:val="24"/>
          <w:szCs w:val="24"/>
          <w:lang w:eastAsia="en-GB"/>
        </w:rPr>
        <w:t xml:space="preserve">an increasing squeeze on </w:t>
      </w:r>
      <w:r w:rsidR="00AC3717">
        <w:rPr>
          <w:rFonts w:ascii="Times New Roman" w:eastAsia="Times New Roman" w:hAnsi="Times New Roman" w:cs="Times New Roman"/>
          <w:sz w:val="24"/>
          <w:szCs w:val="24"/>
          <w:lang w:eastAsia="en-GB"/>
        </w:rPr>
        <w:t xml:space="preserve">PRS </w:t>
      </w:r>
      <w:r w:rsidR="001B56D7">
        <w:rPr>
          <w:rFonts w:ascii="Times New Roman" w:eastAsia="Times New Roman" w:hAnsi="Times New Roman" w:cs="Times New Roman"/>
          <w:sz w:val="24"/>
          <w:szCs w:val="24"/>
          <w:lang w:eastAsia="en-GB"/>
        </w:rPr>
        <w:t>benefits</w:t>
      </w:r>
      <w:r w:rsidR="00F47175">
        <w:rPr>
          <w:rFonts w:ascii="Times New Roman" w:eastAsia="Times New Roman" w:hAnsi="Times New Roman" w:cs="Times New Roman"/>
          <w:sz w:val="24"/>
          <w:szCs w:val="24"/>
          <w:lang w:eastAsia="en-GB"/>
        </w:rPr>
        <w:t xml:space="preserve"> </w:t>
      </w:r>
      <w:r w:rsidR="00AC3717">
        <w:rPr>
          <w:rFonts w:ascii="Times New Roman" w:eastAsia="Times New Roman" w:hAnsi="Times New Roman" w:cs="Times New Roman"/>
          <w:sz w:val="24"/>
          <w:szCs w:val="24"/>
          <w:lang w:eastAsia="en-GB"/>
        </w:rPr>
        <w:t xml:space="preserve">recipients’ </w:t>
      </w:r>
      <w:r w:rsidR="001B56D7">
        <w:rPr>
          <w:rFonts w:ascii="Times New Roman" w:eastAsia="Times New Roman" w:hAnsi="Times New Roman" w:cs="Times New Roman"/>
          <w:sz w:val="24"/>
          <w:szCs w:val="24"/>
          <w:lang w:eastAsia="en-GB"/>
        </w:rPr>
        <w:t xml:space="preserve">capacity </w:t>
      </w:r>
      <w:r w:rsidR="00F47175">
        <w:rPr>
          <w:rFonts w:ascii="Times New Roman" w:eastAsia="Times New Roman" w:hAnsi="Times New Roman" w:cs="Times New Roman"/>
          <w:sz w:val="24"/>
          <w:szCs w:val="24"/>
          <w:lang w:eastAsia="en-GB"/>
        </w:rPr>
        <w:t>t</w:t>
      </w:r>
      <w:r w:rsidR="001B56D7">
        <w:rPr>
          <w:rFonts w:ascii="Times New Roman" w:eastAsia="Times New Roman" w:hAnsi="Times New Roman" w:cs="Times New Roman"/>
          <w:sz w:val="24"/>
          <w:szCs w:val="24"/>
          <w:lang w:eastAsia="en-GB"/>
        </w:rPr>
        <w:t>o access and sustain suitable</w:t>
      </w:r>
      <w:r w:rsidR="00F47175">
        <w:rPr>
          <w:rFonts w:ascii="Times New Roman" w:eastAsia="Times New Roman" w:hAnsi="Times New Roman" w:cs="Times New Roman"/>
          <w:sz w:val="24"/>
          <w:szCs w:val="24"/>
          <w:lang w:eastAsia="en-GB"/>
        </w:rPr>
        <w:t xml:space="preserve"> accommodation. </w:t>
      </w: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p>
    <w:p w:rsidR="004F5CBA" w:rsidRDefault="004F5CBA" w:rsidP="00536DE3">
      <w:pPr>
        <w:spacing w:after="0" w:line="480" w:lineRule="auto"/>
        <w:jc w:val="both"/>
        <w:rPr>
          <w:rFonts w:ascii="Times New Roman" w:eastAsia="Times New Roman" w:hAnsi="Times New Roman" w:cs="Times New Roman"/>
          <w:i/>
          <w:sz w:val="24"/>
          <w:szCs w:val="24"/>
          <w:lang w:eastAsia="en-GB"/>
        </w:rPr>
      </w:pPr>
      <w:r w:rsidRPr="004F5CBA">
        <w:rPr>
          <w:rFonts w:ascii="Times New Roman" w:eastAsia="Times New Roman" w:hAnsi="Times New Roman" w:cs="Times New Roman"/>
          <w:i/>
          <w:sz w:val="24"/>
          <w:szCs w:val="24"/>
          <w:lang w:eastAsia="en-GB"/>
        </w:rPr>
        <w:t>Universal Credit</w:t>
      </w:r>
    </w:p>
    <w:p w:rsidR="004F5CBA" w:rsidRPr="004F5CBA" w:rsidRDefault="004F5CBA" w:rsidP="00536DE3">
      <w:pPr>
        <w:spacing w:after="0" w:line="480" w:lineRule="auto"/>
        <w:jc w:val="both"/>
        <w:rPr>
          <w:rFonts w:ascii="Times New Roman" w:eastAsia="Times New Roman" w:hAnsi="Times New Roman" w:cs="Times New Roman"/>
          <w:i/>
          <w:sz w:val="24"/>
          <w:szCs w:val="24"/>
          <w:lang w:eastAsia="en-GB"/>
        </w:rPr>
      </w:pPr>
    </w:p>
    <w:p w:rsidR="00536DE3" w:rsidRPr="00536DE3" w:rsidRDefault="004F5CBA" w:rsidP="00536DE3">
      <w:pPr>
        <w:spacing w:after="0"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T</w:t>
      </w:r>
      <w:r w:rsidR="001B56D7">
        <w:rPr>
          <w:rFonts w:ascii="Times New Roman" w:eastAsia="Times New Roman" w:hAnsi="Times New Roman" w:cs="Times New Roman"/>
          <w:sz w:val="24"/>
          <w:szCs w:val="24"/>
          <w:lang w:eastAsia="en-GB"/>
        </w:rPr>
        <w:t>he prospective roll out</w:t>
      </w:r>
      <w:r w:rsidR="00536DE3" w:rsidRPr="00536DE3">
        <w:rPr>
          <w:rFonts w:ascii="Times New Roman" w:eastAsia="Times New Roman" w:hAnsi="Times New Roman" w:cs="Times New Roman"/>
          <w:sz w:val="24"/>
          <w:szCs w:val="24"/>
          <w:lang w:eastAsia="en-GB"/>
        </w:rPr>
        <w:t xml:space="preserve"> of Universal Credit, that bundles all benefits toget</w:t>
      </w:r>
      <w:r w:rsidR="00FB15C3">
        <w:rPr>
          <w:rFonts w:ascii="Times New Roman" w:eastAsia="Times New Roman" w:hAnsi="Times New Roman" w:cs="Times New Roman"/>
          <w:sz w:val="24"/>
          <w:szCs w:val="24"/>
          <w:lang w:eastAsia="en-GB"/>
        </w:rPr>
        <w:t>her into one single payment, is likely to</w:t>
      </w:r>
      <w:r w:rsidR="00536DE3" w:rsidRPr="00536DE3">
        <w:rPr>
          <w:rFonts w:ascii="Times New Roman" w:eastAsia="Times New Roman" w:hAnsi="Times New Roman" w:cs="Times New Roman"/>
          <w:sz w:val="24"/>
          <w:szCs w:val="24"/>
          <w:lang w:eastAsia="en-GB"/>
        </w:rPr>
        <w:t xml:space="preserve"> impose further di</w:t>
      </w:r>
      <w:r w:rsidR="00A50DBA">
        <w:rPr>
          <w:rFonts w:ascii="Times New Roman" w:eastAsia="Times New Roman" w:hAnsi="Times New Roman" w:cs="Times New Roman"/>
          <w:sz w:val="24"/>
          <w:szCs w:val="24"/>
          <w:lang w:eastAsia="en-GB"/>
        </w:rPr>
        <w:t>fficulties on claimants</w:t>
      </w:r>
      <w:r w:rsidR="00536DE3" w:rsidRPr="00536DE3">
        <w:rPr>
          <w:rFonts w:ascii="Times New Roman" w:eastAsia="Times New Roman" w:hAnsi="Times New Roman" w:cs="Times New Roman"/>
          <w:sz w:val="24"/>
          <w:szCs w:val="24"/>
          <w:vertAlign w:val="superscript"/>
          <w:lang w:eastAsia="en-GB"/>
        </w:rPr>
        <w:endnoteReference w:id="3"/>
      </w:r>
      <w:r w:rsidR="00FB15C3">
        <w:rPr>
          <w:rFonts w:ascii="Times New Roman" w:eastAsia="Times New Roman" w:hAnsi="Times New Roman" w:cs="Times New Roman"/>
          <w:sz w:val="24"/>
          <w:szCs w:val="24"/>
          <w:lang w:eastAsia="en-GB"/>
        </w:rPr>
        <w:t xml:space="preserve"> Aside from the</w:t>
      </w:r>
      <w:r w:rsidR="00536DE3" w:rsidRPr="00536DE3">
        <w:rPr>
          <w:rFonts w:ascii="Times New Roman" w:eastAsia="Times New Roman" w:hAnsi="Times New Roman" w:cs="Times New Roman"/>
          <w:sz w:val="24"/>
          <w:szCs w:val="24"/>
          <w:lang w:eastAsia="en-GB"/>
        </w:rPr>
        <w:t xml:space="preserve"> </w:t>
      </w:r>
      <w:r w:rsidR="00AC2A36">
        <w:rPr>
          <w:rFonts w:ascii="Times New Roman" w:eastAsia="Times New Roman" w:hAnsi="Times New Roman" w:cs="Times New Roman"/>
          <w:sz w:val="24"/>
          <w:szCs w:val="24"/>
          <w:lang w:eastAsia="en-GB"/>
        </w:rPr>
        <w:t>general squeeze on benefit</w:t>
      </w:r>
      <w:r w:rsidR="00536DE3" w:rsidRPr="00536DE3">
        <w:rPr>
          <w:rFonts w:ascii="Times New Roman" w:eastAsia="Times New Roman" w:hAnsi="Times New Roman" w:cs="Times New Roman"/>
          <w:sz w:val="24"/>
          <w:szCs w:val="24"/>
          <w:lang w:eastAsia="en-GB"/>
        </w:rPr>
        <w:t xml:space="preserve">s, the proposed move to monthly rather than the current weekly payments raises the evident prospect that many cash strapped recipients will run short of money before the end of a month. Given the understandable prioritisation of food and energy it </w:t>
      </w:r>
      <w:r w:rsidR="00ED68AA">
        <w:rPr>
          <w:rFonts w:ascii="Times New Roman" w:eastAsia="Times New Roman" w:hAnsi="Times New Roman" w:cs="Times New Roman"/>
          <w:sz w:val="24"/>
          <w:szCs w:val="24"/>
          <w:lang w:eastAsia="en-GB"/>
        </w:rPr>
        <w:t xml:space="preserve">also </w:t>
      </w:r>
      <w:r w:rsidR="00536DE3" w:rsidRPr="00536DE3">
        <w:rPr>
          <w:rFonts w:ascii="Times New Roman" w:eastAsia="Times New Roman" w:hAnsi="Times New Roman" w:cs="Times New Roman"/>
          <w:sz w:val="24"/>
          <w:szCs w:val="24"/>
          <w:lang w:eastAsia="en-GB"/>
        </w:rPr>
        <w:t>seems reasonable to</w:t>
      </w:r>
      <w:r w:rsidR="00AC2A36">
        <w:rPr>
          <w:rFonts w:ascii="Times New Roman" w:eastAsia="Times New Roman" w:hAnsi="Times New Roman" w:cs="Times New Roman"/>
          <w:sz w:val="24"/>
          <w:szCs w:val="24"/>
          <w:lang w:eastAsia="en-GB"/>
        </w:rPr>
        <w:t xml:space="preserve"> conclude that Universal Credit -</w:t>
      </w:r>
      <w:r w:rsidR="00536DE3" w:rsidRPr="00536DE3">
        <w:rPr>
          <w:rFonts w:ascii="Times New Roman" w:eastAsia="Times New Roman" w:hAnsi="Times New Roman" w:cs="Times New Roman"/>
          <w:sz w:val="24"/>
          <w:szCs w:val="24"/>
          <w:lang w:eastAsia="en-GB"/>
        </w:rPr>
        <w:t xml:space="preserve"> assuming it is ever implemented nationally given ongoing problems with its implementation</w:t>
      </w:r>
      <w:r w:rsidR="001B56D7">
        <w:rPr>
          <w:rFonts w:ascii="Times New Roman" w:eastAsia="Times New Roman" w:hAnsi="Times New Roman" w:cs="Times New Roman"/>
          <w:sz w:val="24"/>
          <w:szCs w:val="24"/>
          <w:lang w:eastAsia="en-GB"/>
        </w:rPr>
        <w:t xml:space="preserve"> in pilot areas</w:t>
      </w:r>
      <w:r w:rsidR="00AC2A36">
        <w:rPr>
          <w:rFonts w:ascii="Times New Roman" w:eastAsia="Times New Roman" w:hAnsi="Times New Roman" w:cs="Times New Roman"/>
          <w:sz w:val="24"/>
          <w:szCs w:val="24"/>
          <w:lang w:eastAsia="en-GB"/>
        </w:rPr>
        <w:t xml:space="preserve"> -</w:t>
      </w:r>
      <w:r w:rsidR="00536DE3" w:rsidRPr="00536DE3">
        <w:rPr>
          <w:rFonts w:ascii="Times New Roman" w:eastAsia="Times New Roman" w:hAnsi="Times New Roman" w:cs="Times New Roman"/>
          <w:sz w:val="24"/>
          <w:szCs w:val="24"/>
          <w:lang w:eastAsia="en-GB"/>
        </w:rPr>
        <w:t xml:space="preserve"> will exacerbate the</w:t>
      </w:r>
      <w:r w:rsidR="00C516EF">
        <w:rPr>
          <w:rFonts w:ascii="Times New Roman" w:eastAsia="Times New Roman" w:hAnsi="Times New Roman" w:cs="Times New Roman"/>
          <w:sz w:val="24"/>
          <w:szCs w:val="24"/>
          <w:lang w:eastAsia="en-GB"/>
        </w:rPr>
        <w:t>se</w:t>
      </w:r>
      <w:r w:rsidR="00536DE3" w:rsidRPr="00536DE3">
        <w:rPr>
          <w:rFonts w:ascii="Times New Roman" w:eastAsia="Times New Roman" w:hAnsi="Times New Roman" w:cs="Times New Roman"/>
          <w:sz w:val="24"/>
          <w:szCs w:val="24"/>
          <w:lang w:eastAsia="en-GB"/>
        </w:rPr>
        <w:t xml:space="preserve"> neg</w:t>
      </w:r>
      <w:r w:rsidR="00C516EF">
        <w:rPr>
          <w:rFonts w:ascii="Times New Roman" w:eastAsia="Times New Roman" w:hAnsi="Times New Roman" w:cs="Times New Roman"/>
          <w:sz w:val="24"/>
          <w:szCs w:val="24"/>
          <w:lang w:eastAsia="en-GB"/>
        </w:rPr>
        <w:t xml:space="preserve">ative effects, </w:t>
      </w:r>
      <w:r w:rsidR="00536DE3" w:rsidRPr="00536DE3">
        <w:rPr>
          <w:rFonts w:ascii="Times New Roman" w:eastAsia="Times New Roman" w:hAnsi="Times New Roman" w:cs="Times New Roman"/>
          <w:sz w:val="24"/>
          <w:szCs w:val="24"/>
          <w:lang w:eastAsia="en-GB"/>
        </w:rPr>
        <w:t>pushing increasing numbers into rent arrears and eviction.</w:t>
      </w:r>
      <w:r w:rsidR="005349EF">
        <w:rPr>
          <w:rFonts w:ascii="Times New Roman" w:eastAsia="Times New Roman" w:hAnsi="Times New Roman" w:cs="Times New Roman"/>
          <w:sz w:val="24"/>
          <w:szCs w:val="24"/>
          <w:lang w:eastAsia="en-GB"/>
        </w:rPr>
        <w:t xml:space="preserve"> </w:t>
      </w: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 xml:space="preserve">  </w:t>
      </w: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 xml:space="preserve">Overall, the current direction of </w:t>
      </w:r>
      <w:r w:rsidR="00712D5A">
        <w:rPr>
          <w:rFonts w:ascii="Times New Roman" w:eastAsia="Times New Roman" w:hAnsi="Times New Roman" w:cs="Times New Roman"/>
          <w:sz w:val="24"/>
          <w:szCs w:val="24"/>
          <w:lang w:eastAsia="en-GB"/>
        </w:rPr>
        <w:t xml:space="preserve">government policy </w:t>
      </w:r>
      <w:r w:rsidRPr="00536DE3">
        <w:rPr>
          <w:rFonts w:ascii="Times New Roman" w:eastAsia="Times New Roman" w:hAnsi="Times New Roman" w:cs="Times New Roman"/>
          <w:sz w:val="24"/>
          <w:szCs w:val="24"/>
          <w:lang w:eastAsia="en-GB"/>
        </w:rPr>
        <w:t>suggests that while those on low wages and the unemployed have retained the right to some assistance with accommodation, albeit on increasingly meagre terms, it may be argued that the</w:t>
      </w:r>
      <w:r w:rsidR="00712D5A">
        <w:rPr>
          <w:rFonts w:ascii="Times New Roman" w:eastAsia="Times New Roman" w:hAnsi="Times New Roman" w:cs="Times New Roman"/>
          <w:sz w:val="24"/>
          <w:szCs w:val="24"/>
          <w:lang w:eastAsia="en-GB"/>
        </w:rPr>
        <w:t xml:space="preserve">y have lost the right to have </w:t>
      </w:r>
      <w:r w:rsidRPr="00536DE3">
        <w:rPr>
          <w:rFonts w:ascii="Times New Roman" w:eastAsia="Times New Roman" w:hAnsi="Times New Roman" w:cs="Times New Roman"/>
          <w:sz w:val="24"/>
          <w:szCs w:val="24"/>
          <w:lang w:eastAsia="en-GB"/>
        </w:rPr>
        <w:t xml:space="preserve">a secure and settled ‘home’. </w:t>
      </w:r>
      <w:r w:rsidR="005349EF">
        <w:rPr>
          <w:rFonts w:ascii="Times New Roman" w:eastAsia="Times New Roman" w:hAnsi="Times New Roman" w:cs="Times New Roman"/>
          <w:sz w:val="24"/>
          <w:szCs w:val="24"/>
          <w:lang w:eastAsia="en-GB"/>
        </w:rPr>
        <w:t xml:space="preserve">This </w:t>
      </w:r>
      <w:r w:rsidR="00F424A6">
        <w:rPr>
          <w:rFonts w:ascii="Times New Roman" w:eastAsia="Times New Roman" w:hAnsi="Times New Roman" w:cs="Times New Roman"/>
          <w:sz w:val="24"/>
          <w:szCs w:val="24"/>
          <w:lang w:eastAsia="en-GB"/>
        </w:rPr>
        <w:t xml:space="preserve">scenario </w:t>
      </w:r>
      <w:r w:rsidR="005349EF">
        <w:rPr>
          <w:rFonts w:ascii="Times New Roman" w:eastAsia="Times New Roman" w:hAnsi="Times New Roman" w:cs="Times New Roman"/>
          <w:sz w:val="24"/>
          <w:szCs w:val="24"/>
          <w:lang w:eastAsia="en-GB"/>
        </w:rPr>
        <w:t xml:space="preserve">not only applies to renters, however, as </w:t>
      </w:r>
      <w:r w:rsidR="008404E5">
        <w:rPr>
          <w:rFonts w:ascii="Times New Roman" w:eastAsia="Times New Roman" w:hAnsi="Times New Roman" w:cs="Times New Roman"/>
          <w:sz w:val="24"/>
          <w:szCs w:val="24"/>
          <w:lang w:eastAsia="en-GB"/>
        </w:rPr>
        <w:t xml:space="preserve">assistance for </w:t>
      </w:r>
      <w:r w:rsidR="00F424A6">
        <w:rPr>
          <w:rFonts w:ascii="Times New Roman" w:eastAsia="Times New Roman" w:hAnsi="Times New Roman" w:cs="Times New Roman"/>
          <w:sz w:val="24"/>
          <w:szCs w:val="24"/>
          <w:lang w:eastAsia="en-GB"/>
        </w:rPr>
        <w:t xml:space="preserve">unemployed </w:t>
      </w:r>
      <w:r w:rsidR="00712D5A">
        <w:rPr>
          <w:rFonts w:ascii="Times New Roman" w:eastAsia="Times New Roman" w:hAnsi="Times New Roman" w:cs="Times New Roman"/>
          <w:sz w:val="24"/>
          <w:szCs w:val="24"/>
          <w:lang w:eastAsia="en-GB"/>
        </w:rPr>
        <w:t>homeowners - (</w:t>
      </w:r>
      <w:r w:rsidR="008404E5">
        <w:rPr>
          <w:rFonts w:ascii="Times New Roman" w:eastAsia="Times New Roman" w:hAnsi="Times New Roman" w:cs="Times New Roman"/>
          <w:sz w:val="24"/>
          <w:szCs w:val="24"/>
          <w:lang w:eastAsia="en-GB"/>
        </w:rPr>
        <w:t>Supp</w:t>
      </w:r>
      <w:r w:rsidR="00712D5A">
        <w:rPr>
          <w:rFonts w:ascii="Times New Roman" w:eastAsia="Times New Roman" w:hAnsi="Times New Roman" w:cs="Times New Roman"/>
          <w:sz w:val="24"/>
          <w:szCs w:val="24"/>
          <w:lang w:eastAsia="en-GB"/>
        </w:rPr>
        <w:t>ort for Mortgage Interest (SMI) -</w:t>
      </w:r>
      <w:r w:rsidR="008404E5">
        <w:rPr>
          <w:rFonts w:ascii="Times New Roman" w:eastAsia="Times New Roman" w:hAnsi="Times New Roman" w:cs="Times New Roman"/>
          <w:sz w:val="24"/>
          <w:szCs w:val="24"/>
          <w:lang w:eastAsia="en-GB"/>
        </w:rPr>
        <w:t xml:space="preserve"> has also become progressively less supportive. </w:t>
      </w: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p>
    <w:p w:rsidR="00536DE3" w:rsidRPr="00B7096E" w:rsidRDefault="00536DE3" w:rsidP="00536DE3">
      <w:pPr>
        <w:spacing w:after="0" w:line="480" w:lineRule="auto"/>
        <w:jc w:val="both"/>
        <w:rPr>
          <w:rFonts w:ascii="Times New Roman" w:eastAsia="Times New Roman" w:hAnsi="Times New Roman" w:cs="Times New Roman"/>
          <w:i/>
          <w:sz w:val="24"/>
          <w:szCs w:val="24"/>
          <w:lang w:eastAsia="en-GB"/>
        </w:rPr>
      </w:pPr>
      <w:r w:rsidRPr="00B7096E">
        <w:rPr>
          <w:rFonts w:ascii="Times New Roman" w:eastAsia="Times New Roman" w:hAnsi="Times New Roman" w:cs="Times New Roman"/>
          <w:i/>
          <w:sz w:val="24"/>
          <w:szCs w:val="24"/>
          <w:lang w:eastAsia="en-GB"/>
        </w:rPr>
        <w:t>Supporting the Market: ‘Help to Buy’</w:t>
      </w: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p>
    <w:p w:rsidR="00536DE3" w:rsidRPr="00536DE3" w:rsidRDefault="009F3437" w:rsidP="00536DE3">
      <w:pPr>
        <w:spacing w:after="0"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While changes to the welfare system are compounding housing</w:t>
      </w:r>
      <w:r w:rsidR="00811F67">
        <w:rPr>
          <w:rFonts w:ascii="Times New Roman" w:eastAsia="Times New Roman" w:hAnsi="Times New Roman" w:cs="Times New Roman"/>
          <w:sz w:val="24"/>
          <w:szCs w:val="24"/>
          <w:lang w:eastAsia="en-GB"/>
        </w:rPr>
        <w:t xml:space="preserve"> insecurity</w:t>
      </w:r>
      <w:r>
        <w:rPr>
          <w:rFonts w:ascii="Times New Roman" w:eastAsia="Times New Roman" w:hAnsi="Times New Roman" w:cs="Times New Roman"/>
          <w:sz w:val="24"/>
          <w:szCs w:val="24"/>
          <w:lang w:eastAsia="en-GB"/>
        </w:rPr>
        <w:t xml:space="preserve">, other planks of housing policy are placing home ownership further out of reach. </w:t>
      </w:r>
      <w:r w:rsidR="00F424A6">
        <w:rPr>
          <w:rFonts w:ascii="Times New Roman" w:eastAsia="Times New Roman" w:hAnsi="Times New Roman" w:cs="Times New Roman"/>
          <w:sz w:val="24"/>
          <w:szCs w:val="24"/>
          <w:lang w:eastAsia="en-GB"/>
        </w:rPr>
        <w:t>Notably</w:t>
      </w:r>
      <w:r w:rsidR="00536DE3" w:rsidRPr="00536DE3">
        <w:rPr>
          <w:rFonts w:ascii="Times New Roman" w:eastAsia="Times New Roman" w:hAnsi="Times New Roman" w:cs="Times New Roman"/>
          <w:sz w:val="24"/>
          <w:szCs w:val="24"/>
          <w:lang w:eastAsia="en-GB"/>
        </w:rPr>
        <w:t xml:space="preserve">, ‘Help to Buy’ stands out as being the most radical </w:t>
      </w:r>
      <w:r w:rsidR="00712D5A">
        <w:rPr>
          <w:rFonts w:ascii="Times New Roman" w:eastAsia="Times New Roman" w:hAnsi="Times New Roman" w:cs="Times New Roman"/>
          <w:sz w:val="24"/>
          <w:szCs w:val="24"/>
          <w:lang w:eastAsia="en-GB"/>
        </w:rPr>
        <w:t xml:space="preserve">and controversial </w:t>
      </w:r>
      <w:r w:rsidR="00536DE3" w:rsidRPr="00536DE3">
        <w:rPr>
          <w:rFonts w:ascii="Times New Roman" w:eastAsia="Times New Roman" w:hAnsi="Times New Roman" w:cs="Times New Roman"/>
          <w:sz w:val="24"/>
          <w:szCs w:val="24"/>
          <w:lang w:eastAsia="en-GB"/>
        </w:rPr>
        <w:t xml:space="preserve">of a sequence of government interventions aimed at supporting mortgage lending and home buying. Under the first phase of this two part scheme the UK government offers 20% interest free loans for five years on new build properties to buyers who can raise a 5% deposit. The second phase of the scheme provides a guarantee to lenders of 15% of the advance on loans for the purchase of pre-owned property, once more providing that the purchaser contributes 5%. In terms of both phases the taxpayer assumes a proportion of the risk on new mortgages advances while </w:t>
      </w:r>
      <w:r w:rsidR="00712D5A">
        <w:rPr>
          <w:rFonts w:ascii="Times New Roman" w:eastAsia="Times New Roman" w:hAnsi="Times New Roman" w:cs="Times New Roman"/>
          <w:sz w:val="24"/>
          <w:szCs w:val="24"/>
          <w:lang w:eastAsia="en-GB"/>
        </w:rPr>
        <w:t xml:space="preserve">effectively </w:t>
      </w:r>
      <w:r w:rsidR="00536DE3" w:rsidRPr="00536DE3">
        <w:rPr>
          <w:rFonts w:ascii="Times New Roman" w:eastAsia="Times New Roman" w:hAnsi="Times New Roman" w:cs="Times New Roman"/>
          <w:sz w:val="24"/>
          <w:szCs w:val="24"/>
          <w:lang w:eastAsia="en-GB"/>
        </w:rPr>
        <w:t xml:space="preserve">supporting the return of 95% loans (DCLG 2013). </w:t>
      </w:r>
    </w:p>
    <w:p w:rsidR="00536DE3" w:rsidRPr="00536DE3" w:rsidRDefault="00536DE3" w:rsidP="00536DE3">
      <w:pPr>
        <w:spacing w:after="0" w:line="480" w:lineRule="auto"/>
        <w:ind w:left="567" w:right="521"/>
        <w:jc w:val="both"/>
        <w:rPr>
          <w:rFonts w:ascii="Times New Roman" w:eastAsia="Times New Roman" w:hAnsi="Times New Roman" w:cs="Times New Roman"/>
          <w:sz w:val="20"/>
          <w:szCs w:val="20"/>
          <w:lang w:eastAsia="en-GB"/>
        </w:rPr>
      </w:pPr>
    </w:p>
    <w:p w:rsidR="00536DE3" w:rsidRPr="00536DE3" w:rsidRDefault="00536DE3" w:rsidP="00536DE3">
      <w:pPr>
        <w:tabs>
          <w:tab w:val="left" w:pos="7938"/>
          <w:tab w:val="left" w:pos="8080"/>
        </w:tabs>
        <w:spacing w:after="0" w:line="480" w:lineRule="auto"/>
        <w:ind w:left="567" w:right="1088"/>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The housing market needs help to supply, not help to buy and the extension of this scheme is very dangerous...Government guarantees will not increase the supply of homes, but they will drive up prices at a time when it seems likely that house prices are already over-valued (Graeme Leach, Chief Economist at the Institute of Directors, The Telegraph, 19 August 2013)</w:t>
      </w: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As above, this Conservative led initiative has attracted criticism even from some of its own traditio</w:t>
      </w:r>
      <w:r w:rsidR="00ED68AA">
        <w:rPr>
          <w:rFonts w:ascii="Times New Roman" w:eastAsia="Times New Roman" w:hAnsi="Times New Roman" w:cs="Times New Roman"/>
          <w:sz w:val="24"/>
          <w:szCs w:val="24"/>
          <w:lang w:eastAsia="en-GB"/>
        </w:rPr>
        <w:t xml:space="preserve">nal constituency, and </w:t>
      </w:r>
      <w:r w:rsidRPr="00536DE3">
        <w:rPr>
          <w:rFonts w:ascii="Times New Roman" w:eastAsia="Times New Roman" w:hAnsi="Times New Roman" w:cs="Times New Roman"/>
          <w:sz w:val="24"/>
          <w:szCs w:val="24"/>
          <w:lang w:eastAsia="en-GB"/>
        </w:rPr>
        <w:t>from the government’s own Liberal Democrat Busines</w:t>
      </w:r>
      <w:r w:rsidR="00627416">
        <w:rPr>
          <w:rFonts w:ascii="Times New Roman" w:eastAsia="Times New Roman" w:hAnsi="Times New Roman" w:cs="Times New Roman"/>
          <w:sz w:val="24"/>
          <w:szCs w:val="24"/>
          <w:lang w:eastAsia="en-GB"/>
        </w:rPr>
        <w:t>s</w:t>
      </w:r>
      <w:r w:rsidRPr="00536DE3">
        <w:rPr>
          <w:rFonts w:ascii="Times New Roman" w:eastAsia="Times New Roman" w:hAnsi="Times New Roman" w:cs="Times New Roman"/>
          <w:sz w:val="24"/>
          <w:szCs w:val="24"/>
          <w:lang w:eastAsia="en-GB"/>
        </w:rPr>
        <w:t xml:space="preserve"> Secretary, Vince Cable. The chief c</w:t>
      </w:r>
      <w:r w:rsidR="00712D5A">
        <w:rPr>
          <w:rFonts w:ascii="Times New Roman" w:eastAsia="Times New Roman" w:hAnsi="Times New Roman" w:cs="Times New Roman"/>
          <w:sz w:val="24"/>
          <w:szCs w:val="24"/>
          <w:lang w:eastAsia="en-GB"/>
        </w:rPr>
        <w:t>riticism is that it risks</w:t>
      </w:r>
      <w:r w:rsidRPr="00536DE3">
        <w:rPr>
          <w:rFonts w:ascii="Times New Roman" w:eastAsia="Times New Roman" w:hAnsi="Times New Roman" w:cs="Times New Roman"/>
          <w:sz w:val="24"/>
          <w:szCs w:val="24"/>
          <w:lang w:eastAsia="en-GB"/>
        </w:rPr>
        <w:t xml:space="preserve"> furthe</w:t>
      </w:r>
      <w:r w:rsidR="00712D5A">
        <w:rPr>
          <w:rFonts w:ascii="Times New Roman" w:eastAsia="Times New Roman" w:hAnsi="Times New Roman" w:cs="Times New Roman"/>
          <w:sz w:val="24"/>
          <w:szCs w:val="24"/>
          <w:lang w:eastAsia="en-GB"/>
        </w:rPr>
        <w:t>r inflating</w:t>
      </w:r>
      <w:r w:rsidRPr="00536DE3">
        <w:rPr>
          <w:rFonts w:ascii="Times New Roman" w:eastAsia="Times New Roman" w:hAnsi="Times New Roman" w:cs="Times New Roman"/>
          <w:sz w:val="24"/>
          <w:szCs w:val="24"/>
          <w:lang w:eastAsia="en-GB"/>
        </w:rPr>
        <w:t xml:space="preserve"> an already overvalued asset class. At the tim</w:t>
      </w:r>
      <w:r w:rsidR="001E56D7">
        <w:rPr>
          <w:rFonts w:ascii="Times New Roman" w:eastAsia="Times New Roman" w:hAnsi="Times New Roman" w:cs="Times New Roman"/>
          <w:sz w:val="24"/>
          <w:szCs w:val="24"/>
          <w:lang w:eastAsia="en-GB"/>
        </w:rPr>
        <w:t xml:space="preserve">e of writing this appears </w:t>
      </w:r>
      <w:r w:rsidRPr="00536DE3">
        <w:rPr>
          <w:rFonts w:ascii="Times New Roman" w:eastAsia="Times New Roman" w:hAnsi="Times New Roman" w:cs="Times New Roman"/>
          <w:sz w:val="24"/>
          <w:szCs w:val="24"/>
          <w:lang w:eastAsia="en-GB"/>
        </w:rPr>
        <w:t>well underway, driven by this and earlier government scheme</w:t>
      </w:r>
      <w:r w:rsidR="00ED68AA">
        <w:rPr>
          <w:rFonts w:ascii="Times New Roman" w:eastAsia="Times New Roman" w:hAnsi="Times New Roman" w:cs="Times New Roman"/>
          <w:sz w:val="24"/>
          <w:szCs w:val="24"/>
          <w:lang w:eastAsia="en-GB"/>
        </w:rPr>
        <w:t>s</w:t>
      </w:r>
      <w:r w:rsidRPr="00536DE3">
        <w:rPr>
          <w:rFonts w:ascii="Times New Roman" w:eastAsia="Times New Roman" w:hAnsi="Times New Roman" w:cs="Times New Roman"/>
          <w:sz w:val="24"/>
          <w:szCs w:val="24"/>
          <w:lang w:eastAsia="en-GB"/>
        </w:rPr>
        <w:t>, such as Funding for Lending, one effect of which was the lowering of interest ra</w:t>
      </w:r>
      <w:r w:rsidR="00712D5A">
        <w:rPr>
          <w:rFonts w:ascii="Times New Roman" w:eastAsia="Times New Roman" w:hAnsi="Times New Roman" w:cs="Times New Roman"/>
          <w:sz w:val="24"/>
          <w:szCs w:val="24"/>
          <w:lang w:eastAsia="en-GB"/>
        </w:rPr>
        <w:t>tes on mortgages,</w:t>
      </w:r>
      <w:r w:rsidR="00F424A6">
        <w:rPr>
          <w:rFonts w:ascii="Times New Roman" w:eastAsia="Times New Roman" w:hAnsi="Times New Roman" w:cs="Times New Roman"/>
          <w:sz w:val="24"/>
          <w:szCs w:val="24"/>
          <w:lang w:eastAsia="en-GB"/>
        </w:rPr>
        <w:t xml:space="preserve"> including buy-to-</w:t>
      </w:r>
      <w:r w:rsidRPr="00536DE3">
        <w:rPr>
          <w:rFonts w:ascii="Times New Roman" w:eastAsia="Times New Roman" w:hAnsi="Times New Roman" w:cs="Times New Roman"/>
          <w:sz w:val="24"/>
          <w:szCs w:val="24"/>
          <w:lang w:eastAsia="en-GB"/>
        </w:rPr>
        <w:t>let products. (Council of Mortgage Lenders (CML) August 2013). W</w:t>
      </w:r>
      <w:r w:rsidR="00F424A6">
        <w:rPr>
          <w:rFonts w:ascii="Times New Roman" w:eastAsia="Times New Roman" w:hAnsi="Times New Roman" w:cs="Times New Roman"/>
          <w:sz w:val="24"/>
          <w:szCs w:val="24"/>
          <w:lang w:eastAsia="en-GB"/>
        </w:rPr>
        <w:t>ith such interventions to ‘refuel’</w:t>
      </w:r>
      <w:r w:rsidRPr="00536DE3">
        <w:rPr>
          <w:rFonts w:ascii="Times New Roman" w:eastAsia="Times New Roman" w:hAnsi="Times New Roman" w:cs="Times New Roman"/>
          <w:sz w:val="24"/>
          <w:szCs w:val="24"/>
          <w:lang w:eastAsia="en-GB"/>
        </w:rPr>
        <w:t xml:space="preserve"> mortgage lending the UK government appears to have shifted focus from an asserted aim of rebalancing the economy in favour of manufacturing to reviving the debt fuelled expansion, house price inflation, speculation and consumption that has dominated the UK economy over the last few decades; the precise strategy that produced the serial booms and busts that culminated with the credit crunch (Author 2010). </w:t>
      </w: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p>
    <w:p w:rsidR="00536DE3" w:rsidRDefault="00536DE3" w:rsidP="00536DE3">
      <w:pPr>
        <w:spacing w:after="0" w:line="480" w:lineRule="auto"/>
        <w:ind w:left="567" w:right="1088"/>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 xml:space="preserve">The Help to Buy scheme is an utter travesty. The government reckon they have a policy that will help me and other young adults, but it’s managing to achieve the exact opposite, condemning thousands of us every month to a lifetime at the mercy of landlords (Dan Wilson Craw, PricedOut, 19 </w:t>
      </w:r>
      <w:r w:rsidR="00065234" w:rsidRPr="00536DE3">
        <w:rPr>
          <w:rFonts w:ascii="Times New Roman" w:eastAsia="Times New Roman" w:hAnsi="Times New Roman" w:cs="Times New Roman"/>
          <w:sz w:val="24"/>
          <w:szCs w:val="24"/>
          <w:lang w:eastAsia="en-GB"/>
        </w:rPr>
        <w:t>February 2014</w:t>
      </w:r>
      <w:r w:rsidRPr="00536DE3">
        <w:rPr>
          <w:rFonts w:ascii="Times New Roman" w:eastAsia="Times New Roman" w:hAnsi="Times New Roman" w:cs="Times New Roman"/>
          <w:sz w:val="24"/>
          <w:szCs w:val="24"/>
          <w:lang w:eastAsia="en-GB"/>
        </w:rPr>
        <w:t>).</w:t>
      </w:r>
    </w:p>
    <w:p w:rsidR="00ED68AA" w:rsidRPr="00536DE3" w:rsidRDefault="00ED68AA" w:rsidP="00536DE3">
      <w:pPr>
        <w:spacing w:after="0" w:line="480" w:lineRule="auto"/>
        <w:ind w:left="567" w:right="1088"/>
        <w:jc w:val="both"/>
        <w:rPr>
          <w:rFonts w:ascii="Times New Roman" w:eastAsia="Times New Roman" w:hAnsi="Times New Roman" w:cs="Times New Roman"/>
          <w:sz w:val="24"/>
          <w:szCs w:val="24"/>
          <w:lang w:eastAsia="en-GB"/>
        </w:rPr>
      </w:pP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As above, Help to Buy has also</w:t>
      </w:r>
      <w:r w:rsidR="00ED68AA">
        <w:rPr>
          <w:rFonts w:ascii="Times New Roman" w:eastAsia="Times New Roman" w:hAnsi="Times New Roman" w:cs="Times New Roman"/>
          <w:sz w:val="24"/>
          <w:szCs w:val="24"/>
          <w:lang w:eastAsia="en-GB"/>
        </w:rPr>
        <w:t xml:space="preserve"> been condemned by the very</w:t>
      </w:r>
      <w:r w:rsidRPr="00536DE3">
        <w:rPr>
          <w:rFonts w:ascii="Times New Roman" w:eastAsia="Times New Roman" w:hAnsi="Times New Roman" w:cs="Times New Roman"/>
          <w:sz w:val="24"/>
          <w:szCs w:val="24"/>
          <w:lang w:eastAsia="en-GB"/>
        </w:rPr>
        <w:t xml:space="preserve"> groups representing its asserted beneficiaries, prospective first time buyers, who see the policy as being aimed at supporting overvalued house prices, favouring existing homeowners, banks, landlords and housebuilders. Their position is that first time buyers would be better served by a return to ‘normal’ credit conditions, substantially increased supply, and less government support for property investment (http://www.pricedout.org.uk/2013). </w:t>
      </w: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 xml:space="preserve">Government assertions that the boosting of mortgage credit would stimulate a substantial rise in new building may be treated with considerable caution given both current experience and that during the credit bubble where, as discussed below, supply did not substantially increase in relation to the level of increased demand (see Figure 5). </w:t>
      </w: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 xml:space="preserve">Overall, Help to Buy, as with other forms of government stimulus, merely exacerbates the dilemma that </w:t>
      </w:r>
      <w:r w:rsidR="009F3437">
        <w:rPr>
          <w:rFonts w:ascii="Times New Roman" w:eastAsia="Times New Roman" w:hAnsi="Times New Roman" w:cs="Times New Roman"/>
          <w:sz w:val="24"/>
          <w:szCs w:val="24"/>
          <w:lang w:eastAsia="en-GB"/>
        </w:rPr>
        <w:t xml:space="preserve">prospective </w:t>
      </w:r>
      <w:r w:rsidRPr="00536DE3">
        <w:rPr>
          <w:rFonts w:ascii="Times New Roman" w:eastAsia="Times New Roman" w:hAnsi="Times New Roman" w:cs="Times New Roman"/>
          <w:sz w:val="24"/>
          <w:szCs w:val="24"/>
          <w:lang w:eastAsia="en-GB"/>
        </w:rPr>
        <w:t>FTBs find themselves in. Thus, th</w:t>
      </w:r>
      <w:r w:rsidR="00712D5A">
        <w:rPr>
          <w:rFonts w:ascii="Times New Roman" w:eastAsia="Times New Roman" w:hAnsi="Times New Roman" w:cs="Times New Roman"/>
          <w:sz w:val="24"/>
          <w:szCs w:val="24"/>
          <w:lang w:eastAsia="en-GB"/>
        </w:rPr>
        <w:t>ey are left with the prospect</w:t>
      </w:r>
      <w:r w:rsidRPr="00536DE3">
        <w:rPr>
          <w:rFonts w:ascii="Times New Roman" w:eastAsia="Times New Roman" w:hAnsi="Times New Roman" w:cs="Times New Roman"/>
          <w:sz w:val="24"/>
          <w:szCs w:val="24"/>
          <w:lang w:eastAsia="en-GB"/>
        </w:rPr>
        <w:t xml:space="preserve"> of renting in perpetuity as house prices rise further out of reach or, for those who can, assuming highly risky levels of debt to purchase significantly overvalued property in an artificially inflated market, where any future increase in historically low interest rates and/or withdrawal of government support may easily lead to long term onerous debt servicing, negative equity or repossession. </w:t>
      </w:r>
    </w:p>
    <w:p w:rsidR="00536DE3" w:rsidRPr="00536DE3" w:rsidRDefault="00536DE3" w:rsidP="00536DE3">
      <w:pPr>
        <w:spacing w:after="0" w:line="480" w:lineRule="auto"/>
        <w:jc w:val="both"/>
        <w:rPr>
          <w:rFonts w:ascii="Times New Roman" w:eastAsia="Times New Roman" w:hAnsi="Times New Roman" w:cs="Times New Roman"/>
          <w:b/>
          <w:sz w:val="24"/>
          <w:szCs w:val="24"/>
          <w:lang w:eastAsia="en-GB"/>
        </w:rPr>
      </w:pPr>
    </w:p>
    <w:p w:rsidR="00ED68AA" w:rsidRDefault="00ED68AA" w:rsidP="00536DE3">
      <w:pPr>
        <w:spacing w:after="0" w:line="480" w:lineRule="auto"/>
        <w:jc w:val="both"/>
        <w:rPr>
          <w:rFonts w:ascii="Times New Roman" w:eastAsia="Times New Roman" w:hAnsi="Times New Roman" w:cs="Times New Roman"/>
          <w:b/>
          <w:sz w:val="24"/>
          <w:szCs w:val="24"/>
          <w:lang w:eastAsia="en-GB"/>
        </w:rPr>
      </w:pPr>
    </w:p>
    <w:p w:rsidR="00ED68AA" w:rsidRDefault="00ED68AA" w:rsidP="00536DE3">
      <w:pPr>
        <w:spacing w:after="0" w:line="480" w:lineRule="auto"/>
        <w:jc w:val="both"/>
        <w:rPr>
          <w:rFonts w:ascii="Times New Roman" w:eastAsia="Times New Roman" w:hAnsi="Times New Roman" w:cs="Times New Roman"/>
          <w:b/>
          <w:sz w:val="24"/>
          <w:szCs w:val="24"/>
          <w:lang w:eastAsia="en-GB"/>
        </w:rPr>
      </w:pPr>
    </w:p>
    <w:p w:rsidR="00536DE3" w:rsidRPr="00536DE3" w:rsidRDefault="00536DE3" w:rsidP="00536DE3">
      <w:pPr>
        <w:spacing w:after="0" w:line="480" w:lineRule="auto"/>
        <w:jc w:val="both"/>
        <w:rPr>
          <w:rFonts w:ascii="Times New Roman" w:eastAsia="Times New Roman" w:hAnsi="Times New Roman" w:cs="Times New Roman"/>
          <w:b/>
          <w:sz w:val="24"/>
          <w:szCs w:val="24"/>
          <w:lang w:eastAsia="en-GB"/>
        </w:rPr>
      </w:pPr>
      <w:r w:rsidRPr="00536DE3">
        <w:rPr>
          <w:rFonts w:ascii="Times New Roman" w:eastAsia="Times New Roman" w:hAnsi="Times New Roman" w:cs="Times New Roman"/>
          <w:b/>
          <w:sz w:val="24"/>
          <w:szCs w:val="24"/>
          <w:lang w:eastAsia="en-GB"/>
        </w:rPr>
        <w:t>Housing Conditions: Forward to the Past?</w:t>
      </w: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p>
    <w:p w:rsidR="00536DE3" w:rsidRPr="00536DE3" w:rsidRDefault="00536DE3" w:rsidP="00536DE3">
      <w:pPr>
        <w:tabs>
          <w:tab w:val="left" w:pos="7380"/>
          <w:tab w:val="left" w:pos="7560"/>
        </w:tabs>
        <w:spacing w:after="0" w:line="480" w:lineRule="auto"/>
        <w:ind w:left="540" w:right="926"/>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In comparison to social renting and owner occupation, the PRS has some of the worst housing conditions in terms of facilities and services, and levels of disrepair and unﬁtness ... Damp, condensation, overcrowding, and inadequate cooking and heating facilities are widespread in the sector and not only simply cause inconvenience but also have an effect upon the health and well-being of tenants (Lister 2006).</w:t>
      </w: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p>
    <w:p w:rsidR="00536DE3" w:rsidRPr="00536DE3" w:rsidRDefault="00536DE3" w:rsidP="00536DE3">
      <w:pPr>
        <w:tabs>
          <w:tab w:val="left" w:pos="6960"/>
        </w:tabs>
        <w:spacing w:after="0" w:line="480" w:lineRule="auto"/>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 xml:space="preserve">While the central concern of this piece is housing insecurity, evidently one cannot consider the broader implications of the return to mass private renting without addressing the question of housing quality. In this it seems clear that the PRS, as noted above, both historically and currently, comes off as being much the poorest in terms of quality in comparison to other forms of tenure. This is not to suggest that all contemporary private landlords offer poor quality accommodation (Leyshon and French 2009). However, in the absence of effective regulation, some landlords will inevitably deliver a poor service, particularly where housing is in scarce supply and the tenant has few options. It might also be tentatively argued that, even if one sets aside the differences in the regulatory framework applicable to private renting in the UK and nations such as Germany, the UK sector can be seen to operate within a relatively more aggressively acquisitive culture (Author 2009b). </w:t>
      </w:r>
    </w:p>
    <w:p w:rsidR="00536DE3" w:rsidRPr="00536DE3" w:rsidRDefault="00536DE3" w:rsidP="00536DE3">
      <w:pPr>
        <w:tabs>
          <w:tab w:val="left" w:pos="6960"/>
        </w:tabs>
        <w:spacing w:after="0" w:line="480" w:lineRule="auto"/>
        <w:jc w:val="both"/>
        <w:rPr>
          <w:rFonts w:ascii="Times New Roman" w:eastAsia="Times New Roman" w:hAnsi="Times New Roman" w:cs="Times New Roman"/>
          <w:sz w:val="24"/>
          <w:szCs w:val="24"/>
          <w:lang w:eastAsia="en-GB"/>
        </w:rPr>
      </w:pP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 xml:space="preserve">As implied above, it would be erroneous to suggest that all landlords are the same, in that some undoubtedly have a concern for their tenants and entered the market with a view to generating long term income, while others became ‘accidental’ landlords due to circumstances, i.e. those needing to move but unable to sell in a post-crash market. However, it also seems clear that a significant number of BTL landlords entered the market with a view to making speculative capital gains, viewing housing investment as a potential path to swift and easy riches. (Osborne 2006). </w:t>
      </w:r>
    </w:p>
    <w:p w:rsidR="00F424A6" w:rsidRDefault="00F424A6" w:rsidP="00536DE3">
      <w:pPr>
        <w:spacing w:after="0" w:line="480" w:lineRule="auto"/>
        <w:jc w:val="both"/>
        <w:rPr>
          <w:rFonts w:ascii="Times New Roman" w:eastAsia="Times New Roman" w:hAnsi="Times New Roman" w:cs="Times New Roman"/>
          <w:b/>
          <w:sz w:val="24"/>
          <w:szCs w:val="24"/>
          <w:lang w:eastAsia="en-GB"/>
        </w:rPr>
      </w:pPr>
    </w:p>
    <w:p w:rsidR="00536DE3" w:rsidRPr="00536DE3" w:rsidRDefault="00536DE3" w:rsidP="00536DE3">
      <w:pPr>
        <w:spacing w:after="0" w:line="480" w:lineRule="auto"/>
        <w:jc w:val="both"/>
        <w:rPr>
          <w:rFonts w:ascii="Times New Roman" w:eastAsia="Times New Roman" w:hAnsi="Times New Roman" w:cs="Times New Roman"/>
          <w:b/>
          <w:sz w:val="24"/>
          <w:szCs w:val="24"/>
          <w:lang w:eastAsia="en-GB"/>
        </w:rPr>
      </w:pPr>
      <w:r w:rsidRPr="00536DE3">
        <w:rPr>
          <w:rFonts w:ascii="Times New Roman" w:eastAsia="Times New Roman" w:hAnsi="Times New Roman" w:cs="Times New Roman"/>
          <w:b/>
          <w:sz w:val="24"/>
          <w:szCs w:val="24"/>
          <w:lang w:eastAsia="en-GB"/>
        </w:rPr>
        <w:t>Private Renti</w:t>
      </w:r>
      <w:r w:rsidR="00F424A6">
        <w:rPr>
          <w:rFonts w:ascii="Times New Roman" w:eastAsia="Times New Roman" w:hAnsi="Times New Roman" w:cs="Times New Roman"/>
          <w:b/>
          <w:sz w:val="24"/>
          <w:szCs w:val="24"/>
          <w:lang w:eastAsia="en-GB"/>
        </w:rPr>
        <w:t xml:space="preserve">ng: A ‘Flexible </w:t>
      </w:r>
      <w:r w:rsidRPr="00536DE3">
        <w:rPr>
          <w:rFonts w:ascii="Times New Roman" w:eastAsia="Times New Roman" w:hAnsi="Times New Roman" w:cs="Times New Roman"/>
          <w:b/>
          <w:sz w:val="24"/>
          <w:szCs w:val="24"/>
          <w:lang w:eastAsia="en-GB"/>
        </w:rPr>
        <w:t>Option’</w:t>
      </w: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p>
    <w:p w:rsidR="00536DE3" w:rsidRPr="00536DE3" w:rsidRDefault="00536DE3" w:rsidP="00536DE3">
      <w:pPr>
        <w:spacing w:after="0" w:line="480" w:lineRule="auto"/>
        <w:ind w:left="567" w:right="935"/>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 xml:space="preserve">The private rented sector offers a flexible form of tenure and meets a wide range of housing needs. It contributes to greater labour market mobility and is increasingly the </w:t>
      </w:r>
      <w:r w:rsidRPr="00536DE3">
        <w:rPr>
          <w:rFonts w:ascii="Times New Roman" w:eastAsia="Times New Roman" w:hAnsi="Times New Roman" w:cs="Times New Roman"/>
          <w:i/>
          <w:sz w:val="24"/>
          <w:szCs w:val="24"/>
          <w:lang w:eastAsia="en-GB"/>
        </w:rPr>
        <w:t>tenure of choice</w:t>
      </w:r>
      <w:r w:rsidRPr="00536DE3">
        <w:rPr>
          <w:rFonts w:ascii="Times New Roman" w:eastAsia="Times New Roman" w:hAnsi="Times New Roman" w:cs="Times New Roman"/>
          <w:sz w:val="24"/>
          <w:szCs w:val="24"/>
          <w:lang w:eastAsia="en-GB"/>
        </w:rPr>
        <w:t xml:space="preserve"> (my italics) for young people (DCLG, 2013).</w:t>
      </w: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 xml:space="preserve">Returning to the issue of insecurity, ’flexibility’ is </w:t>
      </w:r>
      <w:r w:rsidR="00EC680F">
        <w:rPr>
          <w:rFonts w:ascii="Times New Roman" w:eastAsia="Times New Roman" w:hAnsi="Times New Roman" w:cs="Times New Roman"/>
          <w:sz w:val="24"/>
          <w:szCs w:val="24"/>
          <w:lang w:eastAsia="en-GB"/>
        </w:rPr>
        <w:t>often suggested</w:t>
      </w:r>
      <w:r w:rsidR="00ED68AA">
        <w:rPr>
          <w:rFonts w:ascii="Times New Roman" w:eastAsia="Times New Roman" w:hAnsi="Times New Roman" w:cs="Times New Roman"/>
          <w:sz w:val="24"/>
          <w:szCs w:val="24"/>
          <w:lang w:eastAsia="en-GB"/>
        </w:rPr>
        <w:t xml:space="preserve"> </w:t>
      </w:r>
      <w:r w:rsidRPr="00536DE3">
        <w:rPr>
          <w:rFonts w:ascii="Times New Roman" w:eastAsia="Times New Roman" w:hAnsi="Times New Roman" w:cs="Times New Roman"/>
          <w:sz w:val="24"/>
          <w:szCs w:val="24"/>
          <w:lang w:eastAsia="en-GB"/>
        </w:rPr>
        <w:t xml:space="preserve">as one of the key reasons for young people </w:t>
      </w:r>
      <w:r w:rsidR="00712D5A">
        <w:rPr>
          <w:rFonts w:ascii="Times New Roman" w:eastAsia="Times New Roman" w:hAnsi="Times New Roman" w:cs="Times New Roman"/>
          <w:i/>
          <w:sz w:val="24"/>
          <w:szCs w:val="24"/>
          <w:lang w:eastAsia="en-GB"/>
        </w:rPr>
        <w:t>opting</w:t>
      </w:r>
      <w:r w:rsidRPr="00536DE3">
        <w:rPr>
          <w:rFonts w:ascii="Times New Roman" w:eastAsia="Times New Roman" w:hAnsi="Times New Roman" w:cs="Times New Roman"/>
          <w:sz w:val="24"/>
          <w:szCs w:val="24"/>
          <w:lang w:eastAsia="en-GB"/>
        </w:rPr>
        <w:t xml:space="preserve"> to rent rather than b</w:t>
      </w:r>
      <w:r w:rsidR="00712D5A">
        <w:rPr>
          <w:rFonts w:ascii="Times New Roman" w:eastAsia="Times New Roman" w:hAnsi="Times New Roman" w:cs="Times New Roman"/>
          <w:sz w:val="24"/>
          <w:szCs w:val="24"/>
          <w:lang w:eastAsia="en-GB"/>
        </w:rPr>
        <w:t xml:space="preserve">uy (Ball 2006; 2010). The </w:t>
      </w:r>
      <w:r w:rsidRPr="00536DE3">
        <w:rPr>
          <w:rFonts w:ascii="Times New Roman" w:eastAsia="Times New Roman" w:hAnsi="Times New Roman" w:cs="Times New Roman"/>
          <w:sz w:val="24"/>
          <w:szCs w:val="24"/>
          <w:lang w:eastAsia="en-GB"/>
        </w:rPr>
        <w:t>implication here is that the sector has grown as a consequence of shifting lifestyle preferences rather than limited choice and financial constraints. However, while this may be the case for students and some young single people in transition between education and more permanent household formation, it is difficult to find much support for this view or to understand private renting’s appeal beyond this sector. Nonetheless, many policymakers and property commentators who endorse the extension of private renting cite the situation in mainland European nations, and notably Germany, where long term renting is common, as a rationale for expanding the PRS in the UK.</w:t>
      </w:r>
      <w:r w:rsidR="00712D5A">
        <w:rPr>
          <w:rFonts w:ascii="Times New Roman" w:eastAsia="Times New Roman" w:hAnsi="Times New Roman" w:cs="Times New Roman"/>
          <w:sz w:val="24"/>
          <w:szCs w:val="24"/>
          <w:lang w:eastAsia="en-GB"/>
        </w:rPr>
        <w:t xml:space="preserve"> S</w:t>
      </w:r>
      <w:r w:rsidRPr="00536DE3">
        <w:rPr>
          <w:rFonts w:ascii="Times New Roman" w:eastAsia="Times New Roman" w:hAnsi="Times New Roman" w:cs="Times New Roman"/>
          <w:sz w:val="24"/>
          <w:szCs w:val="24"/>
          <w:lang w:eastAsia="en-GB"/>
        </w:rPr>
        <w:t>uch comparisons</w:t>
      </w:r>
      <w:r w:rsidR="00712D5A">
        <w:rPr>
          <w:rFonts w:ascii="Times New Roman" w:eastAsia="Times New Roman" w:hAnsi="Times New Roman" w:cs="Times New Roman"/>
          <w:sz w:val="24"/>
          <w:szCs w:val="24"/>
          <w:lang w:eastAsia="en-GB"/>
        </w:rPr>
        <w:t>, however,</w:t>
      </w:r>
      <w:r w:rsidRPr="00536DE3">
        <w:rPr>
          <w:rFonts w:ascii="Times New Roman" w:eastAsia="Times New Roman" w:hAnsi="Times New Roman" w:cs="Times New Roman"/>
          <w:sz w:val="24"/>
          <w:szCs w:val="24"/>
          <w:lang w:eastAsia="en-GB"/>
        </w:rPr>
        <w:t xml:space="preserve"> ignore the evident fact that the encouragement of investment into the UK sector has been orchestrated through the dismantling of any vestige of the type of regulatory framework that renders private renting in nations such as Germany relatively secure, affordable and thus viable as a longer term housing solution (Kemp and Kofner  2010).</w:t>
      </w: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p>
    <w:p w:rsidR="00536DE3" w:rsidRPr="00536DE3" w:rsidRDefault="00536DE3" w:rsidP="00536DE3">
      <w:pPr>
        <w:spacing w:after="0" w:line="480" w:lineRule="auto"/>
        <w:ind w:left="540" w:right="926"/>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People cite the continental rental model – but don't realise that this is based on a much more equitable property market. Germany has many people in rented accommodation, but they also have much stronger tenancy laws and a much longer-term and less rapacious investment model. (Matt Griffith, ‘PricedOut’, The Guardian, 4 June 2011).</w:t>
      </w:r>
    </w:p>
    <w:p w:rsidR="00536DE3" w:rsidRPr="00536DE3" w:rsidRDefault="00536DE3" w:rsidP="00536DE3">
      <w:pPr>
        <w:spacing w:after="0" w:line="480" w:lineRule="auto"/>
        <w:ind w:left="540" w:right="926"/>
        <w:jc w:val="both"/>
        <w:rPr>
          <w:rFonts w:ascii="Times New Roman" w:eastAsia="Times New Roman" w:hAnsi="Times New Roman" w:cs="Times New Roman"/>
          <w:sz w:val="20"/>
          <w:szCs w:val="20"/>
          <w:lang w:eastAsia="en-GB"/>
        </w:rPr>
      </w:pPr>
    </w:p>
    <w:p w:rsidR="00536DE3" w:rsidRPr="00536DE3" w:rsidRDefault="00536DE3" w:rsidP="00536DE3">
      <w:pPr>
        <w:spacing w:after="0" w:line="480" w:lineRule="auto"/>
        <w:ind w:right="84"/>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 xml:space="preserve">As above, the deregulation of the UK PRS entails that it is a relatively insecure prospect from the tenant’s standpoint. The 1988 Housing Act (further revised in 1996) greatly reduced tenants’ rights and introduced the Assured Shorthold Tenancy (AST), while the 1996 revision coincided with the financial sector’s launching of the buy-to-let mortgage (Ball 2006). The AST is now the predominant tenancy agreement offered to new tenants and normally only guarantees six months tenure, while tenants can be evicted thereafter on two </w:t>
      </w:r>
      <w:r w:rsidR="00065234" w:rsidRPr="00536DE3">
        <w:rPr>
          <w:rFonts w:ascii="Times New Roman" w:eastAsia="Times New Roman" w:hAnsi="Times New Roman" w:cs="Times New Roman"/>
          <w:sz w:val="24"/>
          <w:szCs w:val="24"/>
          <w:lang w:eastAsia="en-GB"/>
        </w:rPr>
        <w:t>months’ notice</w:t>
      </w:r>
      <w:r w:rsidRPr="00536DE3">
        <w:rPr>
          <w:rFonts w:ascii="Times New Roman" w:eastAsia="Times New Roman" w:hAnsi="Times New Roman" w:cs="Times New Roman"/>
          <w:sz w:val="24"/>
          <w:szCs w:val="24"/>
          <w:lang w:eastAsia="en-GB"/>
        </w:rPr>
        <w:t xml:space="preserve"> from the landlord (Ball 2010). It was largely </w:t>
      </w:r>
      <w:r w:rsidR="000B73EE">
        <w:rPr>
          <w:rFonts w:ascii="Times New Roman" w:eastAsia="Times New Roman" w:hAnsi="Times New Roman" w:cs="Times New Roman"/>
          <w:sz w:val="24"/>
          <w:szCs w:val="24"/>
          <w:lang w:eastAsia="en-GB"/>
        </w:rPr>
        <w:t xml:space="preserve">due to this revision </w:t>
      </w:r>
      <w:r w:rsidRPr="00536DE3">
        <w:rPr>
          <w:rFonts w:ascii="Times New Roman" w:eastAsia="Times New Roman" w:hAnsi="Times New Roman" w:cs="Times New Roman"/>
          <w:sz w:val="24"/>
          <w:szCs w:val="24"/>
          <w:lang w:eastAsia="en-GB"/>
        </w:rPr>
        <w:t xml:space="preserve">that it became much more attractive for investors to engage in the property speculation that contributed to the housing boom (Author 2010). </w:t>
      </w:r>
    </w:p>
    <w:p w:rsidR="00536DE3" w:rsidRPr="00536DE3" w:rsidRDefault="00536DE3" w:rsidP="00536DE3">
      <w:pPr>
        <w:spacing w:after="0" w:line="480" w:lineRule="auto"/>
        <w:ind w:right="84"/>
        <w:jc w:val="both"/>
        <w:rPr>
          <w:rFonts w:ascii="Times New Roman" w:eastAsia="Times New Roman" w:hAnsi="Times New Roman" w:cs="Times New Roman"/>
          <w:sz w:val="24"/>
          <w:szCs w:val="24"/>
          <w:lang w:eastAsia="en-GB"/>
        </w:rPr>
      </w:pPr>
    </w:p>
    <w:p w:rsidR="00536DE3" w:rsidRDefault="000B73EE" w:rsidP="00536DE3">
      <w:pPr>
        <w:spacing w:after="0" w:line="480" w:lineRule="auto"/>
        <w:ind w:right="84"/>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Although some commentators consider</w:t>
      </w:r>
      <w:r w:rsidR="00536DE3" w:rsidRPr="00536DE3">
        <w:rPr>
          <w:rFonts w:ascii="Times New Roman" w:eastAsia="Times New Roman" w:hAnsi="Times New Roman" w:cs="Times New Roman"/>
          <w:sz w:val="24"/>
          <w:szCs w:val="24"/>
          <w:lang w:eastAsia="en-GB"/>
        </w:rPr>
        <w:t xml:space="preserve"> the letting terms of UK tenancies to be relatively unproblematic, as is discussed in more detail below this ignores the anxieties and difficulties this might entail for individuals, families and communities attempting to establish stable households and put down roots (Rugg and Rhodes 2008; Keeb</w:t>
      </w:r>
      <w:r w:rsidR="0020713C">
        <w:rPr>
          <w:rFonts w:ascii="Times New Roman" w:eastAsia="Times New Roman" w:hAnsi="Times New Roman" w:cs="Times New Roman"/>
          <w:sz w:val="24"/>
          <w:szCs w:val="24"/>
          <w:lang w:eastAsia="en-GB"/>
        </w:rPr>
        <w:t>le 2008; Fitzpatrick and Pawson</w:t>
      </w:r>
      <w:r w:rsidR="00536DE3" w:rsidRPr="00536DE3">
        <w:rPr>
          <w:rFonts w:ascii="Times New Roman" w:eastAsia="Times New Roman" w:hAnsi="Times New Roman" w:cs="Times New Roman"/>
          <w:sz w:val="24"/>
          <w:szCs w:val="24"/>
          <w:lang w:eastAsia="en-GB"/>
        </w:rPr>
        <w:t xml:space="preserve"> 2013). </w:t>
      </w:r>
    </w:p>
    <w:p w:rsidR="0087274B" w:rsidRPr="00536DE3" w:rsidRDefault="0087274B" w:rsidP="00536DE3">
      <w:pPr>
        <w:spacing w:after="0" w:line="480" w:lineRule="auto"/>
        <w:ind w:right="84"/>
        <w:jc w:val="both"/>
        <w:rPr>
          <w:rFonts w:ascii="Times New Roman" w:eastAsia="Times New Roman" w:hAnsi="Times New Roman" w:cs="Times New Roman"/>
          <w:sz w:val="24"/>
          <w:szCs w:val="24"/>
          <w:lang w:eastAsia="en-GB"/>
        </w:rPr>
      </w:pPr>
    </w:p>
    <w:p w:rsidR="00536DE3" w:rsidRPr="00536DE3" w:rsidRDefault="00536DE3" w:rsidP="00536DE3">
      <w:pPr>
        <w:spacing w:after="0" w:line="240" w:lineRule="auto"/>
        <w:ind w:left="567" w:right="935"/>
        <w:jc w:val="both"/>
        <w:rPr>
          <w:rFonts w:ascii="Times New Roman" w:eastAsia="Times New Roman" w:hAnsi="Times New Roman" w:cs="Times New Roman"/>
          <w:b/>
          <w:bCs/>
          <w:sz w:val="20"/>
          <w:szCs w:val="20"/>
          <w:lang w:eastAsia="en-GB"/>
        </w:rPr>
      </w:pPr>
      <w:r w:rsidRPr="00536DE3">
        <w:rPr>
          <w:rFonts w:ascii="Times New Roman" w:eastAsia="Times New Roman" w:hAnsi="Times New Roman" w:cs="Times New Roman"/>
          <w:b/>
          <w:noProof/>
          <w:sz w:val="20"/>
          <w:szCs w:val="20"/>
          <w:lang w:eastAsia="en-GB"/>
        </w:rPr>
        <mc:AlternateContent>
          <mc:Choice Requires="wpc">
            <w:drawing>
              <wp:inline distT="0" distB="0" distL="0" distR="0" wp14:anchorId="0A2A7CDE" wp14:editId="1B050DCB">
                <wp:extent cx="4616450" cy="1752600"/>
                <wp:effectExtent l="0" t="19050" r="12700" b="0"/>
                <wp:docPr id="5" name="Canvas 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36000" y="0"/>
                            <a:ext cx="4578350" cy="1701800"/>
                          </a:xfrm>
                          <a:prstGeom prst="rect">
                            <a:avLst/>
                          </a:prstGeom>
                          <a:noFill/>
                          <a:ln w="9525">
                            <a:solidFill>
                              <a:sysClr val="windowText" lastClr="000000">
                                <a:lumMod val="100000"/>
                                <a:lumOff val="0"/>
                              </a:sysClr>
                            </a:solidFill>
                            <a:miter lim="800000"/>
                            <a:headEnd/>
                            <a:tailEnd/>
                          </a:ln>
                          <a:extLst>
                            <a:ext uri="{909E8E84-426E-40DD-AFC4-6F175D3DCCD1}">
                              <a14:hiddenFill xmlns:a14="http://schemas.microsoft.com/office/drawing/2010/main">
                                <a:solidFill>
                                  <a:srgbClr val="FFFFFF"/>
                                </a:solidFill>
                              </a14:hiddenFill>
                            </a:ext>
                          </a:extLst>
                        </pic:spPr>
                      </pic:pic>
                    </wpc:wpc>
                  </a:graphicData>
                </a:graphic>
              </wp:inline>
            </w:drawing>
          </mc:Choice>
          <mc:Fallback>
            <w:pict>
              <v:group w14:anchorId="4B87970A" id="Canvas 5" o:spid="_x0000_s1026" editas="canvas" style="width:363.5pt;height:138pt;mso-position-horizontal-relative:char;mso-position-vertical-relative:line" coordsize="46164,1752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46164;height:17526;visibility:visible;mso-wrap-style:square">
                  <v:fill o:detectmouseclick="t"/>
                  <v:path o:connecttype="none"/>
                </v:shape>
                <v:shape id="Picture 4" o:spid="_x0000_s1028" type="#_x0000_t75" style="position:absolute;left:360;width:45783;height:1701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CcfY3EAAAA2gAAAA8AAABkcnMvZG93bnJldi54bWxEj0FrAjEUhO8F/0N4greadQ9WVqOoUKqU&#10;PdR68fbYPLOrm5clibrtr28KhR6HmfmGWax624o7+dA4VjAZZyCIK6cbNgqOn6/PMxAhImtsHZOC&#10;LwqwWg6eFlho9+APuh+iEQnCoUAFdYxdIWWoarIYxq4jTt7ZeYsxSW+k9vhIcNvKPMum0mLDaaHG&#10;jrY1VdfDzSr4npTvUz8rX970qcw3/d64zcUoNRr26zmISH38D/+1d1pBDr9X0g2Qyx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DCcfY3EAAAA2gAAAA8AAAAAAAAAAAAAAAAA&#10;nwIAAGRycy9kb3ducmV2LnhtbFBLBQYAAAAABAAEAPcAAACQAwAAAAA=&#10;" stroked="t">
                  <v:imagedata r:id="rId11" o:title=""/>
                </v:shape>
                <w10:anchorlock/>
              </v:group>
            </w:pict>
          </mc:Fallback>
        </mc:AlternateContent>
      </w:r>
      <w:r w:rsidRPr="00536DE3">
        <w:rPr>
          <w:rFonts w:ascii="Times New Roman" w:eastAsia="Times New Roman" w:hAnsi="Times New Roman" w:cs="Times New Roman"/>
          <w:b/>
          <w:sz w:val="20"/>
          <w:szCs w:val="20"/>
          <w:lang w:eastAsia="en-GB"/>
        </w:rPr>
        <w:t>Figure 4</w:t>
      </w:r>
      <w:r w:rsidRPr="00536DE3">
        <w:rPr>
          <w:rFonts w:ascii="Times New Roman" w:eastAsia="Times New Roman" w:hAnsi="Times New Roman" w:cs="Times New Roman"/>
          <w:sz w:val="20"/>
          <w:szCs w:val="20"/>
          <w:lang w:eastAsia="en-GB"/>
        </w:rPr>
        <w:t xml:space="preserve"> </w:t>
      </w:r>
      <w:r w:rsidRPr="00536DE3">
        <w:rPr>
          <w:rFonts w:ascii="Times New Roman" w:eastAsia="Times New Roman" w:hAnsi="Times New Roman" w:cs="Times New Roman"/>
          <w:b/>
          <w:bCs/>
          <w:sz w:val="20"/>
          <w:szCs w:val="20"/>
          <w:lang w:eastAsia="en-GB"/>
        </w:rPr>
        <w:t xml:space="preserve">Length of residence in current home by tenure, 2011-12 </w:t>
      </w:r>
      <w:r w:rsidRPr="00536DE3">
        <w:rPr>
          <w:rFonts w:ascii="Times New Roman" w:eastAsia="Times New Roman" w:hAnsi="Times New Roman" w:cs="Times New Roman"/>
          <w:b/>
          <w:bCs/>
          <w:sz w:val="20"/>
          <w:szCs w:val="20"/>
          <w:lang w:eastAsia="en-GB"/>
        </w:rPr>
        <w:tab/>
      </w:r>
    </w:p>
    <w:p w:rsidR="00536DE3" w:rsidRPr="00536DE3" w:rsidRDefault="00536DE3" w:rsidP="00536DE3">
      <w:pPr>
        <w:spacing w:after="0" w:line="240" w:lineRule="auto"/>
        <w:ind w:left="567" w:right="935"/>
        <w:jc w:val="both"/>
        <w:rPr>
          <w:rFonts w:ascii="Times New Roman" w:eastAsia="Times New Roman" w:hAnsi="Times New Roman" w:cs="Times New Roman"/>
          <w:b/>
          <w:sz w:val="20"/>
          <w:szCs w:val="20"/>
          <w:lang w:eastAsia="en-GB"/>
        </w:rPr>
      </w:pPr>
      <w:r w:rsidRPr="00536DE3">
        <w:rPr>
          <w:rFonts w:ascii="Times New Roman" w:eastAsia="Times New Roman" w:hAnsi="Times New Roman" w:cs="Times New Roman"/>
          <w:b/>
          <w:bCs/>
          <w:sz w:val="20"/>
          <w:szCs w:val="20"/>
          <w:lang w:eastAsia="en-GB"/>
        </w:rPr>
        <w:t>English Housing Survey (DCLG 2013)</w:t>
      </w:r>
    </w:p>
    <w:p w:rsidR="00536DE3" w:rsidRPr="00536DE3" w:rsidRDefault="00536DE3" w:rsidP="00536DE3">
      <w:pPr>
        <w:spacing w:after="0" w:line="480" w:lineRule="auto"/>
        <w:ind w:right="84"/>
        <w:jc w:val="both"/>
        <w:rPr>
          <w:rFonts w:ascii="Times New Roman" w:eastAsia="Times New Roman" w:hAnsi="Times New Roman" w:cs="Times New Roman"/>
          <w:sz w:val="24"/>
          <w:szCs w:val="24"/>
          <w:lang w:eastAsia="en-GB"/>
        </w:rPr>
      </w:pPr>
    </w:p>
    <w:p w:rsidR="00536DE3" w:rsidRPr="00536DE3" w:rsidRDefault="00536DE3" w:rsidP="00536DE3">
      <w:pPr>
        <w:spacing w:after="0" w:line="480" w:lineRule="auto"/>
        <w:ind w:right="84"/>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 xml:space="preserve">As Figure 4 illustrates the PRS has by far the highest turnover of any housing tenure.  What is also crucial to note, however, is that it is not just </w:t>
      </w:r>
      <w:r w:rsidRPr="00536DE3">
        <w:rPr>
          <w:rFonts w:ascii="Times New Roman" w:eastAsia="Times New Roman" w:hAnsi="Times New Roman" w:cs="Times New Roman"/>
          <w:i/>
          <w:sz w:val="24"/>
          <w:szCs w:val="24"/>
          <w:lang w:eastAsia="en-GB"/>
        </w:rPr>
        <w:t>actual</w:t>
      </w:r>
      <w:r w:rsidRPr="00536DE3">
        <w:rPr>
          <w:rFonts w:ascii="Times New Roman" w:eastAsia="Times New Roman" w:hAnsi="Times New Roman" w:cs="Times New Roman"/>
          <w:sz w:val="24"/>
          <w:szCs w:val="24"/>
          <w:lang w:eastAsia="en-GB"/>
        </w:rPr>
        <w:t xml:space="preserve"> involuntary relocation that can have an impact on p</w:t>
      </w:r>
      <w:r w:rsidR="001226A9">
        <w:rPr>
          <w:rFonts w:ascii="Times New Roman" w:eastAsia="Times New Roman" w:hAnsi="Times New Roman" w:cs="Times New Roman"/>
          <w:sz w:val="24"/>
          <w:szCs w:val="24"/>
          <w:lang w:eastAsia="en-GB"/>
        </w:rPr>
        <w:t xml:space="preserve">rivate tenants but </w:t>
      </w:r>
      <w:r w:rsidRPr="00536DE3">
        <w:rPr>
          <w:rFonts w:ascii="Times New Roman" w:eastAsia="Times New Roman" w:hAnsi="Times New Roman" w:cs="Times New Roman"/>
          <w:sz w:val="24"/>
          <w:szCs w:val="24"/>
          <w:lang w:eastAsia="en-GB"/>
        </w:rPr>
        <w:t xml:space="preserve">the ever present awareness that one’s home can be removed at very short notice with all of the anxiety and upheaval this </w:t>
      </w:r>
      <w:r w:rsidR="0020713C">
        <w:rPr>
          <w:rFonts w:ascii="Times New Roman" w:eastAsia="Times New Roman" w:hAnsi="Times New Roman" w:cs="Times New Roman"/>
          <w:sz w:val="24"/>
          <w:szCs w:val="24"/>
          <w:lang w:eastAsia="en-GB"/>
        </w:rPr>
        <w:t>entails (Fitzpatrick and Pawson</w:t>
      </w:r>
      <w:r w:rsidRPr="00536DE3">
        <w:rPr>
          <w:rFonts w:ascii="Times New Roman" w:eastAsia="Times New Roman" w:hAnsi="Times New Roman" w:cs="Times New Roman"/>
          <w:sz w:val="24"/>
          <w:szCs w:val="24"/>
          <w:lang w:eastAsia="en-GB"/>
        </w:rPr>
        <w:t xml:space="preserve"> 2013). Research by Shelter has also critically undermined the aforementioned contention that for the majority of people private ren</w:t>
      </w:r>
      <w:r w:rsidR="00362467">
        <w:rPr>
          <w:rFonts w:ascii="Times New Roman" w:eastAsia="Times New Roman" w:hAnsi="Times New Roman" w:cs="Times New Roman"/>
          <w:sz w:val="24"/>
          <w:szCs w:val="24"/>
          <w:lang w:eastAsia="en-GB"/>
        </w:rPr>
        <w:t xml:space="preserve">ting is a preferred </w:t>
      </w:r>
      <w:r w:rsidR="00362467" w:rsidRPr="00362467">
        <w:rPr>
          <w:rFonts w:ascii="Times New Roman" w:eastAsia="Times New Roman" w:hAnsi="Times New Roman" w:cs="Times New Roman"/>
          <w:i/>
          <w:sz w:val="24"/>
          <w:szCs w:val="24"/>
          <w:lang w:eastAsia="en-GB"/>
        </w:rPr>
        <w:t>lifestyle choice</w:t>
      </w:r>
      <w:r w:rsidRPr="00536DE3">
        <w:rPr>
          <w:rFonts w:ascii="Times New Roman" w:eastAsia="Times New Roman" w:hAnsi="Times New Roman" w:cs="Times New Roman"/>
          <w:sz w:val="24"/>
          <w:szCs w:val="24"/>
          <w:lang w:eastAsia="en-GB"/>
        </w:rPr>
        <w:t>, this is particularly the case for families, the number of whom renting in the PRS has doub</w:t>
      </w:r>
      <w:r w:rsidR="0020713C">
        <w:rPr>
          <w:rFonts w:ascii="Times New Roman" w:eastAsia="Times New Roman" w:hAnsi="Times New Roman" w:cs="Times New Roman"/>
          <w:sz w:val="24"/>
          <w:szCs w:val="24"/>
          <w:lang w:eastAsia="en-GB"/>
        </w:rPr>
        <w:t>led in the last decade (Shelter</w:t>
      </w:r>
      <w:r w:rsidRPr="00536DE3">
        <w:rPr>
          <w:rFonts w:ascii="Times New Roman" w:eastAsia="Times New Roman" w:hAnsi="Times New Roman" w:cs="Times New Roman"/>
          <w:sz w:val="24"/>
          <w:szCs w:val="24"/>
          <w:lang w:eastAsia="en-GB"/>
        </w:rPr>
        <w:t xml:space="preserve"> 2013). </w:t>
      </w:r>
    </w:p>
    <w:p w:rsidR="00536DE3" w:rsidRPr="00536DE3" w:rsidRDefault="00536DE3" w:rsidP="00536DE3">
      <w:pPr>
        <w:spacing w:after="0" w:line="480" w:lineRule="auto"/>
        <w:ind w:right="84"/>
        <w:jc w:val="both"/>
        <w:rPr>
          <w:rFonts w:ascii="Times New Roman" w:eastAsia="Times New Roman" w:hAnsi="Times New Roman" w:cs="Times New Roman"/>
          <w:sz w:val="24"/>
          <w:szCs w:val="24"/>
          <w:lang w:eastAsia="en-GB"/>
        </w:rPr>
      </w:pPr>
    </w:p>
    <w:p w:rsidR="00536DE3" w:rsidRDefault="00536DE3" w:rsidP="00536DE3">
      <w:pPr>
        <w:tabs>
          <w:tab w:val="left" w:pos="7371"/>
        </w:tabs>
        <w:spacing w:after="0" w:line="480" w:lineRule="auto"/>
        <w:ind w:left="567" w:right="935"/>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Nearly two thirds of renting families (64%) would like to own their own home but don’t think they will ever be able to afford it. 60% of families are living in the sector because they cannot afford to own their own home. Fewer than 10% like the freedom and fle</w:t>
      </w:r>
      <w:r w:rsidR="0020713C">
        <w:rPr>
          <w:rFonts w:ascii="Times New Roman" w:eastAsia="Times New Roman" w:hAnsi="Times New Roman" w:cs="Times New Roman"/>
          <w:sz w:val="24"/>
          <w:szCs w:val="24"/>
          <w:lang w:eastAsia="en-GB"/>
        </w:rPr>
        <w:t>xibility it gives them (Shelter</w:t>
      </w:r>
      <w:r w:rsidRPr="00536DE3">
        <w:rPr>
          <w:rFonts w:ascii="Times New Roman" w:eastAsia="Times New Roman" w:hAnsi="Times New Roman" w:cs="Times New Roman"/>
          <w:sz w:val="24"/>
          <w:szCs w:val="24"/>
          <w:lang w:eastAsia="en-GB"/>
        </w:rPr>
        <w:t xml:space="preserve"> 2013: 1).</w:t>
      </w:r>
    </w:p>
    <w:p w:rsidR="00061863" w:rsidRPr="00536DE3" w:rsidRDefault="00061863" w:rsidP="00536DE3">
      <w:pPr>
        <w:tabs>
          <w:tab w:val="left" w:pos="7371"/>
        </w:tabs>
        <w:spacing w:after="0" w:line="480" w:lineRule="auto"/>
        <w:ind w:left="567" w:right="935"/>
        <w:jc w:val="both"/>
        <w:rPr>
          <w:rFonts w:ascii="Times New Roman" w:eastAsia="Times New Roman" w:hAnsi="Times New Roman" w:cs="Times New Roman"/>
          <w:sz w:val="24"/>
          <w:szCs w:val="24"/>
          <w:lang w:eastAsia="en-GB"/>
        </w:rPr>
      </w:pP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It may be argued that the positive d</w:t>
      </w:r>
      <w:r w:rsidR="00362467">
        <w:rPr>
          <w:rFonts w:ascii="Times New Roman" w:eastAsia="Times New Roman" w:hAnsi="Times New Roman" w:cs="Times New Roman"/>
          <w:sz w:val="24"/>
          <w:szCs w:val="24"/>
          <w:lang w:eastAsia="en-GB"/>
        </w:rPr>
        <w:t>iscourse with respect to fl</w:t>
      </w:r>
      <w:r w:rsidR="007A1148">
        <w:rPr>
          <w:rFonts w:ascii="Times New Roman" w:eastAsia="Times New Roman" w:hAnsi="Times New Roman" w:cs="Times New Roman"/>
          <w:sz w:val="24"/>
          <w:szCs w:val="24"/>
          <w:lang w:eastAsia="en-GB"/>
        </w:rPr>
        <w:t>exible provision in the PRS is</w:t>
      </w:r>
      <w:r w:rsidRPr="00536DE3">
        <w:rPr>
          <w:rFonts w:ascii="Times New Roman" w:eastAsia="Times New Roman" w:hAnsi="Times New Roman" w:cs="Times New Roman"/>
          <w:sz w:val="24"/>
          <w:szCs w:val="24"/>
          <w:lang w:eastAsia="en-GB"/>
        </w:rPr>
        <w:t xml:space="preserve"> informed by a particular set of assumptions regarding individuals and societie</w:t>
      </w:r>
      <w:r w:rsidR="007A1148">
        <w:rPr>
          <w:rFonts w:ascii="Times New Roman" w:eastAsia="Times New Roman" w:hAnsi="Times New Roman" w:cs="Times New Roman"/>
          <w:sz w:val="24"/>
          <w:szCs w:val="24"/>
          <w:lang w:eastAsia="en-GB"/>
        </w:rPr>
        <w:t xml:space="preserve">s; assumptions that are </w:t>
      </w:r>
      <w:r w:rsidRPr="00536DE3">
        <w:rPr>
          <w:rFonts w:ascii="Times New Roman" w:eastAsia="Times New Roman" w:hAnsi="Times New Roman" w:cs="Times New Roman"/>
          <w:sz w:val="24"/>
          <w:szCs w:val="24"/>
          <w:lang w:eastAsia="en-GB"/>
        </w:rPr>
        <w:t>consistent with the currently dominant neoliberal political a</w:t>
      </w:r>
      <w:r w:rsidR="001226A9">
        <w:rPr>
          <w:rFonts w:ascii="Times New Roman" w:eastAsia="Times New Roman" w:hAnsi="Times New Roman" w:cs="Times New Roman"/>
          <w:sz w:val="24"/>
          <w:szCs w:val="24"/>
          <w:lang w:eastAsia="en-GB"/>
        </w:rPr>
        <w:t xml:space="preserve">nd economic orthodoxy. Thus, </w:t>
      </w:r>
      <w:r w:rsidR="007A1148">
        <w:rPr>
          <w:rFonts w:ascii="Times New Roman" w:eastAsia="Times New Roman" w:hAnsi="Times New Roman" w:cs="Times New Roman"/>
          <w:sz w:val="24"/>
          <w:szCs w:val="24"/>
          <w:lang w:eastAsia="en-GB"/>
        </w:rPr>
        <w:t xml:space="preserve">one of the </w:t>
      </w:r>
      <w:r w:rsidRPr="00536DE3">
        <w:rPr>
          <w:rFonts w:ascii="Times New Roman" w:eastAsia="Times New Roman" w:hAnsi="Times New Roman" w:cs="Times New Roman"/>
          <w:sz w:val="24"/>
          <w:szCs w:val="24"/>
          <w:lang w:eastAsia="en-GB"/>
        </w:rPr>
        <w:t xml:space="preserve">tenets of neoliberalism is an insistence that ‘flexibility’ and fluidity are positive for individuals, economy and society, while too much security fosters sclerosis and ‘dependency’ (Harvey 2005; Author 2010). </w:t>
      </w: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It is this perspective when applied to housing that, for the reasons outlined earlier, can at least in part be seen to have informed the Right to Buy policy of the 1980’s and the remova</w:t>
      </w:r>
      <w:r w:rsidR="0088646A">
        <w:rPr>
          <w:rFonts w:ascii="Times New Roman" w:eastAsia="Times New Roman" w:hAnsi="Times New Roman" w:cs="Times New Roman"/>
          <w:sz w:val="24"/>
          <w:szCs w:val="24"/>
          <w:lang w:eastAsia="en-GB"/>
        </w:rPr>
        <w:t xml:space="preserve">l of much of the decent, </w:t>
      </w:r>
      <w:r w:rsidRPr="00536DE3">
        <w:rPr>
          <w:rFonts w:ascii="Times New Roman" w:eastAsia="Times New Roman" w:hAnsi="Times New Roman" w:cs="Times New Roman"/>
          <w:sz w:val="24"/>
          <w:szCs w:val="24"/>
          <w:lang w:eastAsia="en-GB"/>
        </w:rPr>
        <w:t xml:space="preserve">secure and affordable social rented stock. This vision can also be seen to underlie more recent initiatives to ‘reform’ </w:t>
      </w:r>
      <w:r w:rsidR="0088646A">
        <w:rPr>
          <w:rFonts w:ascii="Times New Roman" w:eastAsia="Times New Roman" w:hAnsi="Times New Roman" w:cs="Times New Roman"/>
          <w:sz w:val="24"/>
          <w:szCs w:val="24"/>
          <w:lang w:eastAsia="en-GB"/>
        </w:rPr>
        <w:t xml:space="preserve">social housing, </w:t>
      </w:r>
      <w:r w:rsidRPr="00536DE3">
        <w:rPr>
          <w:rFonts w:ascii="Times New Roman" w:eastAsia="Times New Roman" w:hAnsi="Times New Roman" w:cs="Times New Roman"/>
          <w:sz w:val="24"/>
          <w:szCs w:val="24"/>
          <w:lang w:eastAsia="en-GB"/>
        </w:rPr>
        <w:t>bringing remaining social tenancies more into line with those of the deregulated private sector (Greenhalgh and Moss 2009). The ‘freeing’ up o</w:t>
      </w:r>
      <w:r w:rsidR="0088646A">
        <w:rPr>
          <w:rFonts w:ascii="Times New Roman" w:eastAsia="Times New Roman" w:hAnsi="Times New Roman" w:cs="Times New Roman"/>
          <w:sz w:val="24"/>
          <w:szCs w:val="24"/>
          <w:lang w:eastAsia="en-GB"/>
        </w:rPr>
        <w:t>f the housing market</w:t>
      </w:r>
      <w:r w:rsidRPr="00536DE3">
        <w:rPr>
          <w:rFonts w:ascii="Times New Roman" w:eastAsia="Times New Roman" w:hAnsi="Times New Roman" w:cs="Times New Roman"/>
          <w:sz w:val="24"/>
          <w:szCs w:val="24"/>
          <w:lang w:eastAsia="en-GB"/>
        </w:rPr>
        <w:t xml:space="preserve">, the neoliberal logic asserts, removes the barriers that inhibit people from being pro-active, starting businesses, regularly moving around for work and so on, thus, they become more ‘adaptive’ and self-reliant as they meet the needs of a ‘dynamic’ economy and deregulated labour market. In short, as noted above, the end of the ‘home for life’ appears as the logical counterpart to the demise of the ‘job for life’ and the concomitant extension of ‘flexible’ employment contracts, heralding a radically more precarious existence for growing numbers of UK citizens (Standing 2011).  </w:t>
      </w:r>
    </w:p>
    <w:p w:rsidR="001226A9" w:rsidRDefault="001226A9" w:rsidP="00536DE3">
      <w:pPr>
        <w:spacing w:after="0" w:line="480" w:lineRule="auto"/>
        <w:jc w:val="both"/>
        <w:rPr>
          <w:rFonts w:ascii="Times New Roman" w:eastAsia="Times New Roman" w:hAnsi="Times New Roman" w:cs="Times New Roman"/>
          <w:b/>
          <w:sz w:val="24"/>
          <w:szCs w:val="24"/>
          <w:lang w:eastAsia="en-GB"/>
        </w:rPr>
      </w:pP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b/>
          <w:sz w:val="24"/>
          <w:szCs w:val="24"/>
          <w:lang w:eastAsia="en-GB"/>
        </w:rPr>
        <w:t>‘Family Values’?</w:t>
      </w:r>
    </w:p>
    <w:p w:rsidR="00536DE3" w:rsidRPr="00536DE3" w:rsidRDefault="00536DE3" w:rsidP="00536DE3">
      <w:pPr>
        <w:spacing w:after="0" w:line="480" w:lineRule="auto"/>
        <w:ind w:left="567" w:right="793"/>
        <w:rPr>
          <w:rFonts w:ascii="Times New Roman" w:eastAsia="Times New Roman" w:hAnsi="Times New Roman" w:cs="Times New Roman"/>
          <w:sz w:val="24"/>
          <w:szCs w:val="24"/>
          <w:lang w:eastAsia="en-GB"/>
        </w:rPr>
      </w:pPr>
    </w:p>
    <w:p w:rsidR="00536DE3" w:rsidRPr="00536DE3" w:rsidRDefault="00536DE3" w:rsidP="00536DE3">
      <w:pPr>
        <w:spacing w:after="0" w:line="480" w:lineRule="auto"/>
        <w:ind w:left="567" w:right="793"/>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The Government believes that strong and stable families of all kinds are the bedrock of a strong and stable society (http://www.conservatives.com/Policy/Where_we_stand/Family.aspx)</w:t>
      </w:r>
    </w:p>
    <w:p w:rsidR="00536DE3" w:rsidRPr="00536DE3" w:rsidRDefault="00536DE3" w:rsidP="00536DE3">
      <w:pPr>
        <w:spacing w:after="0" w:line="480" w:lineRule="auto"/>
        <w:ind w:left="567" w:right="793"/>
        <w:rPr>
          <w:rFonts w:ascii="Times New Roman" w:eastAsia="Times New Roman" w:hAnsi="Times New Roman" w:cs="Times New Roman"/>
          <w:sz w:val="24"/>
          <w:szCs w:val="24"/>
          <w:lang w:eastAsia="en-GB"/>
        </w:rPr>
      </w:pPr>
    </w:p>
    <w:p w:rsidR="00536DE3" w:rsidRPr="00536DE3" w:rsidRDefault="00536DE3" w:rsidP="00536DE3">
      <w:pPr>
        <w:spacing w:after="0" w:line="480" w:lineRule="auto"/>
        <w:ind w:left="567" w:right="935"/>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...today’s volatile rental market is simply not fit for purpose. For the vast majority of renting parents, renting isn’t a lifestyle choice, yet for many it’s putting their children’s education, happiness and wellbeing in jeopardy. Unpredictable rents and short-term tenancies are not only failing to meet the needs of families, they’re doing real damage to children’s lives (Campbell Robb, Shelter Chief Executive, 2013).</w:t>
      </w:r>
    </w:p>
    <w:p w:rsidR="00536DE3" w:rsidRPr="00536DE3" w:rsidRDefault="00536DE3" w:rsidP="00536DE3">
      <w:pPr>
        <w:spacing w:after="0" w:line="480" w:lineRule="auto"/>
        <w:ind w:right="935"/>
        <w:jc w:val="both"/>
        <w:rPr>
          <w:rFonts w:ascii="Times New Roman" w:eastAsia="Times New Roman" w:hAnsi="Times New Roman" w:cs="Times New Roman"/>
          <w:sz w:val="20"/>
          <w:szCs w:val="20"/>
          <w:lang w:eastAsia="en-GB"/>
        </w:rPr>
      </w:pP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While the issue of ‘dependency’ is dealt with more directly below, it nonethel</w:t>
      </w:r>
      <w:r w:rsidR="001226A9">
        <w:rPr>
          <w:rFonts w:ascii="Times New Roman" w:eastAsia="Times New Roman" w:hAnsi="Times New Roman" w:cs="Times New Roman"/>
          <w:sz w:val="24"/>
          <w:szCs w:val="24"/>
          <w:lang w:eastAsia="en-GB"/>
        </w:rPr>
        <w:t xml:space="preserve">ess seems clear that </w:t>
      </w:r>
      <w:r w:rsidRPr="00536DE3">
        <w:rPr>
          <w:rFonts w:ascii="Times New Roman" w:eastAsia="Times New Roman" w:hAnsi="Times New Roman" w:cs="Times New Roman"/>
          <w:sz w:val="24"/>
          <w:szCs w:val="24"/>
          <w:lang w:eastAsia="en-GB"/>
        </w:rPr>
        <w:t>raising children in such conditions is a potentially angst ridden proposition and, thus, appears diametrically opposed to the government’s much promulgated emphasis on the stability of families. Questions evidently arise as to how children can be adequately socialised, educated, form longstanding bonds with peers and so on, when they can be uprooted at a few weeks’ notice, and where the prospect of homelessness is an ever present possibility if suitable and affordable accommodation is not quickly secured. Further compounding such concerns is the consideration that, in a society where people are constantly on the move, already fragile communities and support networks become ever more dislocated and diluted within ‘fluid’ neighbourhoods. This not only appears fundamentally inconsistent with the once widely asserted a</w:t>
      </w:r>
      <w:r w:rsidR="00201ED1">
        <w:rPr>
          <w:rFonts w:ascii="Times New Roman" w:eastAsia="Times New Roman" w:hAnsi="Times New Roman" w:cs="Times New Roman"/>
          <w:sz w:val="24"/>
          <w:szCs w:val="24"/>
          <w:lang w:eastAsia="en-GB"/>
        </w:rPr>
        <w:t>ims of the ill-starred</w:t>
      </w:r>
      <w:r w:rsidRPr="00536DE3">
        <w:rPr>
          <w:rFonts w:ascii="Times New Roman" w:eastAsia="Times New Roman" w:hAnsi="Times New Roman" w:cs="Times New Roman"/>
          <w:sz w:val="24"/>
          <w:szCs w:val="24"/>
          <w:lang w:eastAsia="en-GB"/>
        </w:rPr>
        <w:t xml:space="preserve"> ‘Big Society’ agenda but, as is addressed in more detail below, also ignores the widely recognised association between social fragmentation, isolation and a broad range of psychological and social ills (Durkheim 1965; </w:t>
      </w:r>
      <w:r w:rsidR="0088646A">
        <w:rPr>
          <w:rFonts w:ascii="Times New Roman" w:eastAsia="Times New Roman" w:hAnsi="Times New Roman" w:cs="Times New Roman"/>
          <w:sz w:val="24"/>
          <w:szCs w:val="24"/>
          <w:lang w:eastAsia="en-GB"/>
        </w:rPr>
        <w:t>Wirth 1938; Congdon</w:t>
      </w:r>
      <w:r w:rsidRPr="00536DE3">
        <w:rPr>
          <w:rFonts w:ascii="Times New Roman" w:eastAsia="Times New Roman" w:hAnsi="Times New Roman" w:cs="Times New Roman"/>
          <w:sz w:val="24"/>
          <w:szCs w:val="24"/>
          <w:lang w:eastAsia="en-GB"/>
        </w:rPr>
        <w:t xml:space="preserve"> 2011). </w:t>
      </w: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 xml:space="preserve">Many of the issues discussed above have been integral to longstanding housing debates, albeit that they have acquired fresh significance given the current state of the housing market (Atkinson et </w:t>
      </w:r>
      <w:r w:rsidR="0020713C">
        <w:rPr>
          <w:rFonts w:ascii="Times New Roman" w:eastAsia="Times New Roman" w:hAnsi="Times New Roman" w:cs="Times New Roman"/>
          <w:sz w:val="24"/>
          <w:szCs w:val="24"/>
          <w:lang w:eastAsia="en-GB"/>
        </w:rPr>
        <w:t>al 2011; Fitzpatrick and Pawson</w:t>
      </w:r>
      <w:r w:rsidRPr="00536DE3">
        <w:rPr>
          <w:rFonts w:ascii="Times New Roman" w:eastAsia="Times New Roman" w:hAnsi="Times New Roman" w:cs="Times New Roman"/>
          <w:sz w:val="24"/>
          <w:szCs w:val="24"/>
          <w:lang w:eastAsia="en-GB"/>
        </w:rPr>
        <w:t xml:space="preserve"> 2013). However, as noted at the outset, a central aim of this paper is also to address some of the perhaps less evident implications of insecure housing tenure, asserting that these may be less clearly understood by both supporters and critics of the status quo.</w:t>
      </w: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b/>
          <w:sz w:val="24"/>
          <w:szCs w:val="24"/>
          <w:lang w:eastAsia="en-GB"/>
        </w:rPr>
        <w:t>Psychosoc</w:t>
      </w:r>
      <w:r w:rsidR="00941283">
        <w:rPr>
          <w:rFonts w:ascii="Times New Roman" w:eastAsia="Times New Roman" w:hAnsi="Times New Roman" w:cs="Times New Roman"/>
          <w:b/>
          <w:sz w:val="24"/>
          <w:szCs w:val="24"/>
          <w:lang w:eastAsia="en-GB"/>
        </w:rPr>
        <w:t>ial Effects of Insecure Housing?</w:t>
      </w:r>
    </w:p>
    <w:p w:rsidR="00536DE3" w:rsidRPr="00536DE3" w:rsidRDefault="00536DE3" w:rsidP="00536DE3">
      <w:pPr>
        <w:spacing w:after="0" w:line="480" w:lineRule="auto"/>
        <w:ind w:right="935"/>
        <w:jc w:val="both"/>
        <w:rPr>
          <w:rFonts w:ascii="Times New Roman" w:eastAsia="Times New Roman" w:hAnsi="Times New Roman" w:cs="Times New Roman"/>
          <w:sz w:val="24"/>
          <w:szCs w:val="24"/>
          <w:lang w:eastAsia="en-GB"/>
        </w:rPr>
      </w:pPr>
    </w:p>
    <w:p w:rsidR="00536DE3" w:rsidRPr="00536DE3" w:rsidRDefault="00536DE3" w:rsidP="00536DE3">
      <w:pPr>
        <w:spacing w:after="0" w:line="480" w:lineRule="auto"/>
        <w:ind w:left="567" w:right="935"/>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 xml:space="preserve">…relevant to explaining geographic variation in suicide and self-harm is </w:t>
      </w:r>
      <w:r w:rsidRPr="00536DE3">
        <w:rPr>
          <w:rFonts w:ascii="Times New Roman" w:eastAsia="Times New Roman" w:hAnsi="Times New Roman" w:cs="Times New Roman"/>
          <w:i/>
          <w:sz w:val="24"/>
          <w:szCs w:val="24"/>
          <w:lang w:eastAsia="en-GB"/>
        </w:rPr>
        <w:t>social fragmentation, meaning low community integration associated with high population turnover, short stay private renting</w:t>
      </w:r>
      <w:r w:rsidRPr="00536DE3">
        <w:rPr>
          <w:rFonts w:ascii="Times New Roman" w:eastAsia="Times New Roman" w:hAnsi="Times New Roman" w:cs="Times New Roman"/>
          <w:sz w:val="24"/>
          <w:szCs w:val="24"/>
          <w:lang w:eastAsia="en-GB"/>
        </w:rPr>
        <w:t>, (my italics) many one person households, and many adults outside married relationships (Congdon 2011:</w:t>
      </w:r>
      <w:r w:rsidR="0020713C">
        <w:rPr>
          <w:rFonts w:ascii="Times New Roman" w:eastAsia="Times New Roman" w:hAnsi="Times New Roman" w:cs="Times New Roman"/>
          <w:sz w:val="24"/>
          <w:szCs w:val="24"/>
          <w:lang w:eastAsia="en-GB"/>
        </w:rPr>
        <w:t xml:space="preserve"> </w:t>
      </w:r>
      <w:r w:rsidRPr="00536DE3">
        <w:rPr>
          <w:rFonts w:ascii="Times New Roman" w:eastAsia="Times New Roman" w:hAnsi="Times New Roman" w:cs="Times New Roman"/>
          <w:sz w:val="24"/>
          <w:szCs w:val="24"/>
          <w:lang w:eastAsia="en-GB"/>
        </w:rPr>
        <w:t>26).</w:t>
      </w: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p>
    <w:p w:rsidR="00536DE3" w:rsidRPr="00536DE3" w:rsidRDefault="0060660F" w:rsidP="00536DE3">
      <w:pPr>
        <w:spacing w:after="0"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As suggested</w:t>
      </w:r>
      <w:r w:rsidR="00536DE3" w:rsidRPr="00536DE3">
        <w:rPr>
          <w:rFonts w:ascii="Times New Roman" w:eastAsia="Times New Roman" w:hAnsi="Times New Roman" w:cs="Times New Roman"/>
          <w:sz w:val="24"/>
          <w:szCs w:val="24"/>
          <w:lang w:eastAsia="en-GB"/>
        </w:rPr>
        <w:t>, the neoliberal conception of the individual and the coll</w:t>
      </w:r>
      <w:r w:rsidR="0088646A">
        <w:rPr>
          <w:rFonts w:ascii="Times New Roman" w:eastAsia="Times New Roman" w:hAnsi="Times New Roman" w:cs="Times New Roman"/>
          <w:sz w:val="24"/>
          <w:szCs w:val="24"/>
          <w:lang w:eastAsia="en-GB"/>
        </w:rPr>
        <w:t>ective seems largely at odds with</w:t>
      </w:r>
      <w:r w:rsidR="00536DE3" w:rsidRPr="00536DE3">
        <w:rPr>
          <w:rFonts w:ascii="Times New Roman" w:eastAsia="Times New Roman" w:hAnsi="Times New Roman" w:cs="Times New Roman"/>
          <w:sz w:val="24"/>
          <w:szCs w:val="24"/>
          <w:lang w:eastAsia="en-GB"/>
        </w:rPr>
        <w:t xml:space="preserve"> current social scientific understandings of human capacities and propensities</w:t>
      </w:r>
      <w:r w:rsidR="00536DE3" w:rsidRPr="00536DE3">
        <w:rPr>
          <w:rFonts w:ascii="Times New Roman" w:eastAsia="Times New Roman" w:hAnsi="Times New Roman" w:cs="Times New Roman"/>
          <w:sz w:val="24"/>
          <w:szCs w:val="24"/>
          <w:vertAlign w:val="superscript"/>
          <w:lang w:eastAsia="en-GB"/>
        </w:rPr>
        <w:endnoteReference w:id="4"/>
      </w:r>
      <w:r w:rsidR="00061863">
        <w:rPr>
          <w:rFonts w:ascii="Times New Roman" w:eastAsia="Times New Roman" w:hAnsi="Times New Roman" w:cs="Times New Roman"/>
          <w:sz w:val="24"/>
          <w:szCs w:val="24"/>
          <w:lang w:eastAsia="en-GB"/>
        </w:rPr>
        <w:t xml:space="preserve">. In short, </w:t>
      </w:r>
      <w:r w:rsidR="00536DE3" w:rsidRPr="00536DE3">
        <w:rPr>
          <w:rFonts w:ascii="Times New Roman" w:eastAsia="Times New Roman" w:hAnsi="Times New Roman" w:cs="Times New Roman"/>
          <w:sz w:val="24"/>
          <w:szCs w:val="24"/>
          <w:lang w:eastAsia="en-GB"/>
        </w:rPr>
        <w:t xml:space="preserve">advocates of the former tend to lionise an image of individuals who ‘thrive’ on competition, adversity, insecurity and challenge (albeit that one suspects this to be mostly advanced as a condition best applied to other people), while the latter tends to hold that our tolerance to such circumstances is somewhat limited. </w:t>
      </w:r>
      <w:r w:rsidR="00BA21DF">
        <w:rPr>
          <w:rFonts w:ascii="Times New Roman" w:eastAsia="Times New Roman" w:hAnsi="Times New Roman" w:cs="Times New Roman"/>
          <w:sz w:val="24"/>
          <w:szCs w:val="24"/>
          <w:lang w:eastAsia="en-GB"/>
        </w:rPr>
        <w:t>Clearly, our view of these dispositions has</w:t>
      </w:r>
      <w:r w:rsidR="003F009F">
        <w:rPr>
          <w:rFonts w:ascii="Times New Roman" w:eastAsia="Times New Roman" w:hAnsi="Times New Roman" w:cs="Times New Roman"/>
          <w:sz w:val="24"/>
          <w:szCs w:val="24"/>
          <w:lang w:eastAsia="en-GB"/>
        </w:rPr>
        <w:t xml:space="preserve"> a crucial bearing on how we might evaluate the potential effects of current conditions in the UK PRS.</w:t>
      </w: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p>
    <w:p w:rsidR="00536DE3" w:rsidRDefault="00536DE3" w:rsidP="00536DE3">
      <w:pPr>
        <w:spacing w:after="0" w:line="480" w:lineRule="auto"/>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One caveat here might be that some sociological visions of contemporary selfhood, principally the once fashionable postmoder</w:t>
      </w:r>
      <w:r w:rsidR="00201ED1">
        <w:rPr>
          <w:rFonts w:ascii="Times New Roman" w:eastAsia="Times New Roman" w:hAnsi="Times New Roman" w:cs="Times New Roman"/>
          <w:sz w:val="24"/>
          <w:szCs w:val="24"/>
          <w:lang w:eastAsia="en-GB"/>
        </w:rPr>
        <w:t>n ‘playful self’, might appear superficially</w:t>
      </w:r>
      <w:r w:rsidRPr="00536DE3">
        <w:rPr>
          <w:rFonts w:ascii="Times New Roman" w:eastAsia="Times New Roman" w:hAnsi="Times New Roman" w:cs="Times New Roman"/>
          <w:sz w:val="24"/>
          <w:szCs w:val="24"/>
          <w:lang w:eastAsia="en-GB"/>
        </w:rPr>
        <w:t xml:space="preserve"> suited to a life of flux and fluidity (Featherstone 1991). Nonetheless, it can be argued that such constructs are largely informed by, and only really applicable to, a wealthy cosmopolitan sector of society, whose lifestyle and experience of ‘mobility’ and so on is clearly distinctive from that of the less privileged (Elliott and Urry 2010; Bauman 1996). </w:t>
      </w:r>
    </w:p>
    <w:p w:rsidR="00EC11B0" w:rsidRPr="00536DE3" w:rsidRDefault="00EC11B0" w:rsidP="00536DE3">
      <w:pPr>
        <w:spacing w:after="0" w:line="480" w:lineRule="auto"/>
        <w:jc w:val="both"/>
        <w:rPr>
          <w:rFonts w:ascii="Times New Roman" w:eastAsia="Times New Roman" w:hAnsi="Times New Roman" w:cs="Times New Roman"/>
          <w:sz w:val="24"/>
          <w:szCs w:val="24"/>
          <w:lang w:eastAsia="en-GB"/>
        </w:rPr>
      </w:pPr>
    </w:p>
    <w:p w:rsidR="00536DE3" w:rsidRPr="00536DE3" w:rsidRDefault="0060660F" w:rsidP="00536DE3">
      <w:pPr>
        <w:spacing w:after="0"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In contrast to </w:t>
      </w:r>
      <w:r w:rsidR="00536DE3" w:rsidRPr="00536DE3">
        <w:rPr>
          <w:rFonts w:ascii="Times New Roman" w:eastAsia="Times New Roman" w:hAnsi="Times New Roman" w:cs="Times New Roman"/>
          <w:sz w:val="24"/>
          <w:szCs w:val="24"/>
          <w:lang w:eastAsia="en-GB"/>
        </w:rPr>
        <w:t>imaginings of the highly malleable self, it i</w:t>
      </w:r>
      <w:r w:rsidR="00CE4035">
        <w:rPr>
          <w:rFonts w:ascii="Times New Roman" w:eastAsia="Times New Roman" w:hAnsi="Times New Roman" w:cs="Times New Roman"/>
          <w:sz w:val="24"/>
          <w:szCs w:val="24"/>
          <w:lang w:eastAsia="en-GB"/>
        </w:rPr>
        <w:t xml:space="preserve">s almost a touchstone of </w:t>
      </w:r>
      <w:r w:rsidR="00536DE3" w:rsidRPr="00536DE3">
        <w:rPr>
          <w:rFonts w:ascii="Times New Roman" w:eastAsia="Times New Roman" w:hAnsi="Times New Roman" w:cs="Times New Roman"/>
          <w:sz w:val="24"/>
          <w:szCs w:val="24"/>
          <w:lang w:eastAsia="en-GB"/>
        </w:rPr>
        <w:t>psychology that consistent change and chronic insecurity, where people have little continuity and control in their lives, is at the root of much personal stress, mental ill health and poor emotional and, indeed, physical well-being (Cat</w:t>
      </w:r>
      <w:r>
        <w:rPr>
          <w:rFonts w:ascii="Times New Roman" w:eastAsia="Times New Roman" w:hAnsi="Times New Roman" w:cs="Times New Roman"/>
          <w:sz w:val="24"/>
          <w:szCs w:val="24"/>
          <w:lang w:eastAsia="en-GB"/>
        </w:rPr>
        <w:t xml:space="preserve">alano 1991). Sociology has </w:t>
      </w:r>
      <w:r w:rsidR="00536DE3" w:rsidRPr="00536DE3">
        <w:rPr>
          <w:rFonts w:ascii="Times New Roman" w:eastAsia="Times New Roman" w:hAnsi="Times New Roman" w:cs="Times New Roman"/>
          <w:sz w:val="24"/>
          <w:szCs w:val="24"/>
          <w:lang w:eastAsia="en-GB"/>
        </w:rPr>
        <w:t>long identified similar themes, where individuals who are separated from the conditions affording the construction of consistent and coherent identities – that are fostered and supported by strong social ties forged in stable, secure and relatively predicable environments - are subject to a range of psychic and social ills with both individual and collective ramification</w:t>
      </w:r>
      <w:r w:rsidR="00F152D8">
        <w:rPr>
          <w:rFonts w:ascii="Times New Roman" w:eastAsia="Times New Roman" w:hAnsi="Times New Roman" w:cs="Times New Roman"/>
          <w:sz w:val="24"/>
          <w:szCs w:val="24"/>
          <w:lang w:eastAsia="en-GB"/>
        </w:rPr>
        <w:t>s</w:t>
      </w:r>
      <w:r w:rsidR="009F3437">
        <w:rPr>
          <w:rFonts w:ascii="Times New Roman" w:eastAsia="Times New Roman" w:hAnsi="Times New Roman" w:cs="Times New Roman"/>
          <w:sz w:val="24"/>
          <w:szCs w:val="24"/>
          <w:lang w:eastAsia="en-GB"/>
        </w:rPr>
        <w:t>.</w:t>
      </w:r>
      <w:r w:rsidR="00F152D8">
        <w:rPr>
          <w:rFonts w:ascii="Times New Roman" w:eastAsia="Times New Roman" w:hAnsi="Times New Roman" w:cs="Times New Roman"/>
          <w:sz w:val="24"/>
          <w:szCs w:val="24"/>
          <w:lang w:eastAsia="en-GB"/>
        </w:rPr>
        <w:t xml:space="preserve"> Durkheim’s concept of ‘anomie’ and Wirt</w:t>
      </w:r>
      <w:r w:rsidR="004666F7">
        <w:rPr>
          <w:rFonts w:ascii="Times New Roman" w:eastAsia="Times New Roman" w:hAnsi="Times New Roman" w:cs="Times New Roman"/>
          <w:sz w:val="24"/>
          <w:szCs w:val="24"/>
          <w:lang w:eastAsia="en-GB"/>
        </w:rPr>
        <w:t>h’s notion of ‘social disorganisa</w:t>
      </w:r>
      <w:r w:rsidR="00F152D8">
        <w:rPr>
          <w:rFonts w:ascii="Times New Roman" w:eastAsia="Times New Roman" w:hAnsi="Times New Roman" w:cs="Times New Roman"/>
          <w:sz w:val="24"/>
          <w:szCs w:val="24"/>
          <w:lang w:eastAsia="en-GB"/>
        </w:rPr>
        <w:t xml:space="preserve">tion’ </w:t>
      </w:r>
      <w:r w:rsidR="009F3437">
        <w:rPr>
          <w:rFonts w:ascii="Times New Roman" w:eastAsia="Times New Roman" w:hAnsi="Times New Roman" w:cs="Times New Roman"/>
          <w:sz w:val="24"/>
          <w:szCs w:val="24"/>
          <w:lang w:eastAsia="en-GB"/>
        </w:rPr>
        <w:t>offer foundational</w:t>
      </w:r>
      <w:r w:rsidR="00713123">
        <w:rPr>
          <w:rFonts w:ascii="Times New Roman" w:eastAsia="Times New Roman" w:hAnsi="Times New Roman" w:cs="Times New Roman"/>
          <w:sz w:val="24"/>
          <w:szCs w:val="24"/>
          <w:lang w:eastAsia="en-GB"/>
        </w:rPr>
        <w:t xml:space="preserve"> sociological identification</w:t>
      </w:r>
      <w:r w:rsidR="009F3437">
        <w:rPr>
          <w:rFonts w:ascii="Times New Roman" w:eastAsia="Times New Roman" w:hAnsi="Times New Roman" w:cs="Times New Roman"/>
          <w:sz w:val="24"/>
          <w:szCs w:val="24"/>
          <w:lang w:eastAsia="en-GB"/>
        </w:rPr>
        <w:t>s</w:t>
      </w:r>
      <w:r w:rsidR="00713123">
        <w:rPr>
          <w:rFonts w:ascii="Times New Roman" w:eastAsia="Times New Roman" w:hAnsi="Times New Roman" w:cs="Times New Roman"/>
          <w:sz w:val="24"/>
          <w:szCs w:val="24"/>
          <w:lang w:eastAsia="en-GB"/>
        </w:rPr>
        <w:t xml:space="preserve"> o</w:t>
      </w:r>
      <w:r w:rsidR="009F3437">
        <w:rPr>
          <w:rFonts w:ascii="Times New Roman" w:eastAsia="Times New Roman" w:hAnsi="Times New Roman" w:cs="Times New Roman"/>
          <w:sz w:val="24"/>
          <w:szCs w:val="24"/>
          <w:lang w:eastAsia="en-GB"/>
        </w:rPr>
        <w:t xml:space="preserve">f the </w:t>
      </w:r>
      <w:r>
        <w:rPr>
          <w:rFonts w:ascii="Times New Roman" w:eastAsia="Times New Roman" w:hAnsi="Times New Roman" w:cs="Times New Roman"/>
          <w:sz w:val="24"/>
          <w:szCs w:val="24"/>
          <w:lang w:eastAsia="en-GB"/>
        </w:rPr>
        <w:t>social problems generated by</w:t>
      </w:r>
      <w:r w:rsidR="00713123">
        <w:rPr>
          <w:rFonts w:ascii="Times New Roman" w:eastAsia="Times New Roman" w:hAnsi="Times New Roman" w:cs="Times New Roman"/>
          <w:sz w:val="24"/>
          <w:szCs w:val="24"/>
          <w:lang w:eastAsia="en-GB"/>
        </w:rPr>
        <w:t xml:space="preserve"> individual insecurity and communal instability (Durkheim 1965; Wirth, 1938). </w:t>
      </w:r>
      <w:r w:rsidR="00F152D8">
        <w:rPr>
          <w:rFonts w:ascii="Times New Roman" w:eastAsia="Times New Roman" w:hAnsi="Times New Roman" w:cs="Times New Roman"/>
          <w:sz w:val="24"/>
          <w:szCs w:val="24"/>
          <w:lang w:eastAsia="en-GB"/>
        </w:rPr>
        <w:t xml:space="preserve"> </w:t>
      </w:r>
      <w:r w:rsidR="00201ED1">
        <w:rPr>
          <w:rFonts w:ascii="Times New Roman" w:eastAsia="Times New Roman" w:hAnsi="Times New Roman" w:cs="Times New Roman"/>
          <w:sz w:val="24"/>
          <w:szCs w:val="24"/>
          <w:lang w:eastAsia="en-GB"/>
        </w:rPr>
        <w:t>Moreover, d</w:t>
      </w:r>
      <w:r w:rsidR="00536DE3" w:rsidRPr="00536DE3">
        <w:rPr>
          <w:rFonts w:ascii="Times New Roman" w:eastAsia="Times New Roman" w:hAnsi="Times New Roman" w:cs="Times New Roman"/>
          <w:sz w:val="24"/>
          <w:szCs w:val="24"/>
          <w:lang w:eastAsia="en-GB"/>
        </w:rPr>
        <w:t>evelopments in the neurosciences over</w:t>
      </w:r>
      <w:r w:rsidR="00CE4035">
        <w:rPr>
          <w:rFonts w:ascii="Times New Roman" w:eastAsia="Times New Roman" w:hAnsi="Times New Roman" w:cs="Times New Roman"/>
          <w:sz w:val="24"/>
          <w:szCs w:val="24"/>
          <w:lang w:eastAsia="en-GB"/>
        </w:rPr>
        <w:t xml:space="preserve"> the last few decades have </w:t>
      </w:r>
      <w:r w:rsidR="00201ED1">
        <w:rPr>
          <w:rFonts w:ascii="Times New Roman" w:eastAsia="Times New Roman" w:hAnsi="Times New Roman" w:cs="Times New Roman"/>
          <w:sz w:val="24"/>
          <w:szCs w:val="24"/>
          <w:lang w:eastAsia="en-GB"/>
        </w:rPr>
        <w:t>now begun to lend</w:t>
      </w:r>
      <w:r w:rsidR="00536DE3" w:rsidRPr="00536DE3">
        <w:rPr>
          <w:rFonts w:ascii="Times New Roman" w:eastAsia="Times New Roman" w:hAnsi="Times New Roman" w:cs="Times New Roman"/>
          <w:sz w:val="24"/>
          <w:szCs w:val="24"/>
          <w:lang w:eastAsia="en-GB"/>
        </w:rPr>
        <w:t xml:space="preserve"> further support, insight and empirical grounding to this broad perspective</w:t>
      </w:r>
      <w:r w:rsidR="00713123">
        <w:rPr>
          <w:rFonts w:ascii="Times New Roman" w:eastAsia="Times New Roman" w:hAnsi="Times New Roman" w:cs="Times New Roman"/>
          <w:sz w:val="24"/>
          <w:szCs w:val="24"/>
          <w:lang w:eastAsia="en-GB"/>
        </w:rPr>
        <w:t xml:space="preserve"> that were </w:t>
      </w:r>
      <w:r w:rsidR="009F3437">
        <w:rPr>
          <w:rFonts w:ascii="Times New Roman" w:eastAsia="Times New Roman" w:hAnsi="Times New Roman" w:cs="Times New Roman"/>
          <w:sz w:val="24"/>
          <w:szCs w:val="24"/>
          <w:lang w:eastAsia="en-GB"/>
        </w:rPr>
        <w:t xml:space="preserve">evidently not available to </w:t>
      </w:r>
      <w:r w:rsidR="00713123">
        <w:rPr>
          <w:rFonts w:ascii="Times New Roman" w:eastAsia="Times New Roman" w:hAnsi="Times New Roman" w:cs="Times New Roman"/>
          <w:sz w:val="24"/>
          <w:szCs w:val="24"/>
          <w:lang w:eastAsia="en-GB"/>
        </w:rPr>
        <w:t>earlier theorists</w:t>
      </w:r>
      <w:r w:rsidR="00536DE3" w:rsidRPr="00536DE3">
        <w:rPr>
          <w:rFonts w:ascii="Times New Roman" w:eastAsia="Times New Roman" w:hAnsi="Times New Roman" w:cs="Times New Roman"/>
          <w:sz w:val="24"/>
          <w:szCs w:val="24"/>
          <w:lang w:eastAsia="en-GB"/>
        </w:rPr>
        <w:t xml:space="preserve">. </w:t>
      </w: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Within sociology, recent but growing interest in such findings has led to the emergence of a fledgling sub-discipline, neurosociology, which seeks to explore social processes from both a (neuro)biological as well as socio-cultural standpoint (Franks 2010; Author 2005; 2006; 2010). With particular relevance for the current argument is the observation that human beings’ limited capacity to deal with uncontrolled change, while varying to some extent between individuals, appears nonetheless to be a relatively ‘inelastic’ condition imposed by particular aspects of the structure and functioning of the brain. Thus, we exhibit constraints in handling conscious processing of information, and thus experience, due to the limited capacity of our working memory (Plass et al 2010). We generally manage this by routinising many of our well-practiced responses, developing schema and procedural practices that can be deployed at a low level of consciousness such that we can readily accommodate to familiar tasks and experiences, freeing up our limited attention for dealing with novel situations or those deemed particularly significant in light of past experience.</w:t>
      </w:r>
      <w:r w:rsidRPr="00536DE3">
        <w:rPr>
          <w:rFonts w:ascii="Times New Roman" w:eastAsia="Times New Roman" w:hAnsi="Times New Roman" w:cs="Times New Roman"/>
          <w:sz w:val="24"/>
          <w:szCs w:val="24"/>
          <w:vertAlign w:val="superscript"/>
          <w:lang w:eastAsia="en-GB"/>
        </w:rPr>
        <w:endnoteReference w:id="5"/>
      </w:r>
      <w:r w:rsidRPr="00536DE3">
        <w:rPr>
          <w:rFonts w:ascii="Times New Roman" w:eastAsia="Times New Roman" w:hAnsi="Times New Roman" w:cs="Times New Roman"/>
          <w:sz w:val="24"/>
          <w:szCs w:val="24"/>
          <w:lang w:eastAsia="en-GB"/>
        </w:rPr>
        <w:t xml:space="preserve"> This effectively limits the ‘cognitive load’ that we are routinely exposed to (Ledoux 1998; Plass et al 2010). </w:t>
      </w:r>
    </w:p>
    <w:p w:rsidR="00EC11B0" w:rsidRDefault="00EC11B0" w:rsidP="00536DE3">
      <w:pPr>
        <w:spacing w:after="0" w:line="480" w:lineRule="auto"/>
        <w:jc w:val="both"/>
        <w:rPr>
          <w:rFonts w:ascii="Times New Roman" w:eastAsia="Times New Roman" w:hAnsi="Times New Roman" w:cs="Times New Roman"/>
          <w:sz w:val="24"/>
          <w:szCs w:val="24"/>
          <w:lang w:eastAsia="en-GB"/>
        </w:rPr>
      </w:pP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By contrast, where the limits of tolerable cognitive load are tested an ‘emotional alarm’ is experienced due to the fact that we no longer feel in full control of our circumstances and, thus, may not be adequately prepared and ready to focus on and deal with what life throws our way.</w:t>
      </w:r>
      <w:r w:rsidRPr="00536DE3">
        <w:rPr>
          <w:rFonts w:ascii="Times New Roman" w:eastAsia="Times New Roman" w:hAnsi="Times New Roman" w:cs="Times New Roman"/>
          <w:sz w:val="24"/>
          <w:szCs w:val="24"/>
          <w:vertAlign w:val="superscript"/>
          <w:lang w:eastAsia="en-GB"/>
        </w:rPr>
        <w:endnoteReference w:id="6"/>
      </w:r>
      <w:r w:rsidRPr="00536DE3">
        <w:rPr>
          <w:rFonts w:ascii="Times New Roman" w:eastAsia="Times New Roman" w:hAnsi="Times New Roman" w:cs="Times New Roman"/>
          <w:sz w:val="24"/>
          <w:szCs w:val="24"/>
          <w:lang w:eastAsia="en-GB"/>
        </w:rPr>
        <w:t xml:space="preserve"> Moreover, where the perception of ‘uncontrol’ persists the associated pattern of negative emotional arousal may eventually produce a chronic state of anxiety and/or potentially the ‘learned helplessness’ we associate with clinical depression (LeDoux 1998; Author 2010). </w:t>
      </w: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In qualification, it must be noted that too much predictability and routine may also be pr</w:t>
      </w:r>
      <w:r w:rsidR="00CE4035">
        <w:rPr>
          <w:rFonts w:ascii="Times New Roman" w:eastAsia="Times New Roman" w:hAnsi="Times New Roman" w:cs="Times New Roman"/>
          <w:sz w:val="24"/>
          <w:szCs w:val="24"/>
          <w:lang w:eastAsia="en-GB"/>
        </w:rPr>
        <w:t>oblematic, in that we require a degree</w:t>
      </w:r>
      <w:r w:rsidRPr="00536DE3">
        <w:rPr>
          <w:rFonts w:ascii="Times New Roman" w:eastAsia="Times New Roman" w:hAnsi="Times New Roman" w:cs="Times New Roman"/>
          <w:sz w:val="24"/>
          <w:szCs w:val="24"/>
          <w:lang w:eastAsia="en-GB"/>
        </w:rPr>
        <w:t xml:space="preserve"> of diversity and concomitant emotional arousal to rende</w:t>
      </w:r>
      <w:r w:rsidR="00CE4035">
        <w:rPr>
          <w:rFonts w:ascii="Times New Roman" w:eastAsia="Times New Roman" w:hAnsi="Times New Roman" w:cs="Times New Roman"/>
          <w:sz w:val="24"/>
          <w:szCs w:val="24"/>
          <w:lang w:eastAsia="en-GB"/>
        </w:rPr>
        <w:t xml:space="preserve">r everyday life </w:t>
      </w:r>
      <w:r w:rsidRPr="00536DE3">
        <w:rPr>
          <w:rFonts w:ascii="Times New Roman" w:eastAsia="Times New Roman" w:hAnsi="Times New Roman" w:cs="Times New Roman"/>
          <w:sz w:val="24"/>
          <w:szCs w:val="24"/>
          <w:lang w:eastAsia="en-GB"/>
        </w:rPr>
        <w:t>meaningful. The point, however, is that there appears to be an approximately optimal state consistent with achieving a modicum of balance between these two polarities, i.e. when we have a sense of control, stability, predictability a</w:t>
      </w:r>
      <w:r w:rsidR="004666F7">
        <w:rPr>
          <w:rFonts w:ascii="Times New Roman" w:eastAsia="Times New Roman" w:hAnsi="Times New Roman" w:cs="Times New Roman"/>
          <w:sz w:val="24"/>
          <w:szCs w:val="24"/>
          <w:lang w:eastAsia="en-GB"/>
        </w:rPr>
        <w:t xml:space="preserve">nd security </w:t>
      </w:r>
      <w:r w:rsidRPr="00536DE3">
        <w:rPr>
          <w:rFonts w:ascii="Times New Roman" w:eastAsia="Times New Roman" w:hAnsi="Times New Roman" w:cs="Times New Roman"/>
          <w:sz w:val="24"/>
          <w:szCs w:val="24"/>
          <w:lang w:eastAsia="en-GB"/>
        </w:rPr>
        <w:t>while encountering a modicum of novelty and/or stimulation sufficient to keep life interesting; on one side of this equilibrium state lies boredom and bewilderment and on the other fear, anger and existential angst (Csikszentmihalyi 1975; Bowlby 1988</w:t>
      </w:r>
      <w:r w:rsidR="0020713C">
        <w:rPr>
          <w:rFonts w:ascii="Times New Roman" w:eastAsia="Times New Roman" w:hAnsi="Times New Roman" w:cs="Times New Roman"/>
          <w:sz w:val="24"/>
          <w:szCs w:val="24"/>
          <w:lang w:eastAsia="en-GB"/>
        </w:rPr>
        <w:t>; Author</w:t>
      </w:r>
      <w:r w:rsidR="00340A32">
        <w:rPr>
          <w:rFonts w:ascii="Times New Roman" w:eastAsia="Times New Roman" w:hAnsi="Times New Roman" w:cs="Times New Roman"/>
          <w:sz w:val="24"/>
          <w:szCs w:val="24"/>
          <w:lang w:eastAsia="en-GB"/>
        </w:rPr>
        <w:t xml:space="preserve"> 2010</w:t>
      </w:r>
      <w:r w:rsidRPr="00536DE3">
        <w:rPr>
          <w:rFonts w:ascii="Times New Roman" w:eastAsia="Times New Roman" w:hAnsi="Times New Roman" w:cs="Times New Roman"/>
          <w:sz w:val="24"/>
          <w:szCs w:val="24"/>
          <w:lang w:eastAsia="en-GB"/>
        </w:rPr>
        <w:t xml:space="preserve">).  </w:t>
      </w: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p>
    <w:p w:rsidR="00536DE3" w:rsidRDefault="00536DE3" w:rsidP="00536DE3">
      <w:pPr>
        <w:spacing w:after="0" w:line="480" w:lineRule="auto"/>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 xml:space="preserve">The ‘real world’ implications of this process are perhaps evident, </w:t>
      </w:r>
      <w:r w:rsidR="00EC11B0">
        <w:rPr>
          <w:rFonts w:ascii="Times New Roman" w:eastAsia="Times New Roman" w:hAnsi="Times New Roman" w:cs="Times New Roman"/>
          <w:sz w:val="24"/>
          <w:szCs w:val="24"/>
          <w:lang w:eastAsia="en-GB"/>
        </w:rPr>
        <w:t xml:space="preserve">and thus the relevance to the argument at hand, </w:t>
      </w:r>
      <w:r w:rsidRPr="00536DE3">
        <w:rPr>
          <w:rFonts w:ascii="Times New Roman" w:eastAsia="Times New Roman" w:hAnsi="Times New Roman" w:cs="Times New Roman"/>
          <w:sz w:val="24"/>
          <w:szCs w:val="24"/>
          <w:lang w:eastAsia="en-GB"/>
        </w:rPr>
        <w:t>in that maintaining our cognitive and emotional burden at manageable levels is dependent on there being a degree of simplicity, stability and c</w:t>
      </w:r>
      <w:r w:rsidR="0092434E">
        <w:rPr>
          <w:rFonts w:ascii="Times New Roman" w:eastAsia="Times New Roman" w:hAnsi="Times New Roman" w:cs="Times New Roman"/>
          <w:sz w:val="24"/>
          <w:szCs w:val="24"/>
          <w:lang w:eastAsia="en-GB"/>
        </w:rPr>
        <w:t xml:space="preserve">ontinuity in our </w:t>
      </w:r>
      <w:r w:rsidRPr="00536DE3">
        <w:rPr>
          <w:rFonts w:ascii="Times New Roman" w:eastAsia="Times New Roman" w:hAnsi="Times New Roman" w:cs="Times New Roman"/>
          <w:sz w:val="24"/>
          <w:szCs w:val="24"/>
          <w:lang w:eastAsia="en-GB"/>
        </w:rPr>
        <w:t xml:space="preserve">circumstances, or at least a level of change and complexity that is sufficiently moderate that we can confront novel experiences without being overwhelmed (Ledoux 1998; Author 2010). </w:t>
      </w: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This perspective is not only robustly evidenced but is also consistent with classic</w:t>
      </w:r>
      <w:r w:rsidR="00340A32">
        <w:rPr>
          <w:rFonts w:ascii="Times New Roman" w:eastAsia="Times New Roman" w:hAnsi="Times New Roman" w:cs="Times New Roman"/>
          <w:sz w:val="24"/>
          <w:szCs w:val="24"/>
          <w:lang w:eastAsia="en-GB"/>
        </w:rPr>
        <w:t>al</w:t>
      </w:r>
      <w:r w:rsidRPr="00536DE3">
        <w:rPr>
          <w:rFonts w:ascii="Times New Roman" w:eastAsia="Times New Roman" w:hAnsi="Times New Roman" w:cs="Times New Roman"/>
          <w:sz w:val="24"/>
          <w:szCs w:val="24"/>
          <w:lang w:eastAsia="en-GB"/>
        </w:rPr>
        <w:t xml:space="preserve"> sociological observations regarding the demands that living in modern urban settings imposes on individuals. As Simmel notably observed in his identification of the ‘nervous exhaustion’ expe</w:t>
      </w:r>
      <w:r w:rsidR="00AE5456">
        <w:rPr>
          <w:rFonts w:ascii="Times New Roman" w:eastAsia="Times New Roman" w:hAnsi="Times New Roman" w:cs="Times New Roman"/>
          <w:sz w:val="24"/>
          <w:szCs w:val="24"/>
          <w:lang w:eastAsia="en-GB"/>
        </w:rPr>
        <w:t>rienced by the new city dwellers</w:t>
      </w:r>
      <w:r w:rsidRPr="00536DE3">
        <w:rPr>
          <w:rFonts w:ascii="Times New Roman" w:eastAsia="Times New Roman" w:hAnsi="Times New Roman" w:cs="Times New Roman"/>
          <w:sz w:val="24"/>
          <w:szCs w:val="24"/>
          <w:lang w:eastAsia="en-GB"/>
        </w:rPr>
        <w:t xml:space="preserve"> of the industrial revolution, we are constantly vulnerable to such experiences (1903). It may well be the case that living in a complex modern urban society, of itself, consistently taxes the cognitive and emotional coping capacities of a species that evolved in far ‘simpler’ environments, while this notion is further supported by very recent evidence suggesting a relationship between urban living and increased neurological sensitivity to stress (Lederbogen et al 2011). If this is given credence, it may be further argued that neoliberalism may exacerbate these conditions by undermining the fragile but crucial pillars of stability afforded by the ‘job for life’ and secure housing that emerged in the </w:t>
      </w:r>
      <w:r w:rsidR="00065234" w:rsidRPr="00536DE3">
        <w:rPr>
          <w:rFonts w:ascii="Times New Roman" w:eastAsia="Times New Roman" w:hAnsi="Times New Roman" w:cs="Times New Roman"/>
          <w:sz w:val="24"/>
          <w:szCs w:val="24"/>
          <w:lang w:eastAsia="en-GB"/>
        </w:rPr>
        <w:t>mid-20</w:t>
      </w:r>
      <w:r w:rsidR="00065234" w:rsidRPr="00536DE3">
        <w:rPr>
          <w:rFonts w:ascii="Times New Roman" w:eastAsia="Times New Roman" w:hAnsi="Times New Roman" w:cs="Times New Roman"/>
          <w:sz w:val="24"/>
          <w:szCs w:val="24"/>
          <w:vertAlign w:val="superscript"/>
          <w:lang w:eastAsia="en-GB"/>
        </w:rPr>
        <w:t>th</w:t>
      </w:r>
      <w:r w:rsidRPr="00536DE3">
        <w:rPr>
          <w:rFonts w:ascii="Times New Roman" w:eastAsia="Times New Roman" w:hAnsi="Times New Roman" w:cs="Times New Roman"/>
          <w:sz w:val="24"/>
          <w:szCs w:val="24"/>
          <w:lang w:eastAsia="en-GB"/>
        </w:rPr>
        <w:t xml:space="preserve"> century (Author 2009). Moreover, neurosociology may also point towards a subtler and even deeper reason as to why the ‘flexible’ free market approach to housing in particular may contribute to social malaise, fractured relationships, identities and psychological distress.</w:t>
      </w: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p>
    <w:p w:rsidR="00536DE3" w:rsidRPr="00B7096E" w:rsidRDefault="00536DE3" w:rsidP="00536DE3">
      <w:pPr>
        <w:spacing w:after="0" w:line="480" w:lineRule="auto"/>
        <w:jc w:val="both"/>
        <w:rPr>
          <w:rFonts w:ascii="Times New Roman" w:eastAsia="Times New Roman" w:hAnsi="Times New Roman" w:cs="Times New Roman"/>
          <w:i/>
          <w:sz w:val="24"/>
          <w:szCs w:val="24"/>
          <w:lang w:eastAsia="en-GB"/>
        </w:rPr>
      </w:pPr>
      <w:r w:rsidRPr="00B7096E">
        <w:rPr>
          <w:rFonts w:ascii="Times New Roman" w:eastAsia="Times New Roman" w:hAnsi="Times New Roman" w:cs="Times New Roman"/>
          <w:i/>
          <w:sz w:val="24"/>
          <w:szCs w:val="24"/>
          <w:lang w:eastAsia="en-GB"/>
        </w:rPr>
        <w:t>Stable Selfhood, Identity and ‘Spatiality’</w:t>
      </w:r>
    </w:p>
    <w:p w:rsidR="00536DE3" w:rsidRPr="00536DE3" w:rsidRDefault="00536DE3" w:rsidP="00536DE3">
      <w:pPr>
        <w:spacing w:after="0" w:line="480" w:lineRule="auto"/>
        <w:ind w:left="567" w:right="935"/>
        <w:rPr>
          <w:rFonts w:ascii="Times New Roman" w:eastAsia="Times New Roman" w:hAnsi="Times New Roman" w:cs="Times New Roman"/>
          <w:sz w:val="24"/>
          <w:szCs w:val="24"/>
          <w:lang w:eastAsia="en-GB"/>
        </w:rPr>
      </w:pPr>
    </w:p>
    <w:p w:rsidR="00536DE3" w:rsidRPr="00536DE3" w:rsidRDefault="00536DE3" w:rsidP="00536DE3">
      <w:pPr>
        <w:spacing w:after="0" w:line="480" w:lineRule="auto"/>
        <w:ind w:left="567" w:right="1088"/>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Emotional connection to place is an intensely personal and visceral phenomenon (Jones and Evans 2012: 2321).</w:t>
      </w:r>
    </w:p>
    <w:p w:rsidR="00536DE3" w:rsidRPr="00536DE3" w:rsidRDefault="00536DE3" w:rsidP="00536DE3">
      <w:pPr>
        <w:spacing w:after="0" w:line="480" w:lineRule="auto"/>
        <w:jc w:val="center"/>
        <w:rPr>
          <w:rFonts w:ascii="Times New Roman" w:eastAsia="Times New Roman" w:hAnsi="Times New Roman" w:cs="Times New Roman"/>
          <w:sz w:val="20"/>
          <w:szCs w:val="20"/>
          <w:lang w:eastAsia="en-GB"/>
        </w:rPr>
      </w:pP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 xml:space="preserve">The relationship between geographical space and identity formation has been widely addressed across a number of disciplines, including those specifically focusing on housing issues. While it is impossible in this piece to engage with these debates in depth, a broad range of studies within the housing field have also underscored the negative economic, social and psychological effects of involuntary displacement for various groups across a variety of settings, for example, where associated with processes of urban redevelopment, gentrification, landlord repossession and unmanageable rental increases (Zukin 1982; Atkinson 2000; Newman &amp; Wyly 2006; Atkinson et al 2011). What emerges, from a variety of these sources is robust evidence of the often disorientating impact of relocation, </w:t>
      </w:r>
      <w:r w:rsidR="008157B8">
        <w:rPr>
          <w:rFonts w:ascii="Times New Roman" w:eastAsia="Times New Roman" w:hAnsi="Times New Roman" w:cs="Times New Roman"/>
          <w:sz w:val="24"/>
          <w:szCs w:val="24"/>
          <w:lang w:eastAsia="en-GB"/>
        </w:rPr>
        <w:t xml:space="preserve">most </w:t>
      </w:r>
      <w:r w:rsidRPr="00536DE3">
        <w:rPr>
          <w:rFonts w:ascii="Times New Roman" w:eastAsia="Times New Roman" w:hAnsi="Times New Roman" w:cs="Times New Roman"/>
          <w:sz w:val="24"/>
          <w:szCs w:val="24"/>
          <w:lang w:eastAsia="en-GB"/>
        </w:rPr>
        <w:t xml:space="preserve">particularly where this is imposed rather than chosen (Atkinson et </w:t>
      </w:r>
      <w:r w:rsidR="0020713C">
        <w:rPr>
          <w:rFonts w:ascii="Times New Roman" w:eastAsia="Times New Roman" w:hAnsi="Times New Roman" w:cs="Times New Roman"/>
          <w:sz w:val="24"/>
          <w:szCs w:val="24"/>
          <w:lang w:eastAsia="en-GB"/>
        </w:rPr>
        <w:t>al 2011; Fitzpatrick and Pawson</w:t>
      </w:r>
      <w:r w:rsidRPr="00536DE3">
        <w:rPr>
          <w:rFonts w:ascii="Times New Roman" w:eastAsia="Times New Roman" w:hAnsi="Times New Roman" w:cs="Times New Roman"/>
          <w:sz w:val="24"/>
          <w:szCs w:val="24"/>
          <w:lang w:eastAsia="en-GB"/>
        </w:rPr>
        <w:t xml:space="preserve"> 2013).</w:t>
      </w: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With respect to more theoretically oriented discussion, a good deal of this is concerned with the symbolic meaning of space for particular groups i.e. the manner in which mythological and romantic images of the homeland mobilise local and national identities and sentiments (Anderson 1983). There has also been recognition of the more personal and emotional attachment to partic</w:t>
      </w:r>
      <w:r w:rsidR="0020713C">
        <w:rPr>
          <w:rFonts w:ascii="Times New Roman" w:eastAsia="Times New Roman" w:hAnsi="Times New Roman" w:cs="Times New Roman"/>
          <w:sz w:val="24"/>
          <w:szCs w:val="24"/>
          <w:lang w:eastAsia="en-GB"/>
        </w:rPr>
        <w:t>ular places (Relph 1976; Tuan</w:t>
      </w:r>
      <w:r w:rsidRPr="00536DE3">
        <w:rPr>
          <w:rFonts w:ascii="Times New Roman" w:eastAsia="Times New Roman" w:hAnsi="Times New Roman" w:cs="Times New Roman"/>
          <w:sz w:val="24"/>
          <w:szCs w:val="24"/>
          <w:lang w:eastAsia="en-GB"/>
        </w:rPr>
        <w:t xml:space="preserve"> 1977). As Relph states, ‘(T)o be attached to places and have profound ties with them is </w:t>
      </w:r>
      <w:r w:rsidR="0020713C">
        <w:rPr>
          <w:rFonts w:ascii="Times New Roman" w:eastAsia="Times New Roman" w:hAnsi="Times New Roman" w:cs="Times New Roman"/>
          <w:sz w:val="24"/>
          <w:szCs w:val="24"/>
          <w:lang w:eastAsia="en-GB"/>
        </w:rPr>
        <w:t>an important human need’ (Relph</w:t>
      </w:r>
      <w:r w:rsidRPr="00536DE3">
        <w:rPr>
          <w:rFonts w:ascii="Times New Roman" w:eastAsia="Times New Roman" w:hAnsi="Times New Roman" w:cs="Times New Roman"/>
          <w:sz w:val="24"/>
          <w:szCs w:val="24"/>
          <w:lang w:eastAsia="en-GB"/>
        </w:rPr>
        <w:t xml:space="preserve"> 1976: 38).</w:t>
      </w: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 xml:space="preserve">It can be argued, however, that lesser attention has been devoted to understanding the deeper and more complex interrelationships between physical location, emotion, memory and identity that might contribute to the observed effects of involuntary displacement. </w:t>
      </w:r>
    </w:p>
    <w:p w:rsidR="004424FE" w:rsidRDefault="004424FE" w:rsidP="00536DE3">
      <w:pPr>
        <w:spacing w:after="0" w:line="480" w:lineRule="auto"/>
        <w:jc w:val="both"/>
        <w:rPr>
          <w:rFonts w:ascii="Times New Roman" w:eastAsia="Times New Roman" w:hAnsi="Times New Roman" w:cs="Times New Roman"/>
          <w:sz w:val="24"/>
          <w:szCs w:val="24"/>
          <w:lang w:eastAsia="en-GB"/>
        </w:rPr>
      </w:pPr>
    </w:p>
    <w:p w:rsidR="00536DE3" w:rsidRPr="00536DE3" w:rsidRDefault="00536DE3" w:rsidP="00536DE3">
      <w:pPr>
        <w:spacing w:after="0" w:line="480" w:lineRule="auto"/>
        <w:jc w:val="both"/>
        <w:rPr>
          <w:rFonts w:ascii="Times New Roman" w:eastAsia="Times New Roman" w:hAnsi="Times New Roman" w:cs="Times New Roman"/>
          <w:color w:val="FF0000"/>
          <w:sz w:val="24"/>
          <w:szCs w:val="24"/>
          <w:lang w:eastAsia="en-GB"/>
        </w:rPr>
      </w:pPr>
      <w:r w:rsidRPr="00536DE3">
        <w:rPr>
          <w:rFonts w:ascii="Times New Roman" w:eastAsia="Times New Roman" w:hAnsi="Times New Roman" w:cs="Times New Roman"/>
          <w:sz w:val="24"/>
          <w:szCs w:val="24"/>
          <w:lang w:eastAsia="en-GB"/>
        </w:rPr>
        <w:t xml:space="preserve">Inexorably associated with the processes described above, a key factor in the individual’s ability to control and manage experience, sustaining feelings of security, is the capacity to sustain a coherent and consistent identity. Stated plainly, to feel secure we need to have confidence in </w:t>
      </w:r>
      <w:r w:rsidRPr="00536DE3">
        <w:rPr>
          <w:rFonts w:ascii="Times New Roman" w:eastAsia="Times New Roman" w:hAnsi="Times New Roman" w:cs="Times New Roman"/>
          <w:i/>
          <w:sz w:val="24"/>
          <w:szCs w:val="24"/>
          <w:lang w:eastAsia="en-GB"/>
        </w:rPr>
        <w:t>both</w:t>
      </w:r>
      <w:r w:rsidRPr="00536DE3">
        <w:rPr>
          <w:rFonts w:ascii="Times New Roman" w:eastAsia="Times New Roman" w:hAnsi="Times New Roman" w:cs="Times New Roman"/>
          <w:sz w:val="24"/>
          <w:szCs w:val="24"/>
          <w:lang w:eastAsia="en-GB"/>
        </w:rPr>
        <w:t xml:space="preserve"> the consistency and coherence of our world </w:t>
      </w:r>
      <w:r w:rsidRPr="00536DE3">
        <w:rPr>
          <w:rFonts w:ascii="Times New Roman" w:eastAsia="Times New Roman" w:hAnsi="Times New Roman" w:cs="Times New Roman"/>
          <w:i/>
          <w:sz w:val="24"/>
          <w:szCs w:val="24"/>
          <w:lang w:eastAsia="en-GB"/>
        </w:rPr>
        <w:t>and</w:t>
      </w:r>
      <w:r w:rsidRPr="00536DE3">
        <w:rPr>
          <w:rFonts w:ascii="Times New Roman" w:eastAsia="Times New Roman" w:hAnsi="Times New Roman" w:cs="Times New Roman"/>
          <w:sz w:val="24"/>
          <w:szCs w:val="24"/>
          <w:lang w:eastAsia="en-GB"/>
        </w:rPr>
        <w:t xml:space="preserve"> how and where we as individuals fit (Giddens 1991). In turn, stable identity is evidently dependent upon the extent to which we can sustain a relatively consistent narrative/biography of our life to date, supported by our ongoing relationships and interaction with others (Atchley 1989). Current understandings of the manner in which we acquire long term memories suggest that there may also be a spatial dimension to this overall process. This hypothesis is founded on the notion that one of the principle structures in the brain associated with the formation of the long term semantic and episodic memories that constitute our internalised perceptions of selfhood and the lifeworld, the hippocampus, has also been identified as a structure centrally implicated in orienting us in geographical space (O’Keefe and Nadel 1978).  Thus, in constructing our knowledge of the world and our relationship to it human beings may be effectively building upon an evolutionary capacity to represent the topography and individually relevant features of the physical environment in memory - including memories of opportunities, threats and associated positive and negative experiences - where human development has simply allowed us to retain and employ a much richer and more symbolically abstracted, temporally extended and detailed ‘map’ than other animals (Author 2010). </w:t>
      </w: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p>
    <w:p w:rsidR="00536DE3" w:rsidRDefault="00536DE3" w:rsidP="00536DE3">
      <w:pPr>
        <w:spacing w:after="0" w:line="480" w:lineRule="auto"/>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Augmenting sociological conceptions of the social construction of the self - as being dependent on interactions with others within social networks - our interaction with the spatial environment may also be regarded as an important ingredient in the p</w:t>
      </w:r>
      <w:r w:rsidR="0020713C">
        <w:rPr>
          <w:rFonts w:ascii="Times New Roman" w:eastAsia="Times New Roman" w:hAnsi="Times New Roman" w:cs="Times New Roman"/>
          <w:sz w:val="24"/>
          <w:szCs w:val="24"/>
          <w:lang w:eastAsia="en-GB"/>
        </w:rPr>
        <w:t>rocess of self formation (Elias</w:t>
      </w:r>
      <w:r w:rsidRPr="00536DE3">
        <w:rPr>
          <w:rFonts w:ascii="Times New Roman" w:eastAsia="Times New Roman" w:hAnsi="Times New Roman" w:cs="Times New Roman"/>
          <w:sz w:val="24"/>
          <w:szCs w:val="24"/>
          <w:lang w:eastAsia="en-GB"/>
        </w:rPr>
        <w:t xml:space="preserve"> 1939). Thus, selfhood might be even more fully understood as arising within a matrix of meaningful attachments and relationships with both other people </w:t>
      </w:r>
      <w:r w:rsidRPr="00536DE3">
        <w:rPr>
          <w:rFonts w:ascii="Times New Roman" w:eastAsia="Times New Roman" w:hAnsi="Times New Roman" w:cs="Times New Roman"/>
          <w:b/>
          <w:sz w:val="24"/>
          <w:szCs w:val="24"/>
          <w:lang w:eastAsia="en-GB"/>
        </w:rPr>
        <w:t>and</w:t>
      </w:r>
      <w:r w:rsidRPr="00536DE3">
        <w:rPr>
          <w:rFonts w:ascii="Times New Roman" w:eastAsia="Times New Roman" w:hAnsi="Times New Roman" w:cs="Times New Roman"/>
          <w:sz w:val="24"/>
          <w:szCs w:val="24"/>
          <w:lang w:eastAsia="en-GB"/>
        </w:rPr>
        <w:t xml:space="preserve"> the physical environment, with each contributing to the construction of lifeworld and identity (Elias 1939; Tuan 1977).  In short, while tentative, there may be some grounds for considering that the relationship between the physical environment and identity formation and stability may be more significant than hitherto imagined, and consequently the </w:t>
      </w:r>
      <w:r w:rsidR="00CE4035">
        <w:rPr>
          <w:rFonts w:ascii="Times New Roman" w:eastAsia="Times New Roman" w:hAnsi="Times New Roman" w:cs="Times New Roman"/>
          <w:sz w:val="24"/>
          <w:szCs w:val="24"/>
          <w:lang w:eastAsia="en-GB"/>
        </w:rPr>
        <w:t xml:space="preserve">negative </w:t>
      </w:r>
      <w:r w:rsidRPr="00536DE3">
        <w:rPr>
          <w:rFonts w:ascii="Times New Roman" w:eastAsia="Times New Roman" w:hAnsi="Times New Roman" w:cs="Times New Roman"/>
          <w:sz w:val="24"/>
          <w:szCs w:val="24"/>
          <w:lang w:eastAsia="en-GB"/>
        </w:rPr>
        <w:t xml:space="preserve">effects of </w:t>
      </w:r>
      <w:r w:rsidR="008A2503" w:rsidRPr="00340A32">
        <w:rPr>
          <w:rFonts w:ascii="Times New Roman" w:eastAsia="Times New Roman" w:hAnsi="Times New Roman" w:cs="Times New Roman"/>
          <w:i/>
          <w:sz w:val="24"/>
          <w:szCs w:val="24"/>
          <w:lang w:eastAsia="en-GB"/>
        </w:rPr>
        <w:t>involuntary</w:t>
      </w:r>
      <w:r w:rsidR="008A2503">
        <w:rPr>
          <w:rFonts w:ascii="Times New Roman" w:eastAsia="Times New Roman" w:hAnsi="Times New Roman" w:cs="Times New Roman"/>
          <w:sz w:val="24"/>
          <w:szCs w:val="24"/>
          <w:lang w:eastAsia="en-GB"/>
        </w:rPr>
        <w:t xml:space="preserve"> </w:t>
      </w:r>
      <w:r w:rsidRPr="00536DE3">
        <w:rPr>
          <w:rFonts w:ascii="Times New Roman" w:eastAsia="Times New Roman" w:hAnsi="Times New Roman" w:cs="Times New Roman"/>
          <w:sz w:val="24"/>
          <w:szCs w:val="24"/>
          <w:lang w:eastAsia="en-GB"/>
        </w:rPr>
        <w:t>relocation</w:t>
      </w:r>
      <w:r w:rsidR="00CE4035">
        <w:rPr>
          <w:rFonts w:ascii="Times New Roman" w:eastAsia="Times New Roman" w:hAnsi="Times New Roman" w:cs="Times New Roman"/>
          <w:sz w:val="24"/>
          <w:szCs w:val="24"/>
          <w:lang w:eastAsia="en-GB"/>
        </w:rPr>
        <w:t xml:space="preserve">, such as that experienced by many PRS tenants, </w:t>
      </w:r>
      <w:r w:rsidRPr="00536DE3">
        <w:rPr>
          <w:rFonts w:ascii="Times New Roman" w:eastAsia="Times New Roman" w:hAnsi="Times New Roman" w:cs="Times New Roman"/>
          <w:sz w:val="24"/>
          <w:szCs w:val="24"/>
          <w:lang w:eastAsia="en-GB"/>
        </w:rPr>
        <w:t xml:space="preserve">may be correspondingly more profound.   </w:t>
      </w:r>
    </w:p>
    <w:p w:rsidR="00201ED1" w:rsidRDefault="00201ED1" w:rsidP="00536DE3">
      <w:pPr>
        <w:spacing w:after="0" w:line="480" w:lineRule="auto"/>
        <w:jc w:val="both"/>
        <w:rPr>
          <w:rFonts w:ascii="Times New Roman" w:eastAsia="Times New Roman" w:hAnsi="Times New Roman" w:cs="Times New Roman"/>
          <w:sz w:val="24"/>
          <w:szCs w:val="24"/>
          <w:lang w:eastAsia="en-GB"/>
        </w:rPr>
      </w:pPr>
    </w:p>
    <w:p w:rsidR="00201ED1" w:rsidRPr="00536DE3" w:rsidRDefault="00201ED1" w:rsidP="00201ED1">
      <w:pPr>
        <w:spacing w:after="0" w:line="480" w:lineRule="auto"/>
        <w:ind w:left="567" w:right="935"/>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In the displacement literature some researchers have found that people who are forced to move operate in a kind of mourning for the areas and lives they have left behind…More commonly it was easy to see the kind of dejection and resentment generated among those who had been displaced (Atkinson et al 2011: 44-45).</w:t>
      </w:r>
    </w:p>
    <w:p w:rsidR="00340A32" w:rsidRDefault="00340A32" w:rsidP="00536DE3">
      <w:pPr>
        <w:spacing w:after="0" w:line="480" w:lineRule="auto"/>
        <w:jc w:val="both"/>
        <w:rPr>
          <w:rFonts w:ascii="Times New Roman" w:eastAsia="Times New Roman" w:hAnsi="Times New Roman" w:cs="Times New Roman"/>
          <w:sz w:val="24"/>
          <w:szCs w:val="24"/>
          <w:lang w:eastAsia="en-GB"/>
        </w:rPr>
      </w:pP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It may be that those who have little choice in the matter experience geographical movement as involving an unnerving wrench and reorientation that is difficult to accommodate to, most particularly where</w:t>
      </w:r>
      <w:r w:rsidR="00340A32">
        <w:rPr>
          <w:rFonts w:ascii="Times New Roman" w:eastAsia="Times New Roman" w:hAnsi="Times New Roman" w:cs="Times New Roman"/>
          <w:sz w:val="24"/>
          <w:szCs w:val="24"/>
          <w:lang w:eastAsia="en-GB"/>
        </w:rPr>
        <w:t xml:space="preserve"> this is a recurrent experience. On this point, one caveat here is that</w:t>
      </w:r>
      <w:r w:rsidRPr="00536DE3">
        <w:rPr>
          <w:rFonts w:ascii="Times New Roman" w:eastAsia="Times New Roman" w:hAnsi="Times New Roman" w:cs="Times New Roman"/>
          <w:sz w:val="24"/>
          <w:szCs w:val="24"/>
          <w:lang w:eastAsia="en-GB"/>
        </w:rPr>
        <w:t xml:space="preserve"> those who do this through choice or with strong collective support may manage and control the experience, pace and circumstances of such transitions sufficiently that there are few </w:t>
      </w:r>
      <w:r w:rsidR="00340A32">
        <w:rPr>
          <w:rFonts w:ascii="Times New Roman" w:eastAsia="Times New Roman" w:hAnsi="Times New Roman" w:cs="Times New Roman"/>
          <w:sz w:val="24"/>
          <w:szCs w:val="24"/>
          <w:lang w:eastAsia="en-GB"/>
        </w:rPr>
        <w:t>perceptible ill effects. Nonetheless, the trend towards imposing</w:t>
      </w:r>
      <w:r w:rsidRPr="00536DE3">
        <w:rPr>
          <w:rFonts w:ascii="Times New Roman" w:eastAsia="Times New Roman" w:hAnsi="Times New Roman" w:cs="Times New Roman"/>
          <w:sz w:val="24"/>
          <w:szCs w:val="24"/>
          <w:lang w:eastAsia="en-GB"/>
        </w:rPr>
        <w:t xml:space="preserve"> a form of atomised nomadism on the ‘housing poor’ may have a range of unacknowledged implications. In short, stable selves may be founded upon </w:t>
      </w:r>
      <w:r w:rsidRPr="00536DE3">
        <w:rPr>
          <w:rFonts w:ascii="Times New Roman" w:eastAsia="Times New Roman" w:hAnsi="Times New Roman" w:cs="Times New Roman"/>
          <w:i/>
          <w:sz w:val="24"/>
          <w:szCs w:val="24"/>
          <w:lang w:eastAsia="en-GB"/>
        </w:rPr>
        <w:t xml:space="preserve">both </w:t>
      </w:r>
      <w:r w:rsidRPr="00536DE3">
        <w:rPr>
          <w:rFonts w:ascii="Times New Roman" w:eastAsia="Times New Roman" w:hAnsi="Times New Roman" w:cs="Times New Roman"/>
          <w:sz w:val="24"/>
          <w:szCs w:val="24"/>
          <w:lang w:eastAsia="en-GB"/>
        </w:rPr>
        <w:t xml:space="preserve">stable relationships </w:t>
      </w:r>
      <w:r w:rsidRPr="00536DE3">
        <w:rPr>
          <w:rFonts w:ascii="Times New Roman" w:eastAsia="Times New Roman" w:hAnsi="Times New Roman" w:cs="Times New Roman"/>
          <w:i/>
          <w:sz w:val="24"/>
          <w:szCs w:val="24"/>
          <w:lang w:eastAsia="en-GB"/>
        </w:rPr>
        <w:t>and</w:t>
      </w:r>
      <w:r w:rsidRPr="00536DE3">
        <w:rPr>
          <w:rFonts w:ascii="Times New Roman" w:eastAsia="Times New Roman" w:hAnsi="Times New Roman" w:cs="Times New Roman"/>
          <w:sz w:val="24"/>
          <w:szCs w:val="24"/>
          <w:lang w:eastAsia="en-GB"/>
        </w:rPr>
        <w:t xml:space="preserve"> stable locations, and cannot be readily forged and sustained in highly fragmented, insecure and constantly shifting locales. </w:t>
      </w:r>
    </w:p>
    <w:p w:rsidR="00536DE3" w:rsidRPr="00536DE3" w:rsidRDefault="00536DE3" w:rsidP="00536DE3">
      <w:pPr>
        <w:spacing w:after="0" w:line="480" w:lineRule="auto"/>
        <w:ind w:right="935"/>
        <w:jc w:val="both"/>
        <w:rPr>
          <w:rFonts w:ascii="Times New Roman" w:eastAsia="Times New Roman" w:hAnsi="Times New Roman" w:cs="Times New Roman"/>
          <w:sz w:val="24"/>
          <w:szCs w:val="24"/>
          <w:lang w:eastAsia="en-GB"/>
        </w:rPr>
      </w:pPr>
    </w:p>
    <w:p w:rsidR="00536DE3" w:rsidRPr="00536DE3" w:rsidRDefault="00536DE3" w:rsidP="00536DE3">
      <w:pPr>
        <w:spacing w:after="0" w:line="480" w:lineRule="auto"/>
        <w:jc w:val="both"/>
        <w:rPr>
          <w:rFonts w:ascii="Times New Roman" w:eastAsia="Times New Roman" w:hAnsi="Times New Roman" w:cs="Times New Roman"/>
          <w:b/>
          <w:sz w:val="24"/>
          <w:szCs w:val="24"/>
          <w:lang w:eastAsia="en-GB"/>
        </w:rPr>
      </w:pPr>
    </w:p>
    <w:p w:rsidR="008157B8" w:rsidRDefault="008157B8" w:rsidP="00536DE3">
      <w:pPr>
        <w:spacing w:after="0" w:line="480" w:lineRule="auto"/>
        <w:jc w:val="both"/>
        <w:rPr>
          <w:rFonts w:ascii="Times New Roman" w:eastAsia="Times New Roman" w:hAnsi="Times New Roman" w:cs="Times New Roman"/>
          <w:b/>
          <w:sz w:val="24"/>
          <w:szCs w:val="24"/>
          <w:lang w:eastAsia="en-GB"/>
        </w:rPr>
      </w:pPr>
    </w:p>
    <w:p w:rsidR="008157B8" w:rsidRDefault="008157B8" w:rsidP="00536DE3">
      <w:pPr>
        <w:spacing w:after="0" w:line="480" w:lineRule="auto"/>
        <w:jc w:val="both"/>
        <w:rPr>
          <w:rFonts w:ascii="Times New Roman" w:eastAsia="Times New Roman" w:hAnsi="Times New Roman" w:cs="Times New Roman"/>
          <w:b/>
          <w:sz w:val="24"/>
          <w:szCs w:val="24"/>
          <w:lang w:eastAsia="en-GB"/>
        </w:rPr>
      </w:pPr>
    </w:p>
    <w:p w:rsidR="008157B8" w:rsidRDefault="008157B8" w:rsidP="00536DE3">
      <w:pPr>
        <w:spacing w:after="0" w:line="480" w:lineRule="auto"/>
        <w:jc w:val="both"/>
        <w:rPr>
          <w:rFonts w:ascii="Times New Roman" w:eastAsia="Times New Roman" w:hAnsi="Times New Roman" w:cs="Times New Roman"/>
          <w:b/>
          <w:sz w:val="24"/>
          <w:szCs w:val="24"/>
          <w:lang w:eastAsia="en-GB"/>
        </w:rPr>
      </w:pPr>
    </w:p>
    <w:p w:rsidR="008157B8" w:rsidRDefault="008157B8" w:rsidP="00536DE3">
      <w:pPr>
        <w:spacing w:after="0" w:line="480" w:lineRule="auto"/>
        <w:jc w:val="both"/>
        <w:rPr>
          <w:rFonts w:ascii="Times New Roman" w:eastAsia="Times New Roman" w:hAnsi="Times New Roman" w:cs="Times New Roman"/>
          <w:b/>
          <w:sz w:val="24"/>
          <w:szCs w:val="24"/>
          <w:lang w:eastAsia="en-GB"/>
        </w:rPr>
      </w:pPr>
    </w:p>
    <w:p w:rsidR="00536DE3" w:rsidRPr="00B7096E" w:rsidRDefault="00536DE3" w:rsidP="00536DE3">
      <w:pPr>
        <w:spacing w:after="0" w:line="480" w:lineRule="auto"/>
        <w:jc w:val="both"/>
        <w:rPr>
          <w:rFonts w:ascii="Times New Roman" w:eastAsia="Times New Roman" w:hAnsi="Times New Roman" w:cs="Times New Roman"/>
          <w:b/>
          <w:sz w:val="24"/>
          <w:szCs w:val="24"/>
          <w:lang w:eastAsia="en-GB"/>
        </w:rPr>
      </w:pPr>
      <w:r w:rsidRPr="00B7096E">
        <w:rPr>
          <w:rFonts w:ascii="Times New Roman" w:eastAsia="Times New Roman" w:hAnsi="Times New Roman" w:cs="Times New Roman"/>
          <w:b/>
          <w:sz w:val="24"/>
          <w:szCs w:val="24"/>
          <w:lang w:eastAsia="en-GB"/>
        </w:rPr>
        <w:t>The Case for Secure Mixed Market Housing</w:t>
      </w:r>
    </w:p>
    <w:p w:rsidR="00536DE3" w:rsidRPr="00536DE3" w:rsidRDefault="00536DE3" w:rsidP="00536DE3">
      <w:pPr>
        <w:spacing w:after="0" w:line="480" w:lineRule="auto"/>
        <w:jc w:val="both"/>
        <w:rPr>
          <w:rFonts w:ascii="Times New Roman" w:eastAsia="Times New Roman" w:hAnsi="Times New Roman" w:cs="Times New Roman"/>
          <w:b/>
          <w:sz w:val="24"/>
          <w:szCs w:val="24"/>
          <w:lang w:eastAsia="en-GB"/>
        </w:rPr>
      </w:pPr>
    </w:p>
    <w:p w:rsidR="00536DE3" w:rsidRPr="00536DE3" w:rsidRDefault="00536DE3" w:rsidP="00536DE3">
      <w:pPr>
        <w:spacing w:after="0" w:line="480" w:lineRule="auto"/>
        <w:ind w:left="567"/>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noProof/>
          <w:sz w:val="24"/>
          <w:szCs w:val="24"/>
          <w:lang w:eastAsia="en-GB"/>
        </w:rPr>
        <w:drawing>
          <wp:inline distT="0" distB="0" distL="0" distR="0" wp14:anchorId="2BEEE09E" wp14:editId="062BC5E6">
            <wp:extent cx="4667250" cy="2012950"/>
            <wp:effectExtent l="0" t="0" r="19050" b="2540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536DE3" w:rsidRPr="00536DE3" w:rsidRDefault="00536DE3" w:rsidP="00536DE3">
      <w:pPr>
        <w:spacing w:after="0" w:line="480" w:lineRule="auto"/>
        <w:ind w:left="567"/>
        <w:rPr>
          <w:rFonts w:ascii="Times New Roman" w:eastAsia="Times New Roman" w:hAnsi="Times New Roman" w:cs="Times New Roman"/>
          <w:b/>
          <w:sz w:val="20"/>
          <w:szCs w:val="20"/>
          <w:lang w:eastAsia="en-GB"/>
        </w:rPr>
      </w:pPr>
      <w:r w:rsidRPr="00536DE3">
        <w:rPr>
          <w:rFonts w:ascii="Times New Roman" w:eastAsia="Times New Roman" w:hAnsi="Times New Roman" w:cs="Times New Roman"/>
          <w:b/>
          <w:sz w:val="20"/>
          <w:szCs w:val="20"/>
          <w:lang w:eastAsia="en-GB"/>
        </w:rPr>
        <w:t xml:space="preserve">Figure 5   Housebuilding in the UK 1949-2012                   </w:t>
      </w:r>
      <w:r w:rsidRPr="00536DE3">
        <w:rPr>
          <w:rFonts w:ascii="Times New Roman" w:eastAsia="Times New Roman" w:hAnsi="Times New Roman" w:cs="Times New Roman"/>
          <w:b/>
          <w:sz w:val="20"/>
          <w:szCs w:val="20"/>
          <w:lang w:eastAsia="en-GB"/>
        </w:rPr>
        <w:tab/>
      </w:r>
      <w:r w:rsidRPr="00536DE3">
        <w:rPr>
          <w:rFonts w:ascii="Times New Roman" w:eastAsia="Times New Roman" w:hAnsi="Times New Roman" w:cs="Times New Roman"/>
          <w:b/>
          <w:sz w:val="20"/>
          <w:szCs w:val="20"/>
          <w:lang w:eastAsia="en-GB"/>
        </w:rPr>
        <w:tab/>
        <w:t>(DCLG 2014)</w:t>
      </w:r>
    </w:p>
    <w:p w:rsidR="00E62FC1" w:rsidRDefault="00E62FC1" w:rsidP="00536DE3">
      <w:pPr>
        <w:spacing w:after="0" w:line="480" w:lineRule="auto"/>
        <w:jc w:val="both"/>
        <w:rPr>
          <w:rFonts w:ascii="Times New Roman" w:eastAsia="Times New Roman" w:hAnsi="Times New Roman" w:cs="Times New Roman"/>
          <w:sz w:val="24"/>
          <w:szCs w:val="24"/>
          <w:lang w:eastAsia="en-GB"/>
        </w:rPr>
      </w:pPr>
    </w:p>
    <w:p w:rsidR="00B167CA" w:rsidRDefault="00536DE3" w:rsidP="00536DE3">
      <w:pPr>
        <w:spacing w:after="0" w:line="480" w:lineRule="auto"/>
        <w:jc w:val="both"/>
        <w:rPr>
          <w:rFonts w:ascii="Times New Roman" w:eastAsia="Times New Roman" w:hAnsi="Times New Roman" w:cs="Times New Roman"/>
          <w:i/>
          <w:sz w:val="24"/>
          <w:szCs w:val="24"/>
          <w:lang w:eastAsia="en-GB"/>
        </w:rPr>
      </w:pPr>
      <w:r w:rsidRPr="00536DE3">
        <w:rPr>
          <w:rFonts w:ascii="Times New Roman" w:eastAsia="Times New Roman" w:hAnsi="Times New Roman" w:cs="Times New Roman"/>
          <w:sz w:val="24"/>
          <w:szCs w:val="24"/>
          <w:lang w:eastAsia="en-GB"/>
        </w:rPr>
        <w:t>At present, the very idea that we could, or should, return to a more stable, controlled or mix</w:t>
      </w:r>
      <w:r w:rsidR="00912B92">
        <w:rPr>
          <w:rFonts w:ascii="Times New Roman" w:eastAsia="Times New Roman" w:hAnsi="Times New Roman" w:cs="Times New Roman"/>
          <w:sz w:val="24"/>
          <w:szCs w:val="24"/>
          <w:lang w:eastAsia="en-GB"/>
        </w:rPr>
        <w:t>ed economy in housing</w:t>
      </w:r>
      <w:r w:rsidRPr="00536DE3">
        <w:rPr>
          <w:rFonts w:ascii="Times New Roman" w:eastAsia="Times New Roman" w:hAnsi="Times New Roman" w:cs="Times New Roman"/>
          <w:sz w:val="24"/>
          <w:szCs w:val="24"/>
          <w:lang w:eastAsia="en-GB"/>
        </w:rPr>
        <w:t xml:space="preserve"> appears anathema to policymakers wedded to the neoliberal model</w:t>
      </w:r>
      <w:r w:rsidRPr="00536DE3">
        <w:rPr>
          <w:rFonts w:ascii="Times New Roman" w:eastAsia="Times New Roman" w:hAnsi="Times New Roman" w:cs="Times New Roman"/>
          <w:sz w:val="24"/>
          <w:szCs w:val="24"/>
          <w:vertAlign w:val="superscript"/>
          <w:lang w:eastAsia="en-GB"/>
        </w:rPr>
        <w:endnoteReference w:id="7"/>
      </w:r>
      <w:r w:rsidRPr="00536DE3">
        <w:rPr>
          <w:rFonts w:ascii="Times New Roman" w:eastAsia="Times New Roman" w:hAnsi="Times New Roman" w:cs="Times New Roman"/>
          <w:sz w:val="24"/>
          <w:szCs w:val="24"/>
          <w:lang w:eastAsia="en-GB"/>
        </w:rPr>
        <w:t>. In the first instance, private solutions are always assumed to be superior to public solutions, thus the focus remains on increasingly expensive owner occupation and expanded private renting in spite of the fact that this model is patently not delivering. Moreover, as suggested, housing demand has not been met by anything approaching adequate new supply (see Fig</w:t>
      </w:r>
      <w:r w:rsidR="00892754">
        <w:rPr>
          <w:rFonts w:ascii="Times New Roman" w:eastAsia="Times New Roman" w:hAnsi="Times New Roman" w:cs="Times New Roman"/>
          <w:sz w:val="24"/>
          <w:szCs w:val="24"/>
          <w:lang w:eastAsia="en-GB"/>
        </w:rPr>
        <w:t>. 5).</w:t>
      </w:r>
    </w:p>
    <w:p w:rsidR="00892754" w:rsidRDefault="00892754" w:rsidP="00536DE3">
      <w:pPr>
        <w:spacing w:after="0" w:line="480" w:lineRule="auto"/>
        <w:jc w:val="both"/>
        <w:rPr>
          <w:rFonts w:ascii="Times New Roman" w:eastAsia="Times New Roman" w:hAnsi="Times New Roman" w:cs="Times New Roman"/>
          <w:i/>
          <w:sz w:val="24"/>
          <w:szCs w:val="24"/>
          <w:lang w:eastAsia="en-GB"/>
        </w:rPr>
      </w:pPr>
    </w:p>
    <w:p w:rsidR="00536DE3" w:rsidRPr="00B7096E" w:rsidRDefault="00536DE3" w:rsidP="00536DE3">
      <w:pPr>
        <w:spacing w:after="0" w:line="480" w:lineRule="auto"/>
        <w:jc w:val="both"/>
        <w:rPr>
          <w:rFonts w:ascii="Times New Roman" w:eastAsia="Times New Roman" w:hAnsi="Times New Roman" w:cs="Times New Roman"/>
          <w:b/>
          <w:i/>
          <w:sz w:val="24"/>
          <w:szCs w:val="24"/>
          <w:lang w:eastAsia="en-GB"/>
        </w:rPr>
      </w:pPr>
      <w:r w:rsidRPr="00B7096E">
        <w:rPr>
          <w:rFonts w:ascii="Times New Roman" w:eastAsia="Times New Roman" w:hAnsi="Times New Roman" w:cs="Times New Roman"/>
          <w:i/>
          <w:sz w:val="24"/>
          <w:szCs w:val="24"/>
          <w:lang w:eastAsia="en-GB"/>
        </w:rPr>
        <w:t xml:space="preserve">Public Housing </w:t>
      </w:r>
    </w:p>
    <w:p w:rsidR="00892754" w:rsidRDefault="00892754" w:rsidP="00912B92">
      <w:pPr>
        <w:spacing w:after="0" w:line="480" w:lineRule="auto"/>
        <w:jc w:val="both"/>
        <w:rPr>
          <w:rFonts w:ascii="Times New Roman" w:eastAsia="Times New Roman" w:hAnsi="Times New Roman" w:cs="Times New Roman"/>
          <w:sz w:val="24"/>
          <w:szCs w:val="24"/>
          <w:lang w:eastAsia="en-GB"/>
        </w:rPr>
      </w:pPr>
    </w:p>
    <w:p w:rsidR="00912B92" w:rsidRPr="00536DE3" w:rsidRDefault="00536DE3" w:rsidP="00912B92">
      <w:pPr>
        <w:spacing w:after="0" w:line="480" w:lineRule="auto"/>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 xml:space="preserve">Given all of the above, a </w:t>
      </w:r>
      <w:r w:rsidR="00C1178A">
        <w:rPr>
          <w:rFonts w:ascii="Times New Roman" w:eastAsia="Times New Roman" w:hAnsi="Times New Roman" w:cs="Times New Roman"/>
          <w:sz w:val="24"/>
          <w:szCs w:val="24"/>
          <w:lang w:eastAsia="en-GB"/>
        </w:rPr>
        <w:t>revival of public/social house building</w:t>
      </w:r>
      <w:r w:rsidRPr="00536DE3">
        <w:rPr>
          <w:rFonts w:ascii="Times New Roman" w:eastAsia="Times New Roman" w:hAnsi="Times New Roman" w:cs="Times New Roman"/>
          <w:sz w:val="24"/>
          <w:szCs w:val="24"/>
          <w:lang w:eastAsia="en-GB"/>
        </w:rPr>
        <w:t xml:space="preserve"> would seem to be a ver</w:t>
      </w:r>
      <w:r w:rsidR="00C1178A">
        <w:rPr>
          <w:rFonts w:ascii="Times New Roman" w:eastAsia="Times New Roman" w:hAnsi="Times New Roman" w:cs="Times New Roman"/>
          <w:sz w:val="24"/>
          <w:szCs w:val="24"/>
          <w:lang w:eastAsia="en-GB"/>
        </w:rPr>
        <w:t>y obvious solution</w:t>
      </w:r>
      <w:r w:rsidRPr="00536DE3">
        <w:rPr>
          <w:rFonts w:ascii="Times New Roman" w:eastAsia="Times New Roman" w:hAnsi="Times New Roman" w:cs="Times New Roman"/>
          <w:sz w:val="24"/>
          <w:szCs w:val="24"/>
          <w:lang w:eastAsia="en-GB"/>
        </w:rPr>
        <w:t>. From a very evident perspective, offering an accessible, affordable</w:t>
      </w:r>
      <w:r w:rsidR="004424FE">
        <w:rPr>
          <w:rFonts w:ascii="Times New Roman" w:eastAsia="Times New Roman" w:hAnsi="Times New Roman" w:cs="Times New Roman"/>
          <w:sz w:val="24"/>
          <w:szCs w:val="24"/>
          <w:lang w:eastAsia="en-GB"/>
        </w:rPr>
        <w:t>, secure</w:t>
      </w:r>
      <w:r w:rsidRPr="00536DE3">
        <w:rPr>
          <w:rFonts w:ascii="Times New Roman" w:eastAsia="Times New Roman" w:hAnsi="Times New Roman" w:cs="Times New Roman"/>
          <w:sz w:val="24"/>
          <w:szCs w:val="24"/>
          <w:lang w:eastAsia="en-GB"/>
        </w:rPr>
        <w:t xml:space="preserve"> and attractive alternative would reduce the capacity of housebuilders and landlords to capitalis</w:t>
      </w:r>
      <w:r w:rsidR="00892754">
        <w:rPr>
          <w:rFonts w:ascii="Times New Roman" w:eastAsia="Times New Roman" w:hAnsi="Times New Roman" w:cs="Times New Roman"/>
          <w:sz w:val="24"/>
          <w:szCs w:val="24"/>
          <w:lang w:eastAsia="en-GB"/>
        </w:rPr>
        <w:t xml:space="preserve">e on scarcity, while </w:t>
      </w:r>
      <w:r w:rsidRPr="00536DE3">
        <w:rPr>
          <w:rFonts w:ascii="Times New Roman" w:eastAsia="Times New Roman" w:hAnsi="Times New Roman" w:cs="Times New Roman"/>
          <w:sz w:val="24"/>
          <w:szCs w:val="24"/>
          <w:lang w:eastAsia="en-GB"/>
        </w:rPr>
        <w:t>also limit</w:t>
      </w:r>
      <w:r w:rsidR="00892754">
        <w:rPr>
          <w:rFonts w:ascii="Times New Roman" w:eastAsia="Times New Roman" w:hAnsi="Times New Roman" w:cs="Times New Roman"/>
          <w:sz w:val="24"/>
          <w:szCs w:val="24"/>
          <w:lang w:eastAsia="en-GB"/>
        </w:rPr>
        <w:t>ing</w:t>
      </w:r>
      <w:r w:rsidRPr="00536DE3">
        <w:rPr>
          <w:rFonts w:ascii="Times New Roman" w:eastAsia="Times New Roman" w:hAnsi="Times New Roman" w:cs="Times New Roman"/>
          <w:sz w:val="24"/>
          <w:szCs w:val="24"/>
          <w:lang w:eastAsia="en-GB"/>
        </w:rPr>
        <w:t xml:space="preserve"> the scope for lenders to inflate prices through irresponsible credit expansi</w:t>
      </w:r>
      <w:r w:rsidR="00892754">
        <w:rPr>
          <w:rFonts w:ascii="Times New Roman" w:eastAsia="Times New Roman" w:hAnsi="Times New Roman" w:cs="Times New Roman"/>
          <w:sz w:val="24"/>
          <w:szCs w:val="24"/>
          <w:lang w:eastAsia="en-GB"/>
        </w:rPr>
        <w:t xml:space="preserve">on. </w:t>
      </w:r>
      <w:r w:rsidR="00414232">
        <w:rPr>
          <w:rFonts w:ascii="Times New Roman" w:eastAsia="Times New Roman" w:hAnsi="Times New Roman" w:cs="Times New Roman"/>
          <w:sz w:val="24"/>
          <w:szCs w:val="24"/>
          <w:lang w:eastAsia="en-GB"/>
        </w:rPr>
        <w:t>Widely accessible and</w:t>
      </w:r>
      <w:r w:rsidRPr="00536DE3">
        <w:rPr>
          <w:rFonts w:ascii="Times New Roman" w:eastAsia="Times New Roman" w:hAnsi="Times New Roman" w:cs="Times New Roman"/>
          <w:sz w:val="24"/>
          <w:szCs w:val="24"/>
          <w:lang w:eastAsia="en-GB"/>
        </w:rPr>
        <w:t xml:space="preserve"> good quality </w:t>
      </w:r>
      <w:r w:rsidR="00414232">
        <w:rPr>
          <w:rFonts w:ascii="Times New Roman" w:eastAsia="Times New Roman" w:hAnsi="Times New Roman" w:cs="Times New Roman"/>
          <w:sz w:val="24"/>
          <w:szCs w:val="24"/>
          <w:lang w:eastAsia="en-GB"/>
        </w:rPr>
        <w:t>public housing would likely mean</w:t>
      </w:r>
      <w:r w:rsidRPr="00536DE3">
        <w:rPr>
          <w:rFonts w:ascii="Times New Roman" w:eastAsia="Times New Roman" w:hAnsi="Times New Roman" w:cs="Times New Roman"/>
          <w:sz w:val="24"/>
          <w:szCs w:val="24"/>
          <w:lang w:eastAsia="en-GB"/>
        </w:rPr>
        <w:t xml:space="preserve"> that mortgage repayments would need to retain some reasonable relationship to public sector rents, thus the current scenario of homebuyers assuming mortgage debt to the very limits of affordability would be less likely. Overall, in a mixed market </w:t>
      </w:r>
      <w:r w:rsidR="00C1178A">
        <w:rPr>
          <w:rFonts w:ascii="Times New Roman" w:eastAsia="Times New Roman" w:hAnsi="Times New Roman" w:cs="Times New Roman"/>
          <w:sz w:val="24"/>
          <w:szCs w:val="24"/>
          <w:lang w:eastAsia="en-GB"/>
        </w:rPr>
        <w:t xml:space="preserve">both </w:t>
      </w:r>
      <w:r w:rsidRPr="00536DE3">
        <w:rPr>
          <w:rFonts w:ascii="Times New Roman" w:eastAsia="Times New Roman" w:hAnsi="Times New Roman" w:cs="Times New Roman"/>
          <w:sz w:val="24"/>
          <w:szCs w:val="24"/>
          <w:lang w:eastAsia="en-GB"/>
        </w:rPr>
        <w:t xml:space="preserve">house prices </w:t>
      </w:r>
      <w:r w:rsidR="004424FE">
        <w:rPr>
          <w:rFonts w:ascii="Times New Roman" w:eastAsia="Times New Roman" w:hAnsi="Times New Roman" w:cs="Times New Roman"/>
          <w:sz w:val="24"/>
          <w:szCs w:val="24"/>
          <w:lang w:eastAsia="en-GB"/>
        </w:rPr>
        <w:t xml:space="preserve">and private rents </w:t>
      </w:r>
      <w:r w:rsidRPr="00536DE3">
        <w:rPr>
          <w:rFonts w:ascii="Times New Roman" w:eastAsia="Times New Roman" w:hAnsi="Times New Roman" w:cs="Times New Roman"/>
          <w:sz w:val="24"/>
          <w:szCs w:val="24"/>
          <w:lang w:eastAsia="en-GB"/>
        </w:rPr>
        <w:t>would need to be more realistic and quality consistently improved, while private landlords would also h</w:t>
      </w:r>
      <w:r w:rsidR="00C1178A">
        <w:rPr>
          <w:rFonts w:ascii="Times New Roman" w:eastAsia="Times New Roman" w:hAnsi="Times New Roman" w:cs="Times New Roman"/>
          <w:sz w:val="24"/>
          <w:szCs w:val="24"/>
          <w:lang w:eastAsia="en-GB"/>
        </w:rPr>
        <w:t>ave to provide greater</w:t>
      </w:r>
      <w:r w:rsidRPr="00536DE3">
        <w:rPr>
          <w:rFonts w:ascii="Times New Roman" w:eastAsia="Times New Roman" w:hAnsi="Times New Roman" w:cs="Times New Roman"/>
          <w:sz w:val="24"/>
          <w:szCs w:val="24"/>
          <w:lang w:eastAsia="en-GB"/>
        </w:rPr>
        <w:t xml:space="preserve"> tenant security to remain in business. Speculative investment in housing would also be rendered less of a one way bet, potentially channelling savings into more productive investment</w:t>
      </w:r>
      <w:r w:rsidR="00912B92">
        <w:rPr>
          <w:rFonts w:ascii="Times New Roman" w:eastAsia="Times New Roman" w:hAnsi="Times New Roman" w:cs="Times New Roman"/>
          <w:sz w:val="24"/>
          <w:szCs w:val="24"/>
          <w:lang w:eastAsia="en-GB"/>
        </w:rPr>
        <w:t>, while reducing the sector’s capacity to generate</w:t>
      </w:r>
      <w:r w:rsidR="00912B92" w:rsidRPr="00536DE3">
        <w:rPr>
          <w:rFonts w:ascii="Times New Roman" w:eastAsia="Times New Roman" w:hAnsi="Times New Roman" w:cs="Times New Roman"/>
          <w:sz w:val="24"/>
          <w:szCs w:val="24"/>
          <w:lang w:eastAsia="en-GB"/>
        </w:rPr>
        <w:t xml:space="preserve"> wider economic instability. </w:t>
      </w:r>
    </w:p>
    <w:p w:rsidR="00912B92" w:rsidRDefault="00536DE3" w:rsidP="00536DE3">
      <w:pPr>
        <w:spacing w:after="0" w:line="480" w:lineRule="auto"/>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w:t>
      </w:r>
      <w:r w:rsidR="00E35A10">
        <w:rPr>
          <w:rFonts w:ascii="Times New Roman" w:eastAsia="Times New Roman" w:hAnsi="Times New Roman" w:cs="Times New Roman"/>
          <w:sz w:val="24"/>
          <w:szCs w:val="24"/>
          <w:lang w:eastAsia="en-GB"/>
        </w:rPr>
        <w:t xml:space="preserve"> </w:t>
      </w:r>
    </w:p>
    <w:p w:rsidR="00536DE3" w:rsidRPr="00536DE3" w:rsidRDefault="004951B7" w:rsidP="00536DE3">
      <w:pPr>
        <w:spacing w:after="0"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A mass housebuilding programme would also stimulate the economy</w:t>
      </w:r>
      <w:r w:rsidR="00912B92">
        <w:rPr>
          <w:rFonts w:ascii="Times New Roman" w:eastAsia="Times New Roman" w:hAnsi="Times New Roman" w:cs="Times New Roman"/>
          <w:sz w:val="24"/>
          <w:szCs w:val="24"/>
          <w:lang w:eastAsia="en-GB"/>
        </w:rPr>
        <w:t xml:space="preserve"> in a more positive direction</w:t>
      </w:r>
      <w:r>
        <w:rPr>
          <w:rFonts w:ascii="Times New Roman" w:eastAsia="Times New Roman" w:hAnsi="Times New Roman" w:cs="Times New Roman"/>
          <w:sz w:val="24"/>
          <w:szCs w:val="24"/>
          <w:lang w:eastAsia="en-GB"/>
        </w:rPr>
        <w:t>, creating jobs in the construction sector and beyond, while ensuing lower</w:t>
      </w:r>
      <w:r w:rsidR="00536DE3" w:rsidRPr="00536DE3">
        <w:rPr>
          <w:rFonts w:ascii="Times New Roman" w:eastAsia="Times New Roman" w:hAnsi="Times New Roman" w:cs="Times New Roman"/>
          <w:sz w:val="24"/>
          <w:szCs w:val="24"/>
          <w:lang w:eastAsia="en-GB"/>
        </w:rPr>
        <w:t xml:space="preserve"> housing costs overall would </w:t>
      </w:r>
      <w:r>
        <w:rPr>
          <w:rFonts w:ascii="Times New Roman" w:eastAsia="Times New Roman" w:hAnsi="Times New Roman" w:cs="Times New Roman"/>
          <w:sz w:val="24"/>
          <w:szCs w:val="24"/>
          <w:lang w:eastAsia="en-GB"/>
        </w:rPr>
        <w:t xml:space="preserve">evidently </w:t>
      </w:r>
      <w:r w:rsidR="00536DE3" w:rsidRPr="00536DE3">
        <w:rPr>
          <w:rFonts w:ascii="Times New Roman" w:eastAsia="Times New Roman" w:hAnsi="Times New Roman" w:cs="Times New Roman"/>
          <w:sz w:val="24"/>
          <w:szCs w:val="24"/>
          <w:lang w:eastAsia="en-GB"/>
        </w:rPr>
        <w:t>also reduce the housing benefit bill. Household disposable income, no longer so heavily committed to servicing high mortgages and rents would also boost economic activity, as would the increased demand for the various household goods that would arise with increased housing supply</w:t>
      </w:r>
      <w:r w:rsidR="00536DE3" w:rsidRPr="00536DE3">
        <w:rPr>
          <w:rFonts w:ascii="Times New Roman" w:eastAsia="Times New Roman" w:hAnsi="Times New Roman" w:cs="Times New Roman"/>
          <w:sz w:val="24"/>
          <w:szCs w:val="24"/>
          <w:vertAlign w:val="superscript"/>
          <w:lang w:eastAsia="en-GB"/>
        </w:rPr>
        <w:endnoteReference w:id="8"/>
      </w:r>
      <w:r w:rsidR="00536DE3" w:rsidRPr="00536DE3">
        <w:rPr>
          <w:rFonts w:ascii="Times New Roman" w:eastAsia="Times New Roman" w:hAnsi="Times New Roman" w:cs="Times New Roman"/>
          <w:sz w:val="24"/>
          <w:szCs w:val="24"/>
          <w:lang w:eastAsia="en-GB"/>
        </w:rPr>
        <w:t>. In short, such a policy, as in the past, could contribute to a more ‘virtuous’ economic cycle and</w:t>
      </w:r>
      <w:r w:rsidR="00C715D7">
        <w:rPr>
          <w:rFonts w:ascii="Times New Roman" w:eastAsia="Times New Roman" w:hAnsi="Times New Roman" w:cs="Times New Roman"/>
          <w:sz w:val="24"/>
          <w:szCs w:val="24"/>
          <w:lang w:eastAsia="en-GB"/>
        </w:rPr>
        <w:t>, crucially,</w:t>
      </w:r>
      <w:r w:rsidR="00536DE3" w:rsidRPr="00536DE3">
        <w:rPr>
          <w:rFonts w:ascii="Times New Roman" w:eastAsia="Times New Roman" w:hAnsi="Times New Roman" w:cs="Times New Roman"/>
          <w:sz w:val="24"/>
          <w:szCs w:val="24"/>
          <w:lang w:eastAsia="en-GB"/>
        </w:rPr>
        <w:t xml:space="preserve"> an economy less reliant on ever increasing household debt.</w:t>
      </w:r>
    </w:p>
    <w:p w:rsidR="004951B7" w:rsidRDefault="004951B7" w:rsidP="00536DE3">
      <w:pPr>
        <w:spacing w:after="0" w:line="480" w:lineRule="auto"/>
        <w:jc w:val="both"/>
        <w:rPr>
          <w:rFonts w:ascii="Times New Roman" w:eastAsia="Times New Roman" w:hAnsi="Times New Roman" w:cs="Times New Roman"/>
          <w:sz w:val="24"/>
          <w:szCs w:val="24"/>
          <w:lang w:eastAsia="en-GB"/>
        </w:rPr>
      </w:pP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 xml:space="preserve">As to the arguments levelled against this type of approach, the current much promulgated view that public housing is sub-standard can also be directly challenged in that, while far from perfect, it has a much better record </w:t>
      </w:r>
      <w:r w:rsidR="00C715D7">
        <w:rPr>
          <w:rFonts w:ascii="Times New Roman" w:eastAsia="Times New Roman" w:hAnsi="Times New Roman" w:cs="Times New Roman"/>
          <w:sz w:val="24"/>
          <w:szCs w:val="24"/>
          <w:lang w:eastAsia="en-GB"/>
        </w:rPr>
        <w:t>than the PRS in this regard</w:t>
      </w:r>
      <w:r w:rsidRPr="00536DE3">
        <w:rPr>
          <w:rFonts w:ascii="Times New Roman" w:eastAsia="Times New Roman" w:hAnsi="Times New Roman" w:cs="Times New Roman"/>
          <w:sz w:val="24"/>
          <w:szCs w:val="24"/>
          <w:lang w:eastAsia="en-GB"/>
        </w:rPr>
        <w:t>. Many contemporary critics of social housing pointedly ignore the fact that much of the ‘successful’ public housing - and particularly that built prior to the fixation with the ‘high-rise’ Corbusier inspired ‘brutalism’ of the late 1960s and 70s - was of such good quality that most was sold off to eager tenants (Greenhalgh and Moss 2009). In fact, it might be argued that it was pr</w:t>
      </w:r>
      <w:r w:rsidR="005A0E3C">
        <w:rPr>
          <w:rFonts w:ascii="Times New Roman" w:eastAsia="Times New Roman" w:hAnsi="Times New Roman" w:cs="Times New Roman"/>
          <w:sz w:val="24"/>
          <w:szCs w:val="24"/>
          <w:lang w:eastAsia="en-GB"/>
        </w:rPr>
        <w:t>ecisely the mass sell-off</w:t>
      </w:r>
      <w:r w:rsidRPr="00536DE3">
        <w:rPr>
          <w:rFonts w:ascii="Times New Roman" w:eastAsia="Times New Roman" w:hAnsi="Times New Roman" w:cs="Times New Roman"/>
          <w:sz w:val="24"/>
          <w:szCs w:val="24"/>
          <w:lang w:eastAsia="en-GB"/>
        </w:rPr>
        <w:t xml:space="preserve"> of desirable, good quality propertie</w:t>
      </w:r>
      <w:r w:rsidR="005A0E3C">
        <w:rPr>
          <w:rFonts w:ascii="Times New Roman" w:eastAsia="Times New Roman" w:hAnsi="Times New Roman" w:cs="Times New Roman"/>
          <w:sz w:val="24"/>
          <w:szCs w:val="24"/>
          <w:lang w:eastAsia="en-GB"/>
        </w:rPr>
        <w:t xml:space="preserve">s that has allowed critics of social housing to </w:t>
      </w:r>
      <w:r w:rsidRPr="00536DE3">
        <w:rPr>
          <w:rFonts w:ascii="Times New Roman" w:eastAsia="Times New Roman" w:hAnsi="Times New Roman" w:cs="Times New Roman"/>
          <w:sz w:val="24"/>
          <w:szCs w:val="24"/>
          <w:lang w:eastAsia="en-GB"/>
        </w:rPr>
        <w:t>depict the tenure as run down ‘barracks for the poor’ (Ibid. 2009).</w:t>
      </w: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As noted above, however, a significant neoliberal objection to reappraising the role of public housing in a mixed market, the ‘dependency’ argument, I would suggest requires particular scrutiny</w:t>
      </w:r>
    </w:p>
    <w:p w:rsidR="00B7096E" w:rsidRDefault="00B7096E" w:rsidP="00536DE3">
      <w:pPr>
        <w:spacing w:after="0" w:line="480" w:lineRule="auto"/>
        <w:jc w:val="both"/>
        <w:rPr>
          <w:rFonts w:ascii="Times New Roman" w:eastAsia="Times New Roman" w:hAnsi="Times New Roman" w:cs="Times New Roman"/>
          <w:b/>
          <w:sz w:val="24"/>
          <w:szCs w:val="24"/>
          <w:lang w:eastAsia="en-GB"/>
        </w:rPr>
      </w:pPr>
    </w:p>
    <w:p w:rsidR="00536DE3" w:rsidRPr="00B7096E" w:rsidRDefault="00536DE3" w:rsidP="00536DE3">
      <w:pPr>
        <w:spacing w:after="0" w:line="480" w:lineRule="auto"/>
        <w:jc w:val="both"/>
        <w:rPr>
          <w:rFonts w:ascii="Times New Roman" w:eastAsia="Times New Roman" w:hAnsi="Times New Roman" w:cs="Times New Roman"/>
          <w:i/>
          <w:sz w:val="24"/>
          <w:szCs w:val="24"/>
          <w:lang w:eastAsia="en-GB"/>
        </w:rPr>
      </w:pPr>
      <w:r w:rsidRPr="00B7096E">
        <w:rPr>
          <w:rFonts w:ascii="Times New Roman" w:eastAsia="Times New Roman" w:hAnsi="Times New Roman" w:cs="Times New Roman"/>
          <w:i/>
          <w:sz w:val="24"/>
          <w:szCs w:val="24"/>
          <w:lang w:eastAsia="en-GB"/>
        </w:rPr>
        <w:t>The Fallacy of ‘Dependency’</w:t>
      </w:r>
    </w:p>
    <w:p w:rsidR="00536DE3" w:rsidRPr="00536DE3" w:rsidRDefault="00536DE3" w:rsidP="00536DE3">
      <w:pPr>
        <w:spacing w:after="0" w:line="480" w:lineRule="auto"/>
        <w:ind w:left="567" w:right="935"/>
        <w:jc w:val="both"/>
        <w:rPr>
          <w:rFonts w:ascii="Times New Roman" w:eastAsia="Times New Roman" w:hAnsi="Times New Roman" w:cs="Times New Roman"/>
          <w:sz w:val="24"/>
          <w:szCs w:val="24"/>
          <w:lang w:eastAsia="en-GB"/>
        </w:rPr>
      </w:pPr>
    </w:p>
    <w:p w:rsidR="00536DE3" w:rsidRDefault="00536DE3" w:rsidP="00536DE3">
      <w:pPr>
        <w:tabs>
          <w:tab w:val="left" w:pos="8505"/>
        </w:tabs>
        <w:spacing w:after="0" w:line="480" w:lineRule="auto"/>
        <w:ind w:left="567" w:right="521"/>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An additional risk factor to health and wellbeing is the lack of security in the private rented sector and the proposed reduction of security in the local authority sector. An Australian study has found that an increase in housing security is correlated with improved achievement and behaviour by children (Phibbs and Young 2005 as cited by the Pro-Housing Alliance 2011)</w:t>
      </w:r>
    </w:p>
    <w:p w:rsidR="004951B7" w:rsidRPr="00536DE3" w:rsidRDefault="004951B7" w:rsidP="00536DE3">
      <w:pPr>
        <w:tabs>
          <w:tab w:val="left" w:pos="8505"/>
        </w:tabs>
        <w:spacing w:after="0" w:line="480" w:lineRule="auto"/>
        <w:ind w:left="567" w:right="521"/>
        <w:jc w:val="both"/>
        <w:rPr>
          <w:rFonts w:ascii="Times New Roman" w:eastAsia="Times New Roman" w:hAnsi="Times New Roman" w:cs="Times New Roman"/>
          <w:sz w:val="24"/>
          <w:szCs w:val="24"/>
          <w:lang w:eastAsia="en-GB"/>
        </w:rPr>
      </w:pP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 xml:space="preserve">It is clear that antipathy towards secure housing in the public sector, or regulated housing in the private sector for that matter, rests on the notion that security breeds indolence and a lack of ambition (Greenhalgh and Moss 2009). In the first instance, it might simply be noted that this does not appear to be the experience in those nations with more regulated housing markets (or indeed regulated labour markets and more generous welfare systems), as social mobility and economic growth are regularly higher than current levels in the UK. Moreover, it is also well understood that both economic growth and social mobility were higher in the UK in the 1950s and 60s, prior to the neoliberal transformation of the economy, than has been the case in recent decades (Harvey 2005). This reflects the experience of other developed nations, as those who have most eagerly embraced the neoliberal turn tend to be the most unequal, economically turbulent and socially sclerotic (Quiggin 2010). </w:t>
      </w: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There are now also very sound reas</w:t>
      </w:r>
      <w:r w:rsidR="006901AF">
        <w:rPr>
          <w:rFonts w:ascii="Times New Roman" w:eastAsia="Times New Roman" w:hAnsi="Times New Roman" w:cs="Times New Roman"/>
          <w:sz w:val="24"/>
          <w:szCs w:val="24"/>
          <w:lang w:eastAsia="en-GB"/>
        </w:rPr>
        <w:t xml:space="preserve">ons </w:t>
      </w:r>
      <w:r w:rsidRPr="00536DE3">
        <w:rPr>
          <w:rFonts w:ascii="Times New Roman" w:eastAsia="Times New Roman" w:hAnsi="Times New Roman" w:cs="Times New Roman"/>
          <w:sz w:val="24"/>
          <w:szCs w:val="24"/>
          <w:lang w:eastAsia="en-GB"/>
        </w:rPr>
        <w:t xml:space="preserve">for assuming that individuals in insecure circumstances tend to focus on very narrow, immediate and short term contingencies (Fredrickson and Brannigan 2005). This is evidently not a good foundation for the sort of creativity, advanced planning, measured and rational action or even considered and moderate risk taking that is associated with personal and collective development, economic or otherwise. </w:t>
      </w: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 xml:space="preserve">It may be suggested that good societies and </w:t>
      </w:r>
      <w:r w:rsidR="00065234" w:rsidRPr="00536DE3">
        <w:rPr>
          <w:rFonts w:ascii="Times New Roman" w:eastAsia="Times New Roman" w:hAnsi="Times New Roman" w:cs="Times New Roman"/>
          <w:sz w:val="24"/>
          <w:szCs w:val="24"/>
          <w:lang w:eastAsia="en-GB"/>
        </w:rPr>
        <w:t>well-functioning</w:t>
      </w:r>
      <w:r w:rsidRPr="00536DE3">
        <w:rPr>
          <w:rFonts w:ascii="Times New Roman" w:eastAsia="Times New Roman" w:hAnsi="Times New Roman" w:cs="Times New Roman"/>
          <w:sz w:val="24"/>
          <w:szCs w:val="24"/>
          <w:lang w:eastAsia="en-GB"/>
        </w:rPr>
        <w:t xml:space="preserve"> economies require stable foundations, while secure housing is evidently fundamental to this process. Moreover, if housing, and indeed, income security were the impediments to individual motivation, and thus wider economic and social development, that neoliberals appear to suggest, it might logically be asked why the better off and their offspring should be not be as urgently divested of this ‘burden’ as the poor</w:t>
      </w:r>
      <w:r w:rsidR="00FB7AF7">
        <w:rPr>
          <w:rFonts w:ascii="Times New Roman" w:eastAsia="Times New Roman" w:hAnsi="Times New Roman" w:cs="Times New Roman"/>
          <w:sz w:val="24"/>
          <w:szCs w:val="24"/>
          <w:lang w:eastAsia="en-GB"/>
        </w:rPr>
        <w:t>, via increased property, land</w:t>
      </w:r>
      <w:r w:rsidRPr="00536DE3">
        <w:rPr>
          <w:rFonts w:ascii="Times New Roman" w:eastAsia="Times New Roman" w:hAnsi="Times New Roman" w:cs="Times New Roman"/>
          <w:sz w:val="24"/>
          <w:szCs w:val="24"/>
          <w:lang w:eastAsia="en-GB"/>
        </w:rPr>
        <w:t xml:space="preserve"> and inheritance taxes.</w:t>
      </w: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p>
    <w:p w:rsidR="00536DE3" w:rsidRPr="00B7096E" w:rsidRDefault="00B7096E" w:rsidP="00536DE3">
      <w:pPr>
        <w:spacing w:after="0" w:line="480" w:lineRule="auto"/>
        <w:jc w:val="both"/>
        <w:rPr>
          <w:rFonts w:ascii="Times New Roman" w:eastAsia="Times New Roman" w:hAnsi="Times New Roman" w:cs="Times New Roman"/>
          <w:i/>
          <w:sz w:val="24"/>
          <w:szCs w:val="24"/>
          <w:lang w:eastAsia="en-GB"/>
        </w:rPr>
      </w:pPr>
      <w:r>
        <w:rPr>
          <w:rFonts w:ascii="Times New Roman" w:eastAsia="Times New Roman" w:hAnsi="Times New Roman" w:cs="Times New Roman"/>
          <w:i/>
          <w:sz w:val="24"/>
          <w:szCs w:val="24"/>
          <w:lang w:eastAsia="en-GB"/>
        </w:rPr>
        <w:t xml:space="preserve">Secure, </w:t>
      </w:r>
      <w:r w:rsidR="00536DE3" w:rsidRPr="00B7096E">
        <w:rPr>
          <w:rFonts w:ascii="Times New Roman" w:eastAsia="Times New Roman" w:hAnsi="Times New Roman" w:cs="Times New Roman"/>
          <w:i/>
          <w:sz w:val="24"/>
          <w:szCs w:val="24"/>
          <w:lang w:eastAsia="en-GB"/>
        </w:rPr>
        <w:t>Affordable Housing as a Human Right</w:t>
      </w:r>
    </w:p>
    <w:p w:rsidR="00536DE3" w:rsidRPr="00536DE3" w:rsidRDefault="00536DE3" w:rsidP="00536DE3">
      <w:pPr>
        <w:spacing w:after="0" w:line="480" w:lineRule="auto"/>
        <w:ind w:left="567" w:right="521"/>
        <w:jc w:val="both"/>
        <w:rPr>
          <w:rFonts w:ascii="Times New Roman" w:eastAsia="Times New Roman" w:hAnsi="Times New Roman" w:cs="Times New Roman"/>
          <w:sz w:val="20"/>
          <w:szCs w:val="20"/>
          <w:lang w:eastAsia="en-GB"/>
        </w:rPr>
      </w:pPr>
    </w:p>
    <w:p w:rsidR="005A0E3C" w:rsidRDefault="00536DE3" w:rsidP="005A0E3C">
      <w:pPr>
        <w:spacing w:after="0" w:line="480" w:lineRule="auto"/>
        <w:ind w:left="567" w:right="521"/>
        <w:jc w:val="both"/>
        <w:rPr>
          <w:rFonts w:ascii="Times New Roman" w:eastAsia="Times New Roman" w:hAnsi="Times New Roman" w:cs="Times New Roman"/>
          <w:sz w:val="24"/>
          <w:szCs w:val="24"/>
          <w:lang w:eastAsia="en-GB"/>
        </w:rPr>
      </w:pPr>
      <w:r w:rsidRPr="00C715D7">
        <w:rPr>
          <w:rFonts w:ascii="Times New Roman" w:eastAsia="Times New Roman" w:hAnsi="Times New Roman" w:cs="Times New Roman"/>
          <w:sz w:val="24"/>
          <w:szCs w:val="24"/>
          <w:lang w:eastAsia="en-GB"/>
        </w:rPr>
        <w:t>The human right to adequate housing, which is thus derived from the right to an adequate standard of living, is of central importance for the enjoyment of all economic, social and cultural rights (OHCHR 1991).</w:t>
      </w:r>
    </w:p>
    <w:p w:rsidR="00FB7AF7" w:rsidRDefault="00FB7AF7" w:rsidP="005A0E3C">
      <w:pPr>
        <w:spacing w:after="0" w:line="480" w:lineRule="auto"/>
        <w:ind w:left="567" w:right="521"/>
        <w:jc w:val="both"/>
        <w:rPr>
          <w:rFonts w:ascii="Times New Roman" w:eastAsia="Times New Roman" w:hAnsi="Times New Roman" w:cs="Times New Roman"/>
          <w:sz w:val="24"/>
          <w:szCs w:val="24"/>
          <w:lang w:eastAsia="en-GB"/>
        </w:rPr>
      </w:pPr>
    </w:p>
    <w:p w:rsidR="00536DE3" w:rsidRPr="00536DE3" w:rsidRDefault="00536DE3" w:rsidP="00FB7AF7">
      <w:pPr>
        <w:spacing w:after="0" w:line="480" w:lineRule="auto"/>
        <w:ind w:right="95"/>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 xml:space="preserve">As above, the United Nations considers housing provision as being central to the delivery of human rights, where affordability, security of tenure and continuous improvement in living conditions are highlighted as essential elements of decent housing arrangements (Office of the High Commissioner for Human Rights (OHCHR) 1991). By contrast, both the inadequacy of current arrangements as well as the contentious nature of the housing debate was underlined during a visit to the UK by the UN Special Rapporteur on Housing, Raquel Rolnik in late summer 2013. The envoy’s widely publicised comments, particularly with reference to the aforementioned under-occupancy charge, that ‘it should be suspended’ and that the policy represented a ‘danger of a retrogression in the right to adequate housing’, was denounced as being ‘biased and one sided’ by Conservative Party Chairman, and former Housing Minister, Grant Shapps (BBC, 11 September 2013). The UN envoy’s diagnosis, however, can be seen as emblematic of how far UK housing arrangements are now falling short in terms of meeting the needs of, in particular, its less fortunate citizenry.   </w:t>
      </w: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p>
    <w:p w:rsidR="00536DE3" w:rsidRPr="00B7096E" w:rsidRDefault="00536DE3" w:rsidP="00536DE3">
      <w:pPr>
        <w:spacing w:after="0" w:line="480" w:lineRule="auto"/>
        <w:jc w:val="both"/>
        <w:rPr>
          <w:rFonts w:ascii="Times New Roman" w:eastAsia="Times New Roman" w:hAnsi="Times New Roman" w:cs="Times New Roman"/>
          <w:b/>
          <w:sz w:val="24"/>
          <w:szCs w:val="24"/>
          <w:lang w:eastAsia="en-GB"/>
        </w:rPr>
      </w:pPr>
      <w:r w:rsidRPr="00B7096E">
        <w:rPr>
          <w:rFonts w:ascii="Times New Roman" w:eastAsia="Times New Roman" w:hAnsi="Times New Roman" w:cs="Times New Roman"/>
          <w:b/>
          <w:sz w:val="24"/>
          <w:szCs w:val="24"/>
          <w:lang w:eastAsia="en-GB"/>
        </w:rPr>
        <w:t>Conclusion</w:t>
      </w:r>
    </w:p>
    <w:p w:rsidR="00536DE3" w:rsidRPr="00536DE3" w:rsidRDefault="00536DE3" w:rsidP="00536DE3">
      <w:pPr>
        <w:spacing w:after="0" w:line="480" w:lineRule="auto"/>
        <w:jc w:val="both"/>
        <w:rPr>
          <w:rFonts w:ascii="Times New Roman" w:eastAsia="Times New Roman" w:hAnsi="Times New Roman" w:cs="Times New Roman"/>
          <w:sz w:val="24"/>
          <w:szCs w:val="24"/>
          <w:lang w:eastAsia="en-GB"/>
        </w:rPr>
      </w:pPr>
    </w:p>
    <w:p w:rsidR="00536DE3" w:rsidRPr="00536DE3" w:rsidRDefault="00B7096E" w:rsidP="00536DE3">
      <w:pPr>
        <w:spacing w:after="0"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As </w:t>
      </w:r>
      <w:r w:rsidR="00247593">
        <w:rPr>
          <w:rFonts w:ascii="Times New Roman" w:eastAsia="Times New Roman" w:hAnsi="Times New Roman" w:cs="Times New Roman"/>
          <w:sz w:val="24"/>
          <w:szCs w:val="24"/>
          <w:lang w:eastAsia="en-GB"/>
        </w:rPr>
        <w:t>argued</w:t>
      </w:r>
      <w:r w:rsidR="00FB7AF7">
        <w:rPr>
          <w:rFonts w:ascii="Times New Roman" w:eastAsia="Times New Roman" w:hAnsi="Times New Roman" w:cs="Times New Roman"/>
          <w:sz w:val="24"/>
          <w:szCs w:val="24"/>
          <w:lang w:eastAsia="en-GB"/>
        </w:rPr>
        <w:t xml:space="preserve"> above</w:t>
      </w:r>
      <w:r w:rsidR="00007E83">
        <w:rPr>
          <w:rFonts w:ascii="Times New Roman" w:eastAsia="Times New Roman" w:hAnsi="Times New Roman" w:cs="Times New Roman"/>
          <w:sz w:val="24"/>
          <w:szCs w:val="24"/>
          <w:lang w:eastAsia="en-GB"/>
        </w:rPr>
        <w:t xml:space="preserve">, </w:t>
      </w:r>
      <w:r w:rsidR="006B772C">
        <w:rPr>
          <w:rFonts w:ascii="Times New Roman" w:eastAsia="Times New Roman" w:hAnsi="Times New Roman" w:cs="Times New Roman"/>
          <w:sz w:val="24"/>
          <w:szCs w:val="24"/>
          <w:lang w:eastAsia="en-GB"/>
        </w:rPr>
        <w:t>secure</w:t>
      </w:r>
      <w:r w:rsidR="00B73078">
        <w:rPr>
          <w:rFonts w:ascii="Times New Roman" w:eastAsia="Times New Roman" w:hAnsi="Times New Roman" w:cs="Times New Roman"/>
          <w:sz w:val="24"/>
          <w:szCs w:val="24"/>
          <w:lang w:eastAsia="en-GB"/>
        </w:rPr>
        <w:t xml:space="preserve"> and</w:t>
      </w:r>
      <w:r w:rsidR="006B772C">
        <w:rPr>
          <w:rFonts w:ascii="Times New Roman" w:eastAsia="Times New Roman" w:hAnsi="Times New Roman" w:cs="Times New Roman"/>
          <w:sz w:val="24"/>
          <w:szCs w:val="24"/>
          <w:lang w:eastAsia="en-GB"/>
        </w:rPr>
        <w:t xml:space="preserve"> affordable housing of a decent standard</w:t>
      </w:r>
      <w:r w:rsidR="00F06445">
        <w:rPr>
          <w:rFonts w:ascii="Times New Roman" w:eastAsia="Times New Roman" w:hAnsi="Times New Roman" w:cs="Times New Roman"/>
          <w:sz w:val="24"/>
          <w:szCs w:val="24"/>
          <w:lang w:eastAsia="en-GB"/>
        </w:rPr>
        <w:t xml:space="preserve">, </w:t>
      </w:r>
      <w:r w:rsidR="006B772C">
        <w:rPr>
          <w:rFonts w:ascii="Times New Roman" w:eastAsia="Times New Roman" w:hAnsi="Times New Roman" w:cs="Times New Roman"/>
          <w:sz w:val="24"/>
          <w:szCs w:val="24"/>
          <w:lang w:eastAsia="en-GB"/>
        </w:rPr>
        <w:t>in tandem with dec</w:t>
      </w:r>
      <w:r w:rsidR="00247593">
        <w:rPr>
          <w:rFonts w:ascii="Times New Roman" w:eastAsia="Times New Roman" w:hAnsi="Times New Roman" w:cs="Times New Roman"/>
          <w:sz w:val="24"/>
          <w:szCs w:val="24"/>
          <w:lang w:eastAsia="en-GB"/>
        </w:rPr>
        <w:t>ent jobs</w:t>
      </w:r>
      <w:r w:rsidR="00B73078">
        <w:rPr>
          <w:rFonts w:ascii="Times New Roman" w:eastAsia="Times New Roman" w:hAnsi="Times New Roman" w:cs="Times New Roman"/>
          <w:sz w:val="24"/>
          <w:szCs w:val="24"/>
          <w:lang w:eastAsia="en-GB"/>
        </w:rPr>
        <w:t xml:space="preserve">, </w:t>
      </w:r>
      <w:r w:rsidR="00536DE3" w:rsidRPr="00536DE3">
        <w:rPr>
          <w:rFonts w:ascii="Times New Roman" w:eastAsia="Times New Roman" w:hAnsi="Times New Roman" w:cs="Times New Roman"/>
          <w:sz w:val="24"/>
          <w:szCs w:val="24"/>
          <w:lang w:eastAsia="en-GB"/>
        </w:rPr>
        <w:t>act as cruc</w:t>
      </w:r>
      <w:r w:rsidR="00363E30">
        <w:rPr>
          <w:rFonts w:ascii="Times New Roman" w:eastAsia="Times New Roman" w:hAnsi="Times New Roman" w:cs="Times New Roman"/>
          <w:sz w:val="24"/>
          <w:szCs w:val="24"/>
          <w:lang w:eastAsia="en-GB"/>
        </w:rPr>
        <w:t>ial pillars</w:t>
      </w:r>
      <w:r w:rsidR="00F06445">
        <w:rPr>
          <w:rFonts w:ascii="Times New Roman" w:eastAsia="Times New Roman" w:hAnsi="Times New Roman" w:cs="Times New Roman"/>
          <w:sz w:val="24"/>
          <w:szCs w:val="24"/>
          <w:lang w:eastAsia="en-GB"/>
        </w:rPr>
        <w:t xml:space="preserve"> of stability</w:t>
      </w:r>
      <w:r w:rsidR="006B772C">
        <w:rPr>
          <w:rFonts w:ascii="Times New Roman" w:eastAsia="Times New Roman" w:hAnsi="Times New Roman" w:cs="Times New Roman"/>
          <w:sz w:val="24"/>
          <w:szCs w:val="24"/>
          <w:lang w:eastAsia="en-GB"/>
        </w:rPr>
        <w:t xml:space="preserve"> within the</w:t>
      </w:r>
      <w:r w:rsidR="00536DE3" w:rsidRPr="00536DE3">
        <w:rPr>
          <w:rFonts w:ascii="Times New Roman" w:eastAsia="Times New Roman" w:hAnsi="Times New Roman" w:cs="Times New Roman"/>
          <w:sz w:val="24"/>
          <w:szCs w:val="24"/>
          <w:lang w:eastAsia="en-GB"/>
        </w:rPr>
        <w:t xml:space="preserve"> potentially bewi</w:t>
      </w:r>
      <w:r w:rsidR="006B772C">
        <w:rPr>
          <w:rFonts w:ascii="Times New Roman" w:eastAsia="Times New Roman" w:hAnsi="Times New Roman" w:cs="Times New Roman"/>
          <w:sz w:val="24"/>
          <w:szCs w:val="24"/>
          <w:lang w:eastAsia="en-GB"/>
        </w:rPr>
        <w:t xml:space="preserve">ldering milieu </w:t>
      </w:r>
      <w:r w:rsidR="00C715D7">
        <w:rPr>
          <w:rFonts w:ascii="Times New Roman" w:eastAsia="Times New Roman" w:hAnsi="Times New Roman" w:cs="Times New Roman"/>
          <w:sz w:val="24"/>
          <w:szCs w:val="24"/>
          <w:lang w:eastAsia="en-GB"/>
        </w:rPr>
        <w:t>of modern societies. T</w:t>
      </w:r>
      <w:r w:rsidR="006B772C">
        <w:rPr>
          <w:rFonts w:ascii="Times New Roman" w:eastAsia="Times New Roman" w:hAnsi="Times New Roman" w:cs="Times New Roman"/>
          <w:sz w:val="24"/>
          <w:szCs w:val="24"/>
          <w:lang w:eastAsia="en-GB"/>
        </w:rPr>
        <w:t>hese</w:t>
      </w:r>
      <w:r w:rsidR="00536DE3" w:rsidRPr="00536DE3">
        <w:rPr>
          <w:rFonts w:ascii="Times New Roman" w:eastAsia="Times New Roman" w:hAnsi="Times New Roman" w:cs="Times New Roman"/>
          <w:sz w:val="24"/>
          <w:szCs w:val="24"/>
          <w:lang w:eastAsia="en-GB"/>
        </w:rPr>
        <w:t xml:space="preserve"> social goods render the task of contemporary liv</w:t>
      </w:r>
      <w:r>
        <w:rPr>
          <w:rFonts w:ascii="Times New Roman" w:eastAsia="Times New Roman" w:hAnsi="Times New Roman" w:cs="Times New Roman"/>
          <w:sz w:val="24"/>
          <w:szCs w:val="24"/>
          <w:lang w:eastAsia="en-GB"/>
        </w:rPr>
        <w:t>ing infinitely more manageable</w:t>
      </w:r>
      <w:r w:rsidR="00DF66EA">
        <w:rPr>
          <w:rFonts w:ascii="Times New Roman" w:eastAsia="Times New Roman" w:hAnsi="Times New Roman" w:cs="Times New Roman"/>
          <w:sz w:val="24"/>
          <w:szCs w:val="24"/>
          <w:lang w:eastAsia="en-GB"/>
        </w:rPr>
        <w:t xml:space="preserve">, a fact that becomes </w:t>
      </w:r>
      <w:r w:rsidR="00363E30">
        <w:rPr>
          <w:rFonts w:ascii="Times New Roman" w:eastAsia="Times New Roman" w:hAnsi="Times New Roman" w:cs="Times New Roman"/>
          <w:sz w:val="24"/>
          <w:szCs w:val="24"/>
          <w:lang w:eastAsia="en-GB"/>
        </w:rPr>
        <w:t>ever more apparent with advances in</w:t>
      </w:r>
      <w:r w:rsidR="00F06445">
        <w:rPr>
          <w:rFonts w:ascii="Times New Roman" w:eastAsia="Times New Roman" w:hAnsi="Times New Roman" w:cs="Times New Roman"/>
          <w:sz w:val="24"/>
          <w:szCs w:val="24"/>
          <w:lang w:eastAsia="en-GB"/>
        </w:rPr>
        <w:t xml:space="preserve"> our</w:t>
      </w:r>
      <w:r w:rsidR="006B772C">
        <w:rPr>
          <w:rFonts w:ascii="Times New Roman" w:eastAsia="Times New Roman" w:hAnsi="Times New Roman" w:cs="Times New Roman"/>
          <w:sz w:val="24"/>
          <w:szCs w:val="24"/>
          <w:lang w:eastAsia="en-GB"/>
        </w:rPr>
        <w:t xml:space="preserve"> understand</w:t>
      </w:r>
      <w:r w:rsidR="00F06445">
        <w:rPr>
          <w:rFonts w:ascii="Times New Roman" w:eastAsia="Times New Roman" w:hAnsi="Times New Roman" w:cs="Times New Roman"/>
          <w:sz w:val="24"/>
          <w:szCs w:val="24"/>
          <w:lang w:eastAsia="en-GB"/>
        </w:rPr>
        <w:t>ing of</w:t>
      </w:r>
      <w:r w:rsidR="006B772C">
        <w:rPr>
          <w:rFonts w:ascii="Times New Roman" w:eastAsia="Times New Roman" w:hAnsi="Times New Roman" w:cs="Times New Roman"/>
          <w:sz w:val="24"/>
          <w:szCs w:val="24"/>
          <w:lang w:eastAsia="en-GB"/>
        </w:rPr>
        <w:t xml:space="preserve"> human</w:t>
      </w:r>
      <w:r w:rsidR="00DF66EA">
        <w:rPr>
          <w:rFonts w:ascii="Times New Roman" w:eastAsia="Times New Roman" w:hAnsi="Times New Roman" w:cs="Times New Roman"/>
          <w:sz w:val="24"/>
          <w:szCs w:val="24"/>
          <w:lang w:eastAsia="en-GB"/>
        </w:rPr>
        <w:t xml:space="preserve"> psychosocial proclivities an</w:t>
      </w:r>
      <w:r w:rsidR="006B772C">
        <w:rPr>
          <w:rFonts w:ascii="Times New Roman" w:eastAsia="Times New Roman" w:hAnsi="Times New Roman" w:cs="Times New Roman"/>
          <w:sz w:val="24"/>
          <w:szCs w:val="24"/>
          <w:lang w:eastAsia="en-GB"/>
        </w:rPr>
        <w:t>d needs</w:t>
      </w:r>
      <w:r w:rsidR="00DF66EA">
        <w:rPr>
          <w:rFonts w:ascii="Times New Roman" w:eastAsia="Times New Roman" w:hAnsi="Times New Roman" w:cs="Times New Roman"/>
          <w:sz w:val="24"/>
          <w:szCs w:val="24"/>
          <w:lang w:eastAsia="en-GB"/>
        </w:rPr>
        <w:t xml:space="preserve">. </w:t>
      </w:r>
      <w:r w:rsidR="00536DE3" w:rsidRPr="00536DE3">
        <w:rPr>
          <w:rFonts w:ascii="Times New Roman" w:eastAsia="Times New Roman" w:hAnsi="Times New Roman" w:cs="Times New Roman"/>
          <w:sz w:val="24"/>
          <w:szCs w:val="24"/>
          <w:lang w:eastAsia="en-GB"/>
        </w:rPr>
        <w:t xml:space="preserve">For the wealthy these securities are readily accessible, such that they are often held in surplus, while for the poor in highly unequal societies like the UK they often have to be vigorously defended. From a sociological perspective, this seems an unremarkable contention </w:t>
      </w:r>
      <w:r w:rsidR="00B73078">
        <w:rPr>
          <w:rFonts w:ascii="Times New Roman" w:eastAsia="Times New Roman" w:hAnsi="Times New Roman" w:cs="Times New Roman"/>
          <w:sz w:val="24"/>
          <w:szCs w:val="24"/>
          <w:lang w:eastAsia="en-GB"/>
        </w:rPr>
        <w:t>which resonates with many of our</w:t>
      </w:r>
      <w:r w:rsidR="00536DE3" w:rsidRPr="00536DE3">
        <w:rPr>
          <w:rFonts w:ascii="Times New Roman" w:eastAsia="Times New Roman" w:hAnsi="Times New Roman" w:cs="Times New Roman"/>
          <w:sz w:val="24"/>
          <w:szCs w:val="24"/>
          <w:lang w:eastAsia="en-GB"/>
        </w:rPr>
        <w:t xml:space="preserve"> foundational concept</w:t>
      </w:r>
      <w:r w:rsidR="00B73078">
        <w:rPr>
          <w:rFonts w:ascii="Times New Roman" w:eastAsia="Times New Roman" w:hAnsi="Times New Roman" w:cs="Times New Roman"/>
          <w:sz w:val="24"/>
          <w:szCs w:val="24"/>
          <w:lang w:eastAsia="en-GB"/>
        </w:rPr>
        <w:t xml:space="preserve">s </w:t>
      </w:r>
      <w:r w:rsidR="00536DE3" w:rsidRPr="00536DE3">
        <w:rPr>
          <w:rFonts w:ascii="Times New Roman" w:eastAsia="Times New Roman" w:hAnsi="Times New Roman" w:cs="Times New Roman"/>
          <w:sz w:val="24"/>
          <w:szCs w:val="24"/>
          <w:lang w:eastAsia="en-GB"/>
        </w:rPr>
        <w:t>(Durkheim 1965)</w:t>
      </w:r>
      <w:r w:rsidR="00E35A10">
        <w:rPr>
          <w:rFonts w:ascii="Times New Roman" w:eastAsia="Times New Roman" w:hAnsi="Times New Roman" w:cs="Times New Roman"/>
          <w:sz w:val="24"/>
          <w:szCs w:val="24"/>
          <w:lang w:eastAsia="en-GB"/>
        </w:rPr>
        <w:t>.</w:t>
      </w:r>
      <w:r w:rsidR="00536DE3" w:rsidRPr="00536DE3">
        <w:rPr>
          <w:rFonts w:ascii="Times New Roman" w:eastAsia="Times New Roman" w:hAnsi="Times New Roman" w:cs="Times New Roman"/>
          <w:sz w:val="24"/>
          <w:szCs w:val="24"/>
          <w:lang w:eastAsia="en-GB"/>
        </w:rPr>
        <w:t xml:space="preserve"> Secure housing of a fit standard must be viewed as an essential feature of a progressive and civilised society, as a basic right and necessary condition for individual and collective well-being. </w:t>
      </w:r>
      <w:r>
        <w:rPr>
          <w:rFonts w:ascii="Times New Roman" w:eastAsia="Times New Roman" w:hAnsi="Times New Roman" w:cs="Times New Roman"/>
          <w:sz w:val="24"/>
          <w:szCs w:val="24"/>
          <w:lang w:eastAsia="en-GB"/>
        </w:rPr>
        <w:t xml:space="preserve">It was a broad acceptance of </w:t>
      </w:r>
      <w:r w:rsidR="00363E30">
        <w:rPr>
          <w:rFonts w:ascii="Times New Roman" w:eastAsia="Times New Roman" w:hAnsi="Times New Roman" w:cs="Times New Roman"/>
          <w:sz w:val="24"/>
          <w:szCs w:val="24"/>
          <w:lang w:eastAsia="en-GB"/>
        </w:rPr>
        <w:t>this view that drove the transformation of the post-war housing market which</w:t>
      </w:r>
      <w:r w:rsidR="003A729E">
        <w:rPr>
          <w:rFonts w:ascii="Times New Roman" w:eastAsia="Times New Roman" w:hAnsi="Times New Roman" w:cs="Times New Roman"/>
          <w:sz w:val="24"/>
          <w:szCs w:val="24"/>
          <w:lang w:eastAsia="en-GB"/>
        </w:rPr>
        <w:t xml:space="preserve">, while in many ways imperfect and incomplete, nonetheless </w:t>
      </w:r>
      <w:r w:rsidR="006B772C">
        <w:rPr>
          <w:rFonts w:ascii="Times New Roman" w:eastAsia="Times New Roman" w:hAnsi="Times New Roman" w:cs="Times New Roman"/>
          <w:sz w:val="24"/>
          <w:szCs w:val="24"/>
          <w:lang w:eastAsia="en-GB"/>
        </w:rPr>
        <w:t>transformed lives</w:t>
      </w:r>
      <w:r w:rsidR="003A729E">
        <w:rPr>
          <w:rFonts w:ascii="Times New Roman" w:eastAsia="Times New Roman" w:hAnsi="Times New Roman" w:cs="Times New Roman"/>
          <w:sz w:val="24"/>
          <w:szCs w:val="24"/>
          <w:lang w:eastAsia="en-GB"/>
        </w:rPr>
        <w:t xml:space="preserve">. </w:t>
      </w:r>
      <w:r w:rsidR="00536DE3" w:rsidRPr="00536DE3">
        <w:rPr>
          <w:rFonts w:ascii="Times New Roman" w:eastAsia="Times New Roman" w:hAnsi="Times New Roman" w:cs="Times New Roman"/>
          <w:sz w:val="24"/>
          <w:szCs w:val="24"/>
          <w:lang w:eastAsia="en-GB"/>
        </w:rPr>
        <w:t>In dismantling this consensus the neoliberal approach to housing, as with labour markets, h</w:t>
      </w:r>
      <w:r w:rsidR="00007E83">
        <w:rPr>
          <w:rFonts w:ascii="Times New Roman" w:eastAsia="Times New Roman" w:hAnsi="Times New Roman" w:cs="Times New Roman"/>
          <w:sz w:val="24"/>
          <w:szCs w:val="24"/>
          <w:lang w:eastAsia="en-GB"/>
        </w:rPr>
        <w:t>as once m</w:t>
      </w:r>
      <w:r w:rsidR="00247593">
        <w:rPr>
          <w:rFonts w:ascii="Times New Roman" w:eastAsia="Times New Roman" w:hAnsi="Times New Roman" w:cs="Times New Roman"/>
          <w:sz w:val="24"/>
          <w:szCs w:val="24"/>
          <w:lang w:eastAsia="en-GB"/>
        </w:rPr>
        <w:t>ore set a growing sector</w:t>
      </w:r>
      <w:r w:rsidR="00007E83">
        <w:rPr>
          <w:rFonts w:ascii="Times New Roman" w:eastAsia="Times New Roman" w:hAnsi="Times New Roman" w:cs="Times New Roman"/>
          <w:sz w:val="24"/>
          <w:szCs w:val="24"/>
          <w:lang w:eastAsia="en-GB"/>
        </w:rPr>
        <w:t xml:space="preserve"> of the public</w:t>
      </w:r>
      <w:r w:rsidR="00536DE3" w:rsidRPr="00536DE3">
        <w:rPr>
          <w:rFonts w:ascii="Times New Roman" w:eastAsia="Times New Roman" w:hAnsi="Times New Roman" w:cs="Times New Roman"/>
          <w:sz w:val="24"/>
          <w:szCs w:val="24"/>
          <w:lang w:eastAsia="en-GB"/>
        </w:rPr>
        <w:t xml:space="preserve"> adrift in an anomic </w:t>
      </w:r>
      <w:r w:rsidR="00007E83">
        <w:rPr>
          <w:rFonts w:ascii="Times New Roman" w:eastAsia="Times New Roman" w:hAnsi="Times New Roman" w:cs="Times New Roman"/>
          <w:sz w:val="24"/>
          <w:szCs w:val="24"/>
          <w:lang w:eastAsia="en-GB"/>
        </w:rPr>
        <w:t xml:space="preserve">and anxious </w:t>
      </w:r>
      <w:r w:rsidR="00536DE3" w:rsidRPr="00536DE3">
        <w:rPr>
          <w:rFonts w:ascii="Times New Roman" w:eastAsia="Times New Roman" w:hAnsi="Times New Roman" w:cs="Times New Roman"/>
          <w:sz w:val="24"/>
          <w:szCs w:val="24"/>
          <w:lang w:eastAsia="en-GB"/>
        </w:rPr>
        <w:t>scramble for any vestige of security they can find</w:t>
      </w:r>
      <w:r w:rsidR="00247593">
        <w:rPr>
          <w:rFonts w:ascii="Times New Roman" w:eastAsia="Times New Roman" w:hAnsi="Times New Roman" w:cs="Times New Roman"/>
          <w:sz w:val="24"/>
          <w:szCs w:val="24"/>
          <w:lang w:eastAsia="en-GB"/>
        </w:rPr>
        <w:t xml:space="preserve">, </w:t>
      </w:r>
      <w:r w:rsidR="00E1056F">
        <w:rPr>
          <w:rFonts w:ascii="Times New Roman" w:eastAsia="Times New Roman" w:hAnsi="Times New Roman" w:cs="Times New Roman"/>
          <w:sz w:val="24"/>
          <w:szCs w:val="24"/>
          <w:lang w:eastAsia="en-GB"/>
        </w:rPr>
        <w:t xml:space="preserve">while </w:t>
      </w:r>
      <w:r w:rsidR="00247593">
        <w:rPr>
          <w:rFonts w:ascii="Times New Roman" w:eastAsia="Times New Roman" w:hAnsi="Times New Roman" w:cs="Times New Roman"/>
          <w:sz w:val="24"/>
          <w:szCs w:val="24"/>
          <w:lang w:eastAsia="en-GB"/>
        </w:rPr>
        <w:t xml:space="preserve">reviving </w:t>
      </w:r>
      <w:r w:rsidR="00F06445">
        <w:rPr>
          <w:rFonts w:ascii="Times New Roman" w:eastAsia="Times New Roman" w:hAnsi="Times New Roman" w:cs="Times New Roman"/>
          <w:sz w:val="24"/>
          <w:szCs w:val="24"/>
          <w:lang w:eastAsia="en-GB"/>
        </w:rPr>
        <w:t>some of the inequities</w:t>
      </w:r>
      <w:r w:rsidR="00247593">
        <w:rPr>
          <w:rFonts w:ascii="Times New Roman" w:eastAsia="Times New Roman" w:hAnsi="Times New Roman" w:cs="Times New Roman"/>
          <w:sz w:val="24"/>
          <w:szCs w:val="24"/>
          <w:lang w:eastAsia="en-GB"/>
        </w:rPr>
        <w:t xml:space="preserve"> of a darker past</w:t>
      </w:r>
      <w:r w:rsidR="00536DE3" w:rsidRPr="00536DE3">
        <w:rPr>
          <w:rFonts w:ascii="Times New Roman" w:eastAsia="Times New Roman" w:hAnsi="Times New Roman" w:cs="Times New Roman"/>
          <w:sz w:val="24"/>
          <w:szCs w:val="24"/>
          <w:lang w:eastAsia="en-GB"/>
        </w:rPr>
        <w:t>. In sum, while the lo</w:t>
      </w:r>
      <w:r w:rsidR="00FB7AF7">
        <w:rPr>
          <w:rFonts w:ascii="Times New Roman" w:eastAsia="Times New Roman" w:hAnsi="Times New Roman" w:cs="Times New Roman"/>
          <w:sz w:val="24"/>
          <w:szCs w:val="24"/>
          <w:lang w:eastAsia="en-GB"/>
        </w:rPr>
        <w:t>gic of this overall strategy can</w:t>
      </w:r>
      <w:r w:rsidR="00536DE3" w:rsidRPr="00536DE3">
        <w:rPr>
          <w:rFonts w:ascii="Times New Roman" w:eastAsia="Times New Roman" w:hAnsi="Times New Roman" w:cs="Times New Roman"/>
          <w:sz w:val="24"/>
          <w:szCs w:val="24"/>
          <w:lang w:eastAsia="en-GB"/>
        </w:rPr>
        <w:t xml:space="preserve"> be criticised on purely economic grounds</w:t>
      </w:r>
      <w:r w:rsidR="00007E83">
        <w:rPr>
          <w:rFonts w:ascii="Times New Roman" w:eastAsia="Times New Roman" w:hAnsi="Times New Roman" w:cs="Times New Roman"/>
          <w:sz w:val="24"/>
          <w:szCs w:val="24"/>
          <w:lang w:eastAsia="en-GB"/>
        </w:rPr>
        <w:t xml:space="preserve">, </w:t>
      </w:r>
      <w:r w:rsidR="00536DE3" w:rsidRPr="00536DE3">
        <w:rPr>
          <w:rFonts w:ascii="Times New Roman" w:eastAsia="Times New Roman" w:hAnsi="Times New Roman" w:cs="Times New Roman"/>
          <w:sz w:val="24"/>
          <w:szCs w:val="24"/>
          <w:lang w:eastAsia="en-GB"/>
        </w:rPr>
        <w:t>the current direction of housin</w:t>
      </w:r>
      <w:r w:rsidR="00007E83">
        <w:rPr>
          <w:rFonts w:ascii="Times New Roman" w:eastAsia="Times New Roman" w:hAnsi="Times New Roman" w:cs="Times New Roman"/>
          <w:sz w:val="24"/>
          <w:szCs w:val="24"/>
          <w:lang w:eastAsia="en-GB"/>
        </w:rPr>
        <w:t xml:space="preserve">g policy is </w:t>
      </w:r>
      <w:r w:rsidR="00B73078">
        <w:rPr>
          <w:rFonts w:ascii="Times New Roman" w:eastAsia="Times New Roman" w:hAnsi="Times New Roman" w:cs="Times New Roman"/>
          <w:sz w:val="24"/>
          <w:szCs w:val="24"/>
          <w:lang w:eastAsia="en-GB"/>
        </w:rPr>
        <w:t xml:space="preserve">also </w:t>
      </w:r>
      <w:r w:rsidR="00007E83">
        <w:rPr>
          <w:rFonts w:ascii="Times New Roman" w:eastAsia="Times New Roman" w:hAnsi="Times New Roman" w:cs="Times New Roman"/>
          <w:sz w:val="24"/>
          <w:szCs w:val="24"/>
          <w:lang w:eastAsia="en-GB"/>
        </w:rPr>
        <w:t>wholly incompatible</w:t>
      </w:r>
      <w:r w:rsidR="006B772C">
        <w:rPr>
          <w:rFonts w:ascii="Times New Roman" w:eastAsia="Times New Roman" w:hAnsi="Times New Roman" w:cs="Times New Roman"/>
          <w:sz w:val="24"/>
          <w:szCs w:val="24"/>
          <w:lang w:eastAsia="en-GB"/>
        </w:rPr>
        <w:t xml:space="preserve"> with the </w:t>
      </w:r>
      <w:r w:rsidR="00B73078">
        <w:rPr>
          <w:rFonts w:ascii="Times New Roman" w:eastAsia="Times New Roman" w:hAnsi="Times New Roman" w:cs="Times New Roman"/>
          <w:sz w:val="24"/>
          <w:szCs w:val="24"/>
          <w:lang w:eastAsia="en-GB"/>
        </w:rPr>
        <w:t>conditions that support decent lives</w:t>
      </w:r>
      <w:r w:rsidR="00363E30">
        <w:rPr>
          <w:rFonts w:ascii="Times New Roman" w:eastAsia="Times New Roman" w:hAnsi="Times New Roman" w:cs="Times New Roman"/>
          <w:sz w:val="24"/>
          <w:szCs w:val="24"/>
          <w:lang w:eastAsia="en-GB"/>
        </w:rPr>
        <w:t>, stable families</w:t>
      </w:r>
      <w:r w:rsidR="00B73078">
        <w:rPr>
          <w:rFonts w:ascii="Times New Roman" w:eastAsia="Times New Roman" w:hAnsi="Times New Roman" w:cs="Times New Roman"/>
          <w:sz w:val="24"/>
          <w:szCs w:val="24"/>
          <w:lang w:eastAsia="en-GB"/>
        </w:rPr>
        <w:t xml:space="preserve"> and a good society</w:t>
      </w:r>
      <w:r w:rsidR="00956D26">
        <w:rPr>
          <w:rFonts w:ascii="Times New Roman" w:eastAsia="Times New Roman" w:hAnsi="Times New Roman" w:cs="Times New Roman"/>
          <w:sz w:val="24"/>
          <w:szCs w:val="24"/>
          <w:lang w:eastAsia="en-GB"/>
        </w:rPr>
        <w:t>,</w:t>
      </w:r>
      <w:r w:rsidR="00B73078">
        <w:rPr>
          <w:rFonts w:ascii="Times New Roman" w:eastAsia="Times New Roman" w:hAnsi="Times New Roman" w:cs="Times New Roman"/>
          <w:sz w:val="24"/>
          <w:szCs w:val="24"/>
          <w:lang w:eastAsia="en-GB"/>
        </w:rPr>
        <w:t xml:space="preserve"> while the broader</w:t>
      </w:r>
      <w:r w:rsidR="00536DE3" w:rsidRPr="00536DE3">
        <w:rPr>
          <w:rFonts w:ascii="Times New Roman" w:eastAsia="Times New Roman" w:hAnsi="Times New Roman" w:cs="Times New Roman"/>
          <w:sz w:val="24"/>
          <w:szCs w:val="24"/>
          <w:lang w:eastAsia="en-GB"/>
        </w:rPr>
        <w:t xml:space="preserve"> ramifications over the longer term may be multi-faceted, deeply damaging and not always immediately apparent. </w:t>
      </w:r>
    </w:p>
    <w:p w:rsidR="00E1056F" w:rsidRDefault="00E1056F" w:rsidP="00536DE3">
      <w:pPr>
        <w:spacing w:after="0" w:line="480" w:lineRule="auto"/>
        <w:jc w:val="both"/>
        <w:rPr>
          <w:rFonts w:ascii="Times New Roman" w:eastAsia="Times New Roman" w:hAnsi="Times New Roman" w:cs="Times New Roman"/>
          <w:sz w:val="24"/>
          <w:szCs w:val="24"/>
          <w:lang w:eastAsia="en-GB"/>
        </w:rPr>
      </w:pPr>
    </w:p>
    <w:p w:rsidR="00E1056F" w:rsidRDefault="00E1056F" w:rsidP="00536DE3">
      <w:pPr>
        <w:spacing w:after="0" w:line="480" w:lineRule="auto"/>
        <w:jc w:val="both"/>
        <w:rPr>
          <w:rFonts w:ascii="Times New Roman" w:eastAsia="Times New Roman" w:hAnsi="Times New Roman" w:cs="Times New Roman"/>
          <w:sz w:val="24"/>
          <w:szCs w:val="24"/>
          <w:lang w:eastAsia="en-GB"/>
        </w:rPr>
      </w:pPr>
    </w:p>
    <w:p w:rsidR="00F74AFD" w:rsidRDefault="00F74AFD" w:rsidP="00536DE3">
      <w:pPr>
        <w:spacing w:after="0" w:line="480" w:lineRule="auto"/>
        <w:jc w:val="both"/>
        <w:rPr>
          <w:rFonts w:ascii="Times New Roman" w:eastAsia="Times New Roman" w:hAnsi="Times New Roman" w:cs="Times New Roman"/>
          <w:sz w:val="24"/>
          <w:szCs w:val="24"/>
          <w:lang w:eastAsia="en-GB"/>
        </w:rPr>
      </w:pPr>
    </w:p>
    <w:p w:rsidR="00F74AFD" w:rsidRDefault="00F74AFD" w:rsidP="00536DE3">
      <w:pPr>
        <w:spacing w:after="0" w:line="480" w:lineRule="auto"/>
        <w:jc w:val="both"/>
        <w:rPr>
          <w:rFonts w:ascii="Times New Roman" w:eastAsia="Times New Roman" w:hAnsi="Times New Roman" w:cs="Times New Roman"/>
          <w:sz w:val="24"/>
          <w:szCs w:val="24"/>
          <w:lang w:eastAsia="en-GB"/>
        </w:rPr>
      </w:pPr>
    </w:p>
    <w:p w:rsidR="00F74AFD" w:rsidRDefault="00F74AFD" w:rsidP="00536DE3">
      <w:pPr>
        <w:spacing w:after="0" w:line="480" w:lineRule="auto"/>
        <w:jc w:val="both"/>
        <w:rPr>
          <w:rFonts w:ascii="Times New Roman" w:eastAsia="Times New Roman" w:hAnsi="Times New Roman" w:cs="Times New Roman"/>
          <w:sz w:val="24"/>
          <w:szCs w:val="24"/>
          <w:lang w:eastAsia="en-GB"/>
        </w:rPr>
      </w:pPr>
    </w:p>
    <w:p w:rsidR="00F74AFD" w:rsidRDefault="00F74AFD" w:rsidP="00536DE3">
      <w:pPr>
        <w:spacing w:after="0" w:line="480" w:lineRule="auto"/>
        <w:jc w:val="both"/>
        <w:rPr>
          <w:rFonts w:ascii="Times New Roman" w:eastAsia="Times New Roman" w:hAnsi="Times New Roman" w:cs="Times New Roman"/>
          <w:sz w:val="24"/>
          <w:szCs w:val="24"/>
          <w:lang w:eastAsia="en-GB"/>
        </w:rPr>
      </w:pPr>
    </w:p>
    <w:p w:rsidR="00F74AFD" w:rsidRDefault="00F74AFD" w:rsidP="00536DE3">
      <w:pPr>
        <w:spacing w:after="0" w:line="480" w:lineRule="auto"/>
        <w:jc w:val="both"/>
        <w:rPr>
          <w:rFonts w:ascii="Times New Roman" w:eastAsia="Times New Roman" w:hAnsi="Times New Roman" w:cs="Times New Roman"/>
          <w:sz w:val="24"/>
          <w:szCs w:val="24"/>
          <w:lang w:eastAsia="en-GB"/>
        </w:rPr>
      </w:pPr>
    </w:p>
    <w:p w:rsidR="00F74AFD" w:rsidRDefault="00F74AFD" w:rsidP="00536DE3">
      <w:pPr>
        <w:spacing w:after="0" w:line="480" w:lineRule="auto"/>
        <w:jc w:val="both"/>
        <w:rPr>
          <w:rFonts w:ascii="Times New Roman" w:eastAsia="Times New Roman" w:hAnsi="Times New Roman" w:cs="Times New Roman"/>
          <w:sz w:val="24"/>
          <w:szCs w:val="24"/>
          <w:lang w:eastAsia="en-GB"/>
        </w:rPr>
      </w:pPr>
    </w:p>
    <w:p w:rsidR="00C77BEB" w:rsidRDefault="00C77BEB" w:rsidP="00536DE3">
      <w:pPr>
        <w:spacing w:after="0" w:line="480" w:lineRule="auto"/>
        <w:jc w:val="both"/>
        <w:rPr>
          <w:rFonts w:ascii="Times New Roman" w:eastAsia="Times New Roman" w:hAnsi="Times New Roman" w:cs="Times New Roman"/>
          <w:sz w:val="24"/>
          <w:szCs w:val="24"/>
          <w:lang w:eastAsia="en-GB"/>
        </w:rPr>
      </w:pPr>
    </w:p>
    <w:p w:rsidR="00C77BEB" w:rsidRDefault="00C77BEB" w:rsidP="00536DE3">
      <w:pPr>
        <w:spacing w:after="0" w:line="480" w:lineRule="auto"/>
        <w:jc w:val="both"/>
        <w:rPr>
          <w:rFonts w:ascii="Times New Roman" w:eastAsia="Times New Roman" w:hAnsi="Times New Roman" w:cs="Times New Roman"/>
          <w:sz w:val="24"/>
          <w:szCs w:val="24"/>
          <w:lang w:eastAsia="en-GB"/>
        </w:rPr>
      </w:pPr>
    </w:p>
    <w:p w:rsidR="00C77BEB" w:rsidRDefault="00C77BEB" w:rsidP="00536DE3">
      <w:pPr>
        <w:spacing w:after="0" w:line="480" w:lineRule="auto"/>
        <w:jc w:val="both"/>
        <w:rPr>
          <w:rFonts w:ascii="Times New Roman" w:eastAsia="Times New Roman" w:hAnsi="Times New Roman" w:cs="Times New Roman"/>
          <w:sz w:val="24"/>
          <w:szCs w:val="24"/>
          <w:lang w:eastAsia="en-GB"/>
        </w:rPr>
      </w:pPr>
    </w:p>
    <w:p w:rsidR="00C77BEB" w:rsidRDefault="00C77BEB" w:rsidP="00536DE3">
      <w:pPr>
        <w:spacing w:after="0" w:line="480" w:lineRule="auto"/>
        <w:jc w:val="both"/>
        <w:rPr>
          <w:rFonts w:ascii="Times New Roman" w:eastAsia="Times New Roman" w:hAnsi="Times New Roman" w:cs="Times New Roman"/>
          <w:sz w:val="24"/>
          <w:szCs w:val="24"/>
          <w:lang w:eastAsia="en-GB"/>
        </w:rPr>
      </w:pPr>
    </w:p>
    <w:p w:rsidR="00FB7AF7" w:rsidRDefault="00FB7AF7" w:rsidP="00536DE3">
      <w:pPr>
        <w:spacing w:after="0" w:line="480" w:lineRule="auto"/>
        <w:jc w:val="both"/>
        <w:rPr>
          <w:rFonts w:ascii="Times New Roman" w:eastAsia="Times New Roman" w:hAnsi="Times New Roman" w:cs="Times New Roman"/>
          <w:sz w:val="24"/>
          <w:szCs w:val="24"/>
          <w:lang w:eastAsia="en-GB"/>
        </w:rPr>
      </w:pPr>
    </w:p>
    <w:p w:rsidR="00FB7AF7" w:rsidRDefault="00FB7AF7" w:rsidP="00536DE3">
      <w:pPr>
        <w:spacing w:after="0" w:line="480" w:lineRule="auto"/>
        <w:jc w:val="both"/>
        <w:rPr>
          <w:rFonts w:ascii="Times New Roman" w:eastAsia="Times New Roman" w:hAnsi="Times New Roman" w:cs="Times New Roman"/>
          <w:sz w:val="24"/>
          <w:szCs w:val="24"/>
          <w:lang w:eastAsia="en-GB"/>
        </w:rPr>
      </w:pPr>
    </w:p>
    <w:p w:rsidR="00FB7AF7" w:rsidRDefault="00FB7AF7" w:rsidP="00536DE3">
      <w:pPr>
        <w:spacing w:after="0" w:line="480" w:lineRule="auto"/>
        <w:jc w:val="both"/>
        <w:rPr>
          <w:rFonts w:ascii="Times New Roman" w:eastAsia="Times New Roman" w:hAnsi="Times New Roman" w:cs="Times New Roman"/>
          <w:sz w:val="24"/>
          <w:szCs w:val="24"/>
          <w:lang w:eastAsia="en-GB"/>
        </w:rPr>
      </w:pPr>
    </w:p>
    <w:p w:rsidR="00FB7AF7" w:rsidRDefault="00FB7AF7" w:rsidP="00536DE3">
      <w:pPr>
        <w:spacing w:after="0" w:line="480" w:lineRule="auto"/>
        <w:jc w:val="both"/>
        <w:rPr>
          <w:rFonts w:ascii="Times New Roman" w:eastAsia="Times New Roman" w:hAnsi="Times New Roman" w:cs="Times New Roman"/>
          <w:sz w:val="24"/>
          <w:szCs w:val="24"/>
          <w:lang w:eastAsia="en-GB"/>
        </w:rPr>
      </w:pPr>
    </w:p>
    <w:p w:rsidR="00C92A98" w:rsidRPr="00FB7AF7" w:rsidRDefault="00536DE3" w:rsidP="00FB7AF7">
      <w:pPr>
        <w:spacing w:after="0" w:line="480" w:lineRule="auto"/>
        <w:jc w:val="both"/>
        <w:rPr>
          <w:rFonts w:ascii="Times New Roman" w:eastAsia="Times New Roman" w:hAnsi="Times New Roman" w:cs="Times New Roman"/>
          <w:sz w:val="24"/>
          <w:szCs w:val="24"/>
          <w:lang w:eastAsia="en-GB"/>
        </w:rPr>
      </w:pPr>
      <w:r w:rsidRPr="00536DE3">
        <w:rPr>
          <w:rFonts w:ascii="Times New Roman" w:eastAsia="Times New Roman" w:hAnsi="Times New Roman" w:cs="Times New Roman"/>
          <w:sz w:val="24"/>
          <w:szCs w:val="24"/>
          <w:lang w:eastAsia="en-GB"/>
        </w:rPr>
        <w:t>Notes</w:t>
      </w:r>
    </w:p>
    <w:sectPr w:rsidR="00C92A98" w:rsidRPr="00FB7AF7" w:rsidSect="0031485C">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2294E" w:rsidRDefault="0022294E" w:rsidP="00536DE3">
      <w:pPr>
        <w:spacing w:after="0" w:line="240" w:lineRule="auto"/>
      </w:pPr>
      <w:r>
        <w:separator/>
      </w:r>
    </w:p>
  </w:endnote>
  <w:endnote w:type="continuationSeparator" w:id="0">
    <w:p w:rsidR="0022294E" w:rsidRDefault="0022294E" w:rsidP="00536DE3">
      <w:pPr>
        <w:spacing w:after="0" w:line="240" w:lineRule="auto"/>
      </w:pPr>
      <w:r>
        <w:continuationSeparator/>
      </w:r>
    </w:p>
  </w:endnote>
  <w:endnote w:id="1">
    <w:p w:rsidR="00536DE3" w:rsidRDefault="00536DE3" w:rsidP="00536DE3">
      <w:pPr>
        <w:pStyle w:val="EndnoteText"/>
      </w:pPr>
      <w:r>
        <w:rPr>
          <w:rStyle w:val="EndnoteReference"/>
        </w:rPr>
        <w:endnoteRef/>
      </w:r>
      <w:r>
        <w:t xml:space="preserve"> It might be noted that the suggestion that public housing is subsidised is highly debatable, given that rents in the sector cover the costs of building and maintenance over a reasonable time frame, and are thus not subsidised in the conventional sense. The ‘subsidy’ identified by critics of social housing refers to the notional gap between public sector and private sector rents. In effect, the alleged subsidy is a consequence of social housing costs being associated with a much reduced element of private profit, rather than any implied direct taxpayer subsidy.  </w:t>
      </w:r>
    </w:p>
  </w:endnote>
  <w:endnote w:id="2">
    <w:p w:rsidR="00A80647" w:rsidRDefault="00A80647">
      <w:pPr>
        <w:pStyle w:val="EndnoteText"/>
      </w:pPr>
      <w:r>
        <w:rPr>
          <w:rStyle w:val="EndnoteReference"/>
        </w:rPr>
        <w:endnoteRef/>
      </w:r>
      <w:r>
        <w:t xml:space="preserve"> A further caveat here </w:t>
      </w:r>
      <w:r w:rsidRPr="00A80647">
        <w:t xml:space="preserve">is that </w:t>
      </w:r>
      <w:r>
        <w:t xml:space="preserve">some ‘pockets’ in the north, for example </w:t>
      </w:r>
      <w:r w:rsidRPr="00A80647">
        <w:t>Edinburgh and Aberdeen</w:t>
      </w:r>
      <w:r>
        <w:t>,</w:t>
      </w:r>
      <w:r w:rsidRPr="00A80647">
        <w:t xml:space="preserve"> have very high </w:t>
      </w:r>
      <w:r>
        <w:t xml:space="preserve">house </w:t>
      </w:r>
      <w:r w:rsidRPr="00A80647">
        <w:t>prices and rental costs.</w:t>
      </w:r>
    </w:p>
  </w:endnote>
  <w:endnote w:id="3">
    <w:p w:rsidR="00536DE3" w:rsidRDefault="00536DE3" w:rsidP="00536DE3">
      <w:pPr>
        <w:pStyle w:val="EndnoteText"/>
      </w:pPr>
      <w:r>
        <w:rPr>
          <w:rStyle w:val="EndnoteReference"/>
        </w:rPr>
        <w:endnoteRef/>
      </w:r>
      <w:r>
        <w:t xml:space="preserve"> This assumes, of course, that Universal Credit</w:t>
      </w:r>
      <w:r w:rsidRPr="00943FE1">
        <w:t xml:space="preserve"> will be implemented nationally, which is not guaranteed at the time of writing given various problems with its introduction.</w:t>
      </w:r>
    </w:p>
  </w:endnote>
  <w:endnote w:id="4">
    <w:p w:rsidR="00536DE3" w:rsidRDefault="00536DE3" w:rsidP="00536DE3">
      <w:pPr>
        <w:pStyle w:val="EndnoteText"/>
      </w:pPr>
      <w:r>
        <w:rPr>
          <w:rStyle w:val="EndnoteReference"/>
        </w:rPr>
        <w:endnoteRef/>
      </w:r>
      <w:r>
        <w:t xml:space="preserve"> This not only applies to the notion that individuals thrive on ‘flexibility’ and insecurity, but also to notions applicable to the economic sphere i.e. the rational economic actor that informs neo-classical economics. </w:t>
      </w:r>
    </w:p>
  </w:endnote>
  <w:endnote w:id="5">
    <w:p w:rsidR="00536DE3" w:rsidRDefault="00536DE3" w:rsidP="00536DE3">
      <w:pPr>
        <w:pStyle w:val="EndnoteText"/>
      </w:pPr>
      <w:r>
        <w:rPr>
          <w:rStyle w:val="EndnoteReference"/>
        </w:rPr>
        <w:endnoteRef/>
      </w:r>
      <w:r>
        <w:t xml:space="preserve"> Working memory (thought to be associated with the pre-frontal cortex [pfc]) is central to conscious processing and has a very limited capacity.. This is why well practiced tasks etc. must be ‘hived off’ such that they can be handled almost instinctively, much as we once focused a good deal of attention while learning to drive but can now handle the physical movements required with little conscious attention. </w:t>
      </w:r>
    </w:p>
  </w:endnote>
  <w:endnote w:id="6">
    <w:p w:rsidR="00536DE3" w:rsidRDefault="00536DE3" w:rsidP="00536DE3">
      <w:pPr>
        <w:pStyle w:val="EndnoteText"/>
      </w:pPr>
      <w:r>
        <w:rPr>
          <w:rStyle w:val="EndnoteReference"/>
        </w:rPr>
        <w:endnoteRef/>
      </w:r>
      <w:r>
        <w:t xml:space="preserve"> A primary function of the brain is to keep us safe, while the fear system is evidently designed to identify and facilitate memory formation with respect to threats in our environment. When we experience cognitive overload, however, we are in a state where we cannot be certain that we can identify and deal with potential threat and, thus, feel out of control and anxious as the fear system reflects this state by raising the ‘emotional alarm’. </w:t>
      </w:r>
    </w:p>
  </w:endnote>
  <w:endnote w:id="7">
    <w:p w:rsidR="00536DE3" w:rsidRDefault="00536DE3" w:rsidP="00536DE3">
      <w:pPr>
        <w:pStyle w:val="EndnoteText"/>
      </w:pPr>
      <w:r>
        <w:rPr>
          <w:rStyle w:val="EndnoteReference"/>
        </w:rPr>
        <w:endnoteRef/>
      </w:r>
      <w:r>
        <w:t xml:space="preserve"> </w:t>
      </w:r>
      <w:r w:rsidRPr="004119D6">
        <w:t>On a minor caveat here, it appears that the UK Labour opposition has of late begun to take on board some of the issues outlined above, in terms of the problems of housing conditions, cost and indeed security in the PRS</w:t>
      </w:r>
      <w:r>
        <w:t>. (</w:t>
      </w:r>
      <w:hyperlink r:id="rId1" w:history="1">
        <w:r w:rsidRPr="00EF679C">
          <w:rPr>
            <w:rStyle w:val="Hyperlink"/>
          </w:rPr>
          <w:t>http://www.labour.org.uk/uploads/adaa0b53-702a-4a84-e110-7261b2d5abea.pdf</w:t>
        </w:r>
      </w:hyperlink>
      <w:r>
        <w:t>)</w:t>
      </w:r>
    </w:p>
    <w:p w:rsidR="00536DE3" w:rsidRDefault="00536DE3" w:rsidP="00536DE3">
      <w:pPr>
        <w:pStyle w:val="EndnoteText"/>
      </w:pPr>
      <w:r w:rsidRPr="004119D6">
        <w:t xml:space="preserve">Evidently, this represents a significant shift from their position in office where they presided over, and seemed relatively sanguine regarding, both the housing boom and the rapid expansion of a deregulated </w:t>
      </w:r>
      <w:r w:rsidR="00F424A6">
        <w:t>buy-to-let</w:t>
      </w:r>
      <w:r w:rsidRPr="004119D6">
        <w:t xml:space="preserve"> sector. However, it remains to be seen how far the party has travelled in terms of housing policy should they return to office in the near future.</w:t>
      </w:r>
    </w:p>
  </w:endnote>
  <w:endnote w:id="8">
    <w:p w:rsidR="00536DE3" w:rsidRDefault="00536DE3" w:rsidP="00536DE3">
      <w:pPr>
        <w:pStyle w:val="EndnoteText"/>
      </w:pPr>
      <w:r>
        <w:rPr>
          <w:rStyle w:val="EndnoteReference"/>
        </w:rPr>
        <w:endnoteRef/>
      </w:r>
      <w:r>
        <w:t xml:space="preserve"> The point here is that the profits from rising house prices and high private rents tend to come from the pockets of those on moderate to lower incomes, who spend rather than save, and fall into the hands of the wealthy who are likely to retain much more of their income.  </w:t>
      </w:r>
    </w:p>
    <w:p w:rsidR="00536DE3" w:rsidRDefault="00536DE3" w:rsidP="00536DE3">
      <w:pPr>
        <w:pStyle w:val="EndnoteText"/>
      </w:pPr>
    </w:p>
    <w:p w:rsidR="00536DE3" w:rsidRDefault="00536DE3" w:rsidP="00536DE3">
      <w:pPr>
        <w:jc w:val="both"/>
      </w:pPr>
    </w:p>
    <w:p w:rsidR="00536DE3" w:rsidRDefault="00536DE3" w:rsidP="00536DE3">
      <w:pPr>
        <w:jc w:val="both"/>
      </w:pPr>
    </w:p>
    <w:p w:rsidR="00536DE3" w:rsidRDefault="00536DE3" w:rsidP="00536DE3">
      <w:pPr>
        <w:spacing w:line="480" w:lineRule="auto"/>
        <w:jc w:val="both"/>
        <w:rPr>
          <w:b/>
        </w:rPr>
      </w:pPr>
    </w:p>
    <w:p w:rsidR="00007E83" w:rsidRDefault="00007E83" w:rsidP="00536DE3">
      <w:pPr>
        <w:spacing w:line="480" w:lineRule="auto"/>
        <w:jc w:val="both"/>
        <w:rPr>
          <w:b/>
        </w:rPr>
      </w:pPr>
    </w:p>
    <w:p w:rsidR="00751818" w:rsidRDefault="00751818" w:rsidP="00536DE3">
      <w:pPr>
        <w:spacing w:line="480" w:lineRule="auto"/>
        <w:jc w:val="both"/>
        <w:rPr>
          <w:b/>
        </w:rPr>
      </w:pPr>
    </w:p>
    <w:p w:rsidR="00751818" w:rsidRDefault="00751818" w:rsidP="00536DE3">
      <w:pPr>
        <w:spacing w:line="480" w:lineRule="auto"/>
        <w:jc w:val="both"/>
        <w:rPr>
          <w:b/>
        </w:rPr>
      </w:pPr>
    </w:p>
    <w:p w:rsidR="00751818" w:rsidRDefault="00751818" w:rsidP="00536DE3">
      <w:pPr>
        <w:spacing w:line="480" w:lineRule="auto"/>
        <w:jc w:val="both"/>
        <w:rPr>
          <w:b/>
        </w:rPr>
      </w:pPr>
    </w:p>
    <w:p w:rsidR="00FB7AF7" w:rsidRDefault="00FB7AF7" w:rsidP="00536DE3">
      <w:pPr>
        <w:spacing w:line="480" w:lineRule="auto"/>
        <w:jc w:val="both"/>
        <w:rPr>
          <w:b/>
        </w:rPr>
      </w:pPr>
    </w:p>
    <w:p w:rsidR="00FB7AF7" w:rsidRDefault="00FB7AF7" w:rsidP="00536DE3">
      <w:pPr>
        <w:spacing w:line="480" w:lineRule="auto"/>
        <w:jc w:val="both"/>
        <w:rPr>
          <w:b/>
        </w:rPr>
      </w:pPr>
    </w:p>
    <w:p w:rsidR="00536DE3" w:rsidRDefault="00751818" w:rsidP="00536DE3">
      <w:pPr>
        <w:spacing w:line="480" w:lineRule="auto"/>
        <w:jc w:val="both"/>
        <w:rPr>
          <w:b/>
        </w:rPr>
      </w:pPr>
      <w:r>
        <w:rPr>
          <w:b/>
        </w:rPr>
        <w:t>REFERENCES</w:t>
      </w:r>
    </w:p>
    <w:p w:rsidR="00536DE3" w:rsidRDefault="00536DE3" w:rsidP="00536DE3">
      <w:pPr>
        <w:spacing w:line="480" w:lineRule="auto"/>
        <w:jc w:val="both"/>
        <w:rPr>
          <w:b/>
        </w:rPr>
      </w:pPr>
    </w:p>
    <w:p w:rsidR="00536DE3" w:rsidRDefault="00536DE3" w:rsidP="00536DE3">
      <w:pPr>
        <w:spacing w:line="480" w:lineRule="auto"/>
        <w:jc w:val="both"/>
      </w:pPr>
      <w:r>
        <w:t xml:space="preserve">ANDERSON, B (1983) </w:t>
      </w:r>
      <w:r w:rsidRPr="00815A06">
        <w:rPr>
          <w:i/>
        </w:rPr>
        <w:t>Imagined Communities</w:t>
      </w:r>
      <w:r>
        <w:t>, London: Verso.</w:t>
      </w:r>
    </w:p>
    <w:p w:rsidR="00536DE3" w:rsidRDefault="00536DE3" w:rsidP="00536DE3">
      <w:pPr>
        <w:spacing w:line="480" w:lineRule="auto"/>
        <w:jc w:val="both"/>
      </w:pPr>
    </w:p>
    <w:p w:rsidR="00536DE3" w:rsidRDefault="00536DE3" w:rsidP="00536DE3">
      <w:pPr>
        <w:spacing w:line="480" w:lineRule="auto"/>
        <w:jc w:val="both"/>
      </w:pPr>
      <w:r>
        <w:t xml:space="preserve">ATCHLEY, R </w:t>
      </w:r>
      <w:r w:rsidRPr="00D629D8">
        <w:t xml:space="preserve">C (1989).  'A Continuity Theory of Normal Aging'.  </w:t>
      </w:r>
      <w:r w:rsidRPr="00D629D8">
        <w:rPr>
          <w:i/>
        </w:rPr>
        <w:t>The Gerontologist</w:t>
      </w:r>
      <w:r w:rsidR="00815A06">
        <w:t>,</w:t>
      </w:r>
      <w:r w:rsidRPr="00D629D8">
        <w:t xml:space="preserve">  Vol. 29, No. 2, </w:t>
      </w:r>
      <w:r w:rsidR="00815A06">
        <w:t xml:space="preserve">p. </w:t>
      </w:r>
      <w:r w:rsidRPr="00D629D8">
        <w:t>183-190.</w:t>
      </w:r>
    </w:p>
    <w:p w:rsidR="00536DE3" w:rsidRDefault="00536DE3" w:rsidP="00536DE3">
      <w:pPr>
        <w:spacing w:line="480" w:lineRule="auto"/>
        <w:jc w:val="both"/>
      </w:pPr>
    </w:p>
    <w:p w:rsidR="00536DE3" w:rsidRDefault="00815A06" w:rsidP="00536DE3">
      <w:pPr>
        <w:spacing w:line="480" w:lineRule="auto"/>
        <w:jc w:val="both"/>
      </w:pPr>
      <w:r>
        <w:t>ATKINSON, R</w:t>
      </w:r>
      <w:r w:rsidR="00536DE3">
        <w:t xml:space="preserve"> (2000) 'Measuring gentrification and displacement in Greater London',</w:t>
      </w:r>
    </w:p>
    <w:p w:rsidR="00536DE3" w:rsidRDefault="00536DE3" w:rsidP="00536DE3">
      <w:pPr>
        <w:spacing w:line="480" w:lineRule="auto"/>
        <w:jc w:val="both"/>
      </w:pPr>
      <w:r w:rsidRPr="003D67DF">
        <w:rPr>
          <w:i/>
        </w:rPr>
        <w:t>Urban Studies</w:t>
      </w:r>
      <w:r>
        <w:t xml:space="preserve">, </w:t>
      </w:r>
      <w:r w:rsidR="00815A06">
        <w:t>Vol. 37, p.</w:t>
      </w:r>
      <w:r>
        <w:t xml:space="preserve"> 149–165.</w:t>
      </w:r>
    </w:p>
    <w:p w:rsidR="00536DE3" w:rsidRDefault="00536DE3" w:rsidP="00536DE3">
      <w:pPr>
        <w:spacing w:line="480" w:lineRule="auto"/>
        <w:jc w:val="both"/>
      </w:pPr>
    </w:p>
    <w:p w:rsidR="00536DE3" w:rsidRPr="00D629D8" w:rsidRDefault="00815A06" w:rsidP="00536DE3">
      <w:pPr>
        <w:spacing w:line="480" w:lineRule="auto"/>
        <w:jc w:val="both"/>
      </w:pPr>
      <w:r>
        <w:t>ATKINSON, R</w:t>
      </w:r>
      <w:r w:rsidR="00536DE3">
        <w:t xml:space="preserve"> et al. (2011) </w:t>
      </w:r>
      <w:r w:rsidR="00536DE3" w:rsidRPr="005C4227">
        <w:rPr>
          <w:i/>
        </w:rPr>
        <w:t>Gentrification and Displacement: the household impacts of neighbourhood change</w:t>
      </w:r>
      <w:r w:rsidR="00536DE3">
        <w:t>, AHURI Final Report 160, Melbourne: Australian Housing and Urban Research Institute.</w:t>
      </w:r>
    </w:p>
    <w:p w:rsidR="00536DE3" w:rsidRDefault="00536DE3" w:rsidP="00536DE3">
      <w:pPr>
        <w:spacing w:line="480" w:lineRule="auto"/>
        <w:jc w:val="both"/>
      </w:pPr>
    </w:p>
    <w:p w:rsidR="00536DE3" w:rsidRDefault="00536DE3" w:rsidP="00536DE3">
      <w:pPr>
        <w:spacing w:line="480" w:lineRule="auto"/>
        <w:jc w:val="both"/>
      </w:pPr>
      <w:r>
        <w:t xml:space="preserve">BALL, M (2006) </w:t>
      </w:r>
      <w:r w:rsidRPr="00815A06">
        <w:rPr>
          <w:i/>
          <w:iCs/>
        </w:rPr>
        <w:t>The Revolution: 10 years on, assessment and prospect</w:t>
      </w:r>
      <w:r>
        <w:t>, Association of Residential Letting Agents (ARLA)</w:t>
      </w:r>
    </w:p>
    <w:p w:rsidR="00536DE3" w:rsidRDefault="00536DE3" w:rsidP="00536DE3">
      <w:pPr>
        <w:spacing w:line="480" w:lineRule="auto"/>
        <w:jc w:val="both"/>
      </w:pPr>
    </w:p>
    <w:p w:rsidR="00536DE3" w:rsidRDefault="00815A06" w:rsidP="00536DE3">
      <w:pPr>
        <w:spacing w:line="480" w:lineRule="auto"/>
        <w:jc w:val="both"/>
      </w:pPr>
      <w:r>
        <w:t>BALL, M</w:t>
      </w:r>
      <w:r w:rsidR="00536DE3">
        <w:t xml:space="preserve"> (2010) </w:t>
      </w:r>
      <w:r w:rsidR="00536DE3" w:rsidRPr="00815A06">
        <w:rPr>
          <w:i/>
        </w:rPr>
        <w:t>The UK private rented sector as a source of affordable accommodation</w:t>
      </w:r>
      <w:r w:rsidR="00536DE3">
        <w:t>, Report for the Joseph Rowntree Foundation</w:t>
      </w:r>
    </w:p>
    <w:p w:rsidR="00536DE3" w:rsidRDefault="00536DE3" w:rsidP="00536DE3">
      <w:pPr>
        <w:spacing w:line="480" w:lineRule="auto"/>
        <w:jc w:val="both"/>
      </w:pPr>
    </w:p>
    <w:p w:rsidR="00536DE3" w:rsidRDefault="00536DE3" w:rsidP="00536DE3">
      <w:pPr>
        <w:spacing w:line="480" w:lineRule="auto"/>
        <w:jc w:val="both"/>
      </w:pPr>
      <w:r>
        <w:t xml:space="preserve">BAUMANN, Z (1996) ‘From Pilgrim to Tourist - or a Short History of Identity', in Stuart Hall and Paul du Gay </w:t>
      </w:r>
      <w:r w:rsidR="00815A06">
        <w:t>(E</w:t>
      </w:r>
      <w:r>
        <w:t>ds.</w:t>
      </w:r>
      <w:r w:rsidR="00815A06">
        <w:t>)</w:t>
      </w:r>
      <w:r>
        <w:t xml:space="preserve">, </w:t>
      </w:r>
      <w:r>
        <w:rPr>
          <w:i/>
        </w:rPr>
        <w:t>Questions of Cultural Identity</w:t>
      </w:r>
      <w:r w:rsidR="00815A06">
        <w:t>,</w:t>
      </w:r>
      <w:r>
        <w:t xml:space="preserve"> London: Sage.</w:t>
      </w:r>
    </w:p>
    <w:p w:rsidR="00536DE3" w:rsidRDefault="00536DE3" w:rsidP="00536DE3">
      <w:pPr>
        <w:spacing w:line="480" w:lineRule="auto"/>
        <w:jc w:val="both"/>
      </w:pPr>
    </w:p>
    <w:p w:rsidR="00536DE3" w:rsidRDefault="00536DE3" w:rsidP="00536DE3">
      <w:pPr>
        <w:spacing w:line="480" w:lineRule="auto"/>
        <w:jc w:val="both"/>
      </w:pPr>
      <w:r>
        <w:t xml:space="preserve">BOWLBY, J (1988) </w:t>
      </w:r>
      <w:r w:rsidRPr="00B531EA">
        <w:rPr>
          <w:i/>
        </w:rPr>
        <w:t>A Secure Base: Clinical Applications of Attachment Theory</w:t>
      </w:r>
      <w:r>
        <w:t>,</w:t>
      </w:r>
      <w:r w:rsidRPr="00B531EA">
        <w:t xml:space="preserve"> London</w:t>
      </w:r>
      <w:r>
        <w:t>:</w:t>
      </w:r>
      <w:r w:rsidRPr="00B531EA">
        <w:t xml:space="preserve"> Routledge.</w:t>
      </w:r>
    </w:p>
    <w:p w:rsidR="00536DE3" w:rsidRDefault="00536DE3" w:rsidP="00536DE3">
      <w:pPr>
        <w:spacing w:line="480" w:lineRule="auto"/>
        <w:jc w:val="both"/>
      </w:pPr>
    </w:p>
    <w:p w:rsidR="00536DE3" w:rsidRDefault="00536DE3" w:rsidP="00536DE3">
      <w:pPr>
        <w:spacing w:line="480" w:lineRule="auto"/>
        <w:jc w:val="both"/>
      </w:pPr>
      <w:r>
        <w:t xml:space="preserve">BURROWS, R. (1999) Residential Mobility and Residualisation in Social Housing in England, </w:t>
      </w:r>
      <w:r>
        <w:rPr>
          <w:i/>
        </w:rPr>
        <w:t>Journal of Social Policy</w:t>
      </w:r>
      <w:r>
        <w:t>, 28, 27-52</w:t>
      </w:r>
      <w:r w:rsidR="00815A06">
        <w:t>.</w:t>
      </w:r>
    </w:p>
    <w:p w:rsidR="00536DE3" w:rsidRDefault="00536DE3" w:rsidP="00536DE3">
      <w:pPr>
        <w:spacing w:line="480" w:lineRule="auto"/>
        <w:jc w:val="both"/>
      </w:pPr>
    </w:p>
    <w:p w:rsidR="00536DE3" w:rsidRDefault="00815A06" w:rsidP="00536DE3">
      <w:pPr>
        <w:spacing w:line="480" w:lineRule="auto"/>
        <w:jc w:val="both"/>
        <w:rPr>
          <w:bCs/>
        </w:rPr>
      </w:pPr>
      <w:r>
        <w:t>CATALANO, R</w:t>
      </w:r>
      <w:r w:rsidR="00536DE3">
        <w:t xml:space="preserve"> </w:t>
      </w:r>
      <w:r w:rsidR="00536DE3">
        <w:rPr>
          <w:bCs/>
        </w:rPr>
        <w:t>(1991)</w:t>
      </w:r>
      <w:r w:rsidR="00536DE3">
        <w:rPr>
          <w:b/>
          <w:bCs/>
        </w:rPr>
        <w:t xml:space="preserve"> </w:t>
      </w:r>
      <w:r w:rsidR="00536DE3">
        <w:t xml:space="preserve">The Health Effects of Economic Insecurity, </w:t>
      </w:r>
      <w:r w:rsidR="00536DE3">
        <w:rPr>
          <w:bCs/>
          <w:i/>
          <w:iCs/>
        </w:rPr>
        <w:t>Am. J. Public Health</w:t>
      </w:r>
      <w:r w:rsidR="00536DE3">
        <w:t xml:space="preserve">, </w:t>
      </w:r>
      <w:r>
        <w:t xml:space="preserve">Vol </w:t>
      </w:r>
      <w:r>
        <w:rPr>
          <w:bCs/>
        </w:rPr>
        <w:t>81,</w:t>
      </w:r>
      <w:r w:rsidR="00536DE3">
        <w:rPr>
          <w:bCs/>
        </w:rPr>
        <w:t xml:space="preserve"> p. 1148-52</w:t>
      </w:r>
      <w:r>
        <w:rPr>
          <w:bCs/>
        </w:rPr>
        <w:t>.</w:t>
      </w:r>
    </w:p>
    <w:p w:rsidR="00536DE3" w:rsidRDefault="00536DE3" w:rsidP="00536DE3">
      <w:pPr>
        <w:spacing w:line="480" w:lineRule="auto"/>
        <w:jc w:val="both"/>
        <w:rPr>
          <w:bCs/>
        </w:rPr>
      </w:pPr>
    </w:p>
    <w:p w:rsidR="00536DE3" w:rsidRDefault="00815A06" w:rsidP="00536DE3">
      <w:pPr>
        <w:spacing w:line="480" w:lineRule="auto"/>
        <w:jc w:val="both"/>
        <w:rPr>
          <w:bCs/>
        </w:rPr>
      </w:pPr>
      <w:r>
        <w:rPr>
          <w:bCs/>
        </w:rPr>
        <w:t>CONGDON, P</w:t>
      </w:r>
      <w:r w:rsidR="00536DE3">
        <w:rPr>
          <w:bCs/>
        </w:rPr>
        <w:t xml:space="preserve"> (2011) Explaining the Spatial Pattern of Suicide and Self-Harm Rates: A Case Study of East and South East England, </w:t>
      </w:r>
      <w:r w:rsidR="00536DE3">
        <w:rPr>
          <w:bCs/>
          <w:i/>
        </w:rPr>
        <w:t>Applied Spatial Analysis</w:t>
      </w:r>
      <w:r w:rsidR="00536DE3">
        <w:rPr>
          <w:bCs/>
        </w:rPr>
        <w:t xml:space="preserve">, </w:t>
      </w:r>
      <w:r>
        <w:rPr>
          <w:bCs/>
        </w:rPr>
        <w:t>Vol. 4, p. 23-</w:t>
      </w:r>
      <w:r w:rsidR="00536DE3">
        <w:rPr>
          <w:bCs/>
        </w:rPr>
        <w:t>43</w:t>
      </w:r>
      <w:r>
        <w:rPr>
          <w:bCs/>
        </w:rPr>
        <w:t>.</w:t>
      </w:r>
    </w:p>
    <w:p w:rsidR="00536DE3" w:rsidRDefault="00536DE3" w:rsidP="00536DE3">
      <w:pPr>
        <w:spacing w:line="480" w:lineRule="auto"/>
        <w:jc w:val="both"/>
        <w:rPr>
          <w:bCs/>
        </w:rPr>
      </w:pPr>
    </w:p>
    <w:p w:rsidR="00536DE3" w:rsidRDefault="00815A06" w:rsidP="00536DE3">
      <w:pPr>
        <w:spacing w:line="480" w:lineRule="auto"/>
        <w:jc w:val="both"/>
        <w:rPr>
          <w:bCs/>
        </w:rPr>
      </w:pPr>
      <w:r>
        <w:rPr>
          <w:bCs/>
        </w:rPr>
        <w:t>CSIKSZENTMIHALYI, M</w:t>
      </w:r>
      <w:r w:rsidR="00536DE3">
        <w:rPr>
          <w:bCs/>
        </w:rPr>
        <w:t xml:space="preserve"> </w:t>
      </w:r>
      <w:r w:rsidR="00E515AC">
        <w:rPr>
          <w:bCs/>
        </w:rPr>
        <w:t>(1975</w:t>
      </w:r>
      <w:r>
        <w:rPr>
          <w:bCs/>
        </w:rPr>
        <w:t xml:space="preserve">) </w:t>
      </w:r>
      <w:r w:rsidR="00536DE3">
        <w:rPr>
          <w:bCs/>
          <w:i/>
        </w:rPr>
        <w:t>Beyond Boredom and Anxiety: experiencing flow in work and play</w:t>
      </w:r>
      <w:r w:rsidR="00536DE3">
        <w:rPr>
          <w:bCs/>
        </w:rPr>
        <w:t>, San Francisco: Jossey-Bass</w:t>
      </w:r>
      <w:r w:rsidR="00E515AC">
        <w:rPr>
          <w:bCs/>
        </w:rPr>
        <w:t>.</w:t>
      </w:r>
    </w:p>
    <w:p w:rsidR="00536DE3" w:rsidRDefault="00536DE3" w:rsidP="00536DE3">
      <w:pPr>
        <w:spacing w:line="480" w:lineRule="auto"/>
        <w:jc w:val="both"/>
        <w:rPr>
          <w:bCs/>
        </w:rPr>
      </w:pPr>
    </w:p>
    <w:p w:rsidR="00536DE3" w:rsidRDefault="00E515AC" w:rsidP="00536DE3">
      <w:pPr>
        <w:spacing w:line="480" w:lineRule="auto"/>
        <w:jc w:val="both"/>
      </w:pPr>
      <w:r>
        <w:t>DURKHEIM, E (1965)</w:t>
      </w:r>
      <w:r w:rsidR="00536DE3">
        <w:t xml:space="preserve"> </w:t>
      </w:r>
      <w:r w:rsidR="00536DE3">
        <w:rPr>
          <w:i/>
        </w:rPr>
        <w:t>The Elementary Forms of the Religious Life</w:t>
      </w:r>
      <w:r w:rsidR="00536DE3">
        <w:t>, New York: Free Press</w:t>
      </w:r>
      <w:r>
        <w:t>.</w:t>
      </w:r>
    </w:p>
    <w:p w:rsidR="00536DE3" w:rsidRDefault="00536DE3" w:rsidP="00536DE3">
      <w:pPr>
        <w:spacing w:line="480" w:lineRule="auto"/>
        <w:jc w:val="both"/>
      </w:pPr>
    </w:p>
    <w:p w:rsidR="00536DE3" w:rsidRDefault="00E515AC" w:rsidP="00536DE3">
      <w:pPr>
        <w:spacing w:line="480" w:lineRule="auto"/>
        <w:jc w:val="both"/>
      </w:pPr>
      <w:r>
        <w:t>ELIAS, N</w:t>
      </w:r>
      <w:r w:rsidR="00536DE3">
        <w:t xml:space="preserve"> (1939) </w:t>
      </w:r>
      <w:r w:rsidR="00536DE3">
        <w:rPr>
          <w:i/>
        </w:rPr>
        <w:t>The Civilising Process 1</w:t>
      </w:r>
      <w:r w:rsidR="00536DE3">
        <w:t>, Oxford: Blackwell.</w:t>
      </w:r>
    </w:p>
    <w:p w:rsidR="00536DE3" w:rsidRDefault="00536DE3" w:rsidP="00536DE3">
      <w:pPr>
        <w:spacing w:line="480" w:lineRule="auto"/>
        <w:jc w:val="both"/>
      </w:pPr>
    </w:p>
    <w:p w:rsidR="00536DE3" w:rsidRDefault="00E515AC" w:rsidP="00536DE3">
      <w:pPr>
        <w:spacing w:line="480" w:lineRule="auto"/>
        <w:jc w:val="both"/>
      </w:pPr>
      <w:r>
        <w:t>ELLIOTT, A and Urry, J</w:t>
      </w:r>
      <w:r w:rsidR="00536DE3">
        <w:t xml:space="preserve"> (2010) </w:t>
      </w:r>
      <w:r w:rsidR="00536DE3">
        <w:rPr>
          <w:i/>
          <w:iCs/>
        </w:rPr>
        <w:t xml:space="preserve">Mobile Lives, </w:t>
      </w:r>
      <w:r w:rsidR="00536DE3">
        <w:t>London: Routledge.</w:t>
      </w:r>
    </w:p>
    <w:p w:rsidR="00536DE3" w:rsidRDefault="00536DE3" w:rsidP="00536DE3">
      <w:pPr>
        <w:spacing w:line="480" w:lineRule="auto"/>
        <w:jc w:val="both"/>
      </w:pPr>
    </w:p>
    <w:p w:rsidR="00536DE3" w:rsidRDefault="00E515AC" w:rsidP="00536DE3">
      <w:pPr>
        <w:autoSpaceDE w:val="0"/>
        <w:autoSpaceDN w:val="0"/>
        <w:adjustRightInd w:val="0"/>
        <w:spacing w:line="480" w:lineRule="auto"/>
      </w:pPr>
      <w:r>
        <w:t>ENGELS, F</w:t>
      </w:r>
      <w:r w:rsidR="00536DE3">
        <w:t xml:space="preserve"> (1844) </w:t>
      </w:r>
      <w:r w:rsidR="00536DE3">
        <w:rPr>
          <w:i/>
        </w:rPr>
        <w:t xml:space="preserve">The Condition of the Working Class in England, </w:t>
      </w:r>
      <w:r w:rsidR="00536DE3">
        <w:t>Oxford: Oxford University Press.</w:t>
      </w:r>
    </w:p>
    <w:p w:rsidR="00536DE3" w:rsidRDefault="00536DE3" w:rsidP="00536DE3">
      <w:pPr>
        <w:autoSpaceDE w:val="0"/>
        <w:autoSpaceDN w:val="0"/>
        <w:adjustRightInd w:val="0"/>
        <w:spacing w:line="480" w:lineRule="auto"/>
      </w:pPr>
    </w:p>
    <w:p w:rsidR="00536DE3" w:rsidRDefault="00E515AC" w:rsidP="00536DE3">
      <w:pPr>
        <w:autoSpaceDE w:val="0"/>
        <w:autoSpaceDN w:val="0"/>
        <w:adjustRightInd w:val="0"/>
        <w:spacing w:line="480" w:lineRule="auto"/>
      </w:pPr>
      <w:r>
        <w:t>FEATHERSTONE, M</w:t>
      </w:r>
      <w:r w:rsidR="00536DE3">
        <w:t xml:space="preserve"> (1991) </w:t>
      </w:r>
      <w:r w:rsidR="00536DE3">
        <w:rPr>
          <w:i/>
          <w:iCs/>
        </w:rPr>
        <w:t xml:space="preserve">Consumer Culture and Postmodernism, </w:t>
      </w:r>
      <w:r w:rsidR="00536DE3">
        <w:t>London: Sage.</w:t>
      </w:r>
    </w:p>
    <w:p w:rsidR="00536DE3" w:rsidRDefault="00536DE3" w:rsidP="00536DE3">
      <w:pPr>
        <w:autoSpaceDE w:val="0"/>
        <w:autoSpaceDN w:val="0"/>
        <w:adjustRightInd w:val="0"/>
        <w:spacing w:line="480" w:lineRule="auto"/>
      </w:pPr>
    </w:p>
    <w:p w:rsidR="00536DE3" w:rsidRDefault="00536DE3" w:rsidP="00536DE3">
      <w:pPr>
        <w:autoSpaceDE w:val="0"/>
        <w:autoSpaceDN w:val="0"/>
        <w:adjustRightInd w:val="0"/>
        <w:spacing w:line="480" w:lineRule="auto"/>
      </w:pPr>
      <w:r>
        <w:t>FITZPATRI</w:t>
      </w:r>
      <w:r w:rsidR="00E515AC">
        <w:t>CK, S and Pawson, H</w:t>
      </w:r>
      <w:r>
        <w:t xml:space="preserve"> (2013)</w:t>
      </w:r>
      <w:r w:rsidRPr="004A6EBB">
        <w:t xml:space="preserve"> Ending Security of</w:t>
      </w:r>
      <w:r w:rsidR="00E515AC">
        <w:t xml:space="preserve"> </w:t>
      </w:r>
      <w:r w:rsidRPr="004A6EBB">
        <w:t>Tenure for Social Renters: Transitioning to ‘Ambulance Service’ S</w:t>
      </w:r>
      <w:r>
        <w:t xml:space="preserve">ocial Housing?, </w:t>
      </w:r>
      <w:r w:rsidRPr="004A6EBB">
        <w:rPr>
          <w:i/>
        </w:rPr>
        <w:t>Housing Studies</w:t>
      </w:r>
      <w:r>
        <w:t>, June, p. 1-19</w:t>
      </w:r>
      <w:r w:rsidR="00E515AC">
        <w:t>.</w:t>
      </w:r>
    </w:p>
    <w:p w:rsidR="00536DE3" w:rsidRDefault="00536DE3" w:rsidP="00536DE3">
      <w:pPr>
        <w:autoSpaceDE w:val="0"/>
        <w:autoSpaceDN w:val="0"/>
        <w:adjustRightInd w:val="0"/>
        <w:spacing w:line="480" w:lineRule="auto"/>
      </w:pPr>
    </w:p>
    <w:p w:rsidR="00536DE3" w:rsidRDefault="00E515AC" w:rsidP="00536DE3">
      <w:pPr>
        <w:autoSpaceDE w:val="0"/>
        <w:autoSpaceDN w:val="0"/>
        <w:adjustRightInd w:val="0"/>
        <w:spacing w:line="480" w:lineRule="auto"/>
      </w:pPr>
      <w:r>
        <w:t>FRANCIS, M</w:t>
      </w:r>
      <w:r w:rsidR="00536DE3">
        <w:t xml:space="preserve"> (1997) </w:t>
      </w:r>
      <w:r w:rsidR="00536DE3">
        <w:rPr>
          <w:i/>
        </w:rPr>
        <w:t>Ideas and Policies under Labour 1945–51</w:t>
      </w:r>
      <w:r w:rsidR="00536DE3">
        <w:t>, Manchester: Manchester University Press.</w:t>
      </w:r>
    </w:p>
    <w:p w:rsidR="00536DE3" w:rsidRDefault="00536DE3" w:rsidP="00536DE3">
      <w:pPr>
        <w:autoSpaceDE w:val="0"/>
        <w:autoSpaceDN w:val="0"/>
        <w:adjustRightInd w:val="0"/>
        <w:spacing w:line="480" w:lineRule="auto"/>
      </w:pPr>
    </w:p>
    <w:p w:rsidR="00536DE3" w:rsidRDefault="00E515AC" w:rsidP="00536DE3">
      <w:pPr>
        <w:autoSpaceDE w:val="0"/>
        <w:autoSpaceDN w:val="0"/>
        <w:adjustRightInd w:val="0"/>
        <w:spacing w:line="480" w:lineRule="auto"/>
      </w:pPr>
      <w:r>
        <w:t>FRANKS, D</w:t>
      </w:r>
      <w:r w:rsidR="00536DE3">
        <w:t xml:space="preserve"> (2010) </w:t>
      </w:r>
      <w:r w:rsidR="00536DE3">
        <w:rPr>
          <w:i/>
        </w:rPr>
        <w:t xml:space="preserve">Neurosociology: The Nexus between </w:t>
      </w:r>
      <w:r w:rsidR="00065234">
        <w:rPr>
          <w:i/>
        </w:rPr>
        <w:t>Neuroscience</w:t>
      </w:r>
      <w:r w:rsidR="00536DE3">
        <w:rPr>
          <w:i/>
        </w:rPr>
        <w:t xml:space="preserve"> and Social Psychology</w:t>
      </w:r>
      <w:r w:rsidR="00536DE3">
        <w:t>, New York: Springer</w:t>
      </w:r>
    </w:p>
    <w:p w:rsidR="00536DE3" w:rsidRDefault="00536DE3" w:rsidP="00536DE3">
      <w:pPr>
        <w:autoSpaceDE w:val="0"/>
        <w:autoSpaceDN w:val="0"/>
        <w:adjustRightInd w:val="0"/>
        <w:spacing w:line="480" w:lineRule="auto"/>
      </w:pPr>
    </w:p>
    <w:p w:rsidR="00536DE3" w:rsidRDefault="00E515AC" w:rsidP="00536DE3">
      <w:pPr>
        <w:autoSpaceDE w:val="0"/>
        <w:autoSpaceDN w:val="0"/>
        <w:adjustRightInd w:val="0"/>
        <w:spacing w:line="480" w:lineRule="auto"/>
      </w:pPr>
      <w:r>
        <w:t>FREDRICKSON, B L and Branigan, C A (2005)</w:t>
      </w:r>
      <w:r w:rsidR="00536DE3">
        <w:t xml:space="preserve"> Positive emotions broaden the scope of attention and thought-action repertoires, </w:t>
      </w:r>
      <w:r w:rsidR="00536DE3">
        <w:rPr>
          <w:i/>
        </w:rPr>
        <w:t>Cognition and Emotion</w:t>
      </w:r>
      <w:r w:rsidR="00536DE3">
        <w:t xml:space="preserve">, </w:t>
      </w:r>
      <w:r>
        <w:t>Vol. 19,</w:t>
      </w:r>
      <w:r w:rsidR="00536DE3">
        <w:t xml:space="preserve"> p.313–332.</w:t>
      </w:r>
    </w:p>
    <w:p w:rsidR="00536DE3" w:rsidRDefault="00536DE3" w:rsidP="00536DE3">
      <w:pPr>
        <w:autoSpaceDE w:val="0"/>
        <w:autoSpaceDN w:val="0"/>
        <w:adjustRightInd w:val="0"/>
        <w:spacing w:line="480" w:lineRule="auto"/>
      </w:pPr>
    </w:p>
    <w:p w:rsidR="00536DE3" w:rsidRDefault="00E515AC" w:rsidP="00536DE3">
      <w:pPr>
        <w:spacing w:line="480" w:lineRule="auto"/>
        <w:jc w:val="both"/>
      </w:pPr>
      <w:r>
        <w:t>GIDDENS, A</w:t>
      </w:r>
      <w:r w:rsidR="00536DE3">
        <w:t xml:space="preserve"> (1991) </w:t>
      </w:r>
      <w:r w:rsidR="00536DE3">
        <w:rPr>
          <w:i/>
        </w:rPr>
        <w:t>Modernity and Self-Identity. Self and Society in the Late Modern Age</w:t>
      </w:r>
      <w:r w:rsidR="00536DE3">
        <w:t>, Cambridge: Polity.</w:t>
      </w:r>
    </w:p>
    <w:p w:rsidR="00536DE3" w:rsidRDefault="00536DE3" w:rsidP="00536DE3">
      <w:pPr>
        <w:spacing w:line="480" w:lineRule="auto"/>
        <w:jc w:val="both"/>
      </w:pPr>
    </w:p>
    <w:p w:rsidR="00536DE3" w:rsidRDefault="00E515AC" w:rsidP="00536DE3">
      <w:pPr>
        <w:spacing w:line="480" w:lineRule="auto"/>
        <w:jc w:val="both"/>
      </w:pPr>
      <w:r>
        <w:t>GLYNN, S (E</w:t>
      </w:r>
      <w:r w:rsidR="00536DE3">
        <w:t xml:space="preserve">d) (2009) </w:t>
      </w:r>
      <w:r w:rsidR="00536DE3">
        <w:rPr>
          <w:i/>
        </w:rPr>
        <w:t>Where the Other Half Lives: lower income housing in a neoliberal world,</w:t>
      </w:r>
      <w:r w:rsidR="00536DE3">
        <w:t xml:space="preserve">  London: Pluto Press.</w:t>
      </w:r>
    </w:p>
    <w:p w:rsidR="00536DE3" w:rsidRDefault="00536DE3" w:rsidP="00536DE3">
      <w:pPr>
        <w:spacing w:line="480" w:lineRule="auto"/>
        <w:jc w:val="both"/>
      </w:pPr>
    </w:p>
    <w:p w:rsidR="00536DE3" w:rsidRDefault="00536DE3" w:rsidP="00536DE3">
      <w:pPr>
        <w:spacing w:line="480" w:lineRule="auto"/>
        <w:jc w:val="both"/>
      </w:pPr>
      <w:r>
        <w:t>GR</w:t>
      </w:r>
      <w:r w:rsidR="00E515AC">
        <w:t>EEN, S</w:t>
      </w:r>
      <w:r>
        <w:t xml:space="preserve"> (1979) </w:t>
      </w:r>
      <w:r>
        <w:rPr>
          <w:i/>
        </w:rPr>
        <w:t>Rachman</w:t>
      </w:r>
      <w:r>
        <w:t>, London: Michael Joseph.</w:t>
      </w:r>
    </w:p>
    <w:p w:rsidR="00536DE3" w:rsidRDefault="00536DE3" w:rsidP="00536DE3">
      <w:pPr>
        <w:spacing w:line="480" w:lineRule="auto"/>
        <w:jc w:val="both"/>
      </w:pPr>
    </w:p>
    <w:p w:rsidR="00536DE3" w:rsidRDefault="00E515AC" w:rsidP="00536DE3">
      <w:pPr>
        <w:spacing w:line="480" w:lineRule="auto"/>
        <w:jc w:val="both"/>
      </w:pPr>
      <w:r>
        <w:t>GREENHALGH, S and Moss</w:t>
      </w:r>
      <w:r w:rsidR="00536DE3">
        <w:t xml:space="preserve">, J (2009) </w:t>
      </w:r>
      <w:r w:rsidR="00536DE3">
        <w:rPr>
          <w:i/>
        </w:rPr>
        <w:t>Principles for Social Housing Reform</w:t>
      </w:r>
      <w:r w:rsidR="00536DE3">
        <w:t xml:space="preserve">, Localis: </w:t>
      </w:r>
      <w:hyperlink r:id="rId2" w:history="1">
        <w:r w:rsidR="00536DE3">
          <w:rPr>
            <w:rStyle w:val="Hyperlink"/>
          </w:rPr>
          <w:t>http://www.localis.org.uk</w:t>
        </w:r>
      </w:hyperlink>
    </w:p>
    <w:p w:rsidR="00536DE3" w:rsidRDefault="00536DE3" w:rsidP="00536DE3">
      <w:pPr>
        <w:spacing w:line="480" w:lineRule="auto"/>
        <w:jc w:val="both"/>
      </w:pPr>
    </w:p>
    <w:p w:rsidR="00536DE3" w:rsidRPr="00BC2B54" w:rsidRDefault="00536DE3" w:rsidP="00536DE3">
      <w:pPr>
        <w:spacing w:line="480" w:lineRule="auto"/>
        <w:jc w:val="both"/>
        <w:rPr>
          <w:bCs/>
        </w:rPr>
      </w:pPr>
      <w:r w:rsidRPr="00BC2B54">
        <w:rPr>
          <w:bCs/>
        </w:rPr>
        <w:t xml:space="preserve">HARVEY, D (2005) </w:t>
      </w:r>
      <w:r w:rsidRPr="00BC2B54">
        <w:rPr>
          <w:bCs/>
          <w:i/>
        </w:rPr>
        <w:t>A Brief History of Neoliberalism</w:t>
      </w:r>
      <w:r w:rsidRPr="00BC2B54">
        <w:rPr>
          <w:bCs/>
        </w:rPr>
        <w:t>, Oxford: Oxford University Press.</w:t>
      </w:r>
    </w:p>
    <w:p w:rsidR="00536DE3" w:rsidRDefault="00536DE3" w:rsidP="00536DE3">
      <w:pPr>
        <w:spacing w:line="480" w:lineRule="auto"/>
        <w:jc w:val="both"/>
      </w:pPr>
    </w:p>
    <w:p w:rsidR="00536DE3" w:rsidRDefault="00E515AC" w:rsidP="00536DE3">
      <w:pPr>
        <w:spacing w:line="480" w:lineRule="auto"/>
        <w:jc w:val="both"/>
      </w:pPr>
      <w:r>
        <w:t>HUGHES, D and Lowe, S</w:t>
      </w:r>
      <w:r w:rsidR="00536DE3">
        <w:t xml:space="preserve"> (2007) </w:t>
      </w:r>
      <w:r w:rsidR="00536DE3">
        <w:rPr>
          <w:i/>
        </w:rPr>
        <w:t>The Private rented Housing Market: Regulation or Deregulation</w:t>
      </w:r>
      <w:r>
        <w:t>?</w:t>
      </w:r>
      <w:r w:rsidR="00536DE3">
        <w:t xml:space="preserve"> Aldershot: Ashgate.</w:t>
      </w:r>
    </w:p>
    <w:p w:rsidR="00536DE3" w:rsidRDefault="00536DE3" w:rsidP="00536DE3">
      <w:pPr>
        <w:spacing w:line="480" w:lineRule="auto"/>
        <w:jc w:val="both"/>
      </w:pPr>
    </w:p>
    <w:p w:rsidR="00536DE3" w:rsidRDefault="00E515AC" w:rsidP="00536DE3">
      <w:pPr>
        <w:spacing w:line="480" w:lineRule="auto"/>
        <w:jc w:val="both"/>
      </w:pPr>
      <w:r>
        <w:t>JONES, P and Evans, J</w:t>
      </w:r>
      <w:r w:rsidR="00536DE3">
        <w:t xml:space="preserve"> (2012) Rescue Geography: Place Making, Affect and Regeneration, Urban Studies, </w:t>
      </w:r>
      <w:r>
        <w:t>Vol. 49</w:t>
      </w:r>
      <w:r w:rsidR="00536DE3">
        <w:t>, July.</w:t>
      </w:r>
    </w:p>
    <w:p w:rsidR="00536DE3" w:rsidRDefault="00536DE3" w:rsidP="00536DE3">
      <w:pPr>
        <w:spacing w:line="480" w:lineRule="auto"/>
        <w:jc w:val="both"/>
      </w:pPr>
    </w:p>
    <w:p w:rsidR="00536DE3" w:rsidRDefault="00E515AC" w:rsidP="00536DE3">
      <w:pPr>
        <w:spacing w:line="480" w:lineRule="auto"/>
        <w:jc w:val="both"/>
        <w:rPr>
          <w:iCs/>
        </w:rPr>
      </w:pPr>
      <w:r>
        <w:t>KEMP, P and Kofner, S</w:t>
      </w:r>
      <w:r w:rsidR="00536DE3">
        <w:t xml:space="preserve"> (2010) Contrasting Varieties of Private Renting: England and Germany, </w:t>
      </w:r>
      <w:r w:rsidR="00536DE3">
        <w:rPr>
          <w:i/>
          <w:iCs/>
        </w:rPr>
        <w:t xml:space="preserve">International Journal of Housing Policy, </w:t>
      </w:r>
      <w:r>
        <w:rPr>
          <w:iCs/>
        </w:rPr>
        <w:t>Vol. 10, Issue</w:t>
      </w:r>
      <w:r w:rsidR="00536DE3">
        <w:rPr>
          <w:iCs/>
        </w:rPr>
        <w:t xml:space="preserve"> 4, </w:t>
      </w:r>
      <w:r>
        <w:rPr>
          <w:iCs/>
        </w:rPr>
        <w:t>p. 379–398</w:t>
      </w:r>
      <w:r w:rsidR="00536DE3">
        <w:rPr>
          <w:iCs/>
        </w:rPr>
        <w:t>.</w:t>
      </w:r>
    </w:p>
    <w:p w:rsidR="00536DE3" w:rsidRDefault="00536DE3" w:rsidP="00536DE3">
      <w:pPr>
        <w:spacing w:line="480" w:lineRule="auto"/>
        <w:jc w:val="both"/>
        <w:rPr>
          <w:iCs/>
        </w:rPr>
      </w:pPr>
    </w:p>
    <w:p w:rsidR="00536DE3" w:rsidRDefault="00E515AC" w:rsidP="00536DE3">
      <w:pPr>
        <w:spacing w:line="480" w:lineRule="auto"/>
        <w:jc w:val="both"/>
        <w:rPr>
          <w:iCs/>
        </w:rPr>
      </w:pPr>
      <w:r>
        <w:rPr>
          <w:iCs/>
        </w:rPr>
        <w:t>LANSLEY, S</w:t>
      </w:r>
      <w:r w:rsidR="00536DE3">
        <w:rPr>
          <w:iCs/>
        </w:rPr>
        <w:t xml:space="preserve"> (2011), </w:t>
      </w:r>
      <w:r w:rsidR="00536DE3">
        <w:rPr>
          <w:i/>
          <w:iCs/>
        </w:rPr>
        <w:t>Britain’s Livelihood Crisis</w:t>
      </w:r>
      <w:r w:rsidR="00536DE3">
        <w:rPr>
          <w:iCs/>
        </w:rPr>
        <w:t xml:space="preserve">. Touchstone No. 10 (TUC)  </w:t>
      </w:r>
    </w:p>
    <w:p w:rsidR="00536DE3" w:rsidRDefault="00C3703C" w:rsidP="00536DE3">
      <w:pPr>
        <w:spacing w:line="480" w:lineRule="auto"/>
        <w:jc w:val="both"/>
        <w:rPr>
          <w:iCs/>
        </w:rPr>
      </w:pPr>
      <w:hyperlink r:id="rId3" w:history="1">
        <w:r w:rsidR="00536DE3">
          <w:rPr>
            <w:rStyle w:val="Hyperlink"/>
            <w:iCs/>
          </w:rPr>
          <w:t>http://www.tuc.org.uk/economy/tuc-19639-f0.pdf</w:t>
        </w:r>
      </w:hyperlink>
    </w:p>
    <w:p w:rsidR="00536DE3" w:rsidRDefault="00536DE3" w:rsidP="00536DE3">
      <w:pPr>
        <w:spacing w:line="480" w:lineRule="auto"/>
        <w:jc w:val="both"/>
        <w:rPr>
          <w:iCs/>
        </w:rPr>
      </w:pPr>
    </w:p>
    <w:p w:rsidR="00536DE3" w:rsidRDefault="00E515AC" w:rsidP="00536DE3">
      <w:pPr>
        <w:spacing w:line="480" w:lineRule="auto"/>
        <w:jc w:val="both"/>
      </w:pPr>
      <w:r>
        <w:t>LEDERBOGEN, F et al</w:t>
      </w:r>
      <w:r w:rsidR="00536DE3">
        <w:t xml:space="preserve"> (2011) City living and urban upbringing impact neural </w:t>
      </w:r>
    </w:p>
    <w:p w:rsidR="00536DE3" w:rsidRDefault="00536DE3" w:rsidP="00536DE3">
      <w:pPr>
        <w:spacing w:line="480" w:lineRule="auto"/>
        <w:jc w:val="both"/>
      </w:pPr>
      <w:r>
        <w:t>soc</w:t>
      </w:r>
      <w:r w:rsidR="00E515AC">
        <w:t>ial stress processing in humans,</w:t>
      </w:r>
      <w:r>
        <w:t xml:space="preserve"> </w:t>
      </w:r>
      <w:r>
        <w:rPr>
          <w:i/>
        </w:rPr>
        <w:t>Nature</w:t>
      </w:r>
      <w:r>
        <w:t xml:space="preserve"> 474, p. 498–501.</w:t>
      </w:r>
    </w:p>
    <w:p w:rsidR="00536DE3" w:rsidRDefault="00536DE3" w:rsidP="00536DE3">
      <w:pPr>
        <w:spacing w:line="480" w:lineRule="auto"/>
        <w:jc w:val="both"/>
      </w:pPr>
    </w:p>
    <w:p w:rsidR="00536DE3" w:rsidRDefault="00E515AC" w:rsidP="00536DE3">
      <w:pPr>
        <w:spacing w:line="480" w:lineRule="auto"/>
        <w:jc w:val="both"/>
      </w:pPr>
      <w:r>
        <w:t>LEDOUX, J</w:t>
      </w:r>
      <w:r w:rsidR="00536DE3">
        <w:t xml:space="preserve"> (1998) </w:t>
      </w:r>
      <w:r w:rsidR="00536DE3">
        <w:rPr>
          <w:i/>
        </w:rPr>
        <w:t>The Emotional Brain</w:t>
      </w:r>
      <w:r w:rsidR="00536DE3">
        <w:t>, New York: Simon and Schuster.</w:t>
      </w:r>
    </w:p>
    <w:p w:rsidR="00536DE3" w:rsidRDefault="00536DE3" w:rsidP="00536DE3">
      <w:pPr>
        <w:spacing w:line="480" w:lineRule="auto"/>
        <w:jc w:val="both"/>
      </w:pPr>
    </w:p>
    <w:p w:rsidR="00536DE3" w:rsidRDefault="00E515AC" w:rsidP="00536DE3">
      <w:pPr>
        <w:spacing w:line="480" w:lineRule="auto"/>
        <w:jc w:val="both"/>
      </w:pPr>
      <w:r>
        <w:t>LEYSHON, A and French, S</w:t>
      </w:r>
      <w:r w:rsidR="00536DE3">
        <w:t xml:space="preserve"> (2009) ‘We all live in a Robbie Fowler house’: The geographies of the </w:t>
      </w:r>
      <w:r w:rsidR="00F424A6">
        <w:t>buy-to-let</w:t>
      </w:r>
      <w:r w:rsidR="00536DE3">
        <w:t xml:space="preserve"> market in the UK’, </w:t>
      </w:r>
      <w:r w:rsidR="00536DE3">
        <w:rPr>
          <w:i/>
        </w:rPr>
        <w:t xml:space="preserve">British Journal of Politics &amp; International Relations, </w:t>
      </w:r>
      <w:r>
        <w:t xml:space="preserve">Vol. 11, Issue </w:t>
      </w:r>
      <w:r w:rsidR="00536DE3">
        <w:t>3, p. 438–460.</w:t>
      </w:r>
    </w:p>
    <w:p w:rsidR="00536DE3" w:rsidRDefault="00536DE3" w:rsidP="00536DE3">
      <w:pPr>
        <w:spacing w:line="480" w:lineRule="auto"/>
        <w:jc w:val="both"/>
      </w:pPr>
    </w:p>
    <w:p w:rsidR="00536DE3" w:rsidRDefault="00E515AC" w:rsidP="00536DE3">
      <w:pPr>
        <w:spacing w:line="480" w:lineRule="auto"/>
        <w:jc w:val="both"/>
      </w:pPr>
      <w:r>
        <w:t>LISTER, D</w:t>
      </w:r>
      <w:r w:rsidR="00536DE3">
        <w:t xml:space="preserve"> (2006) ‘U</w:t>
      </w:r>
      <w:r w:rsidR="00536DE3">
        <w:rPr>
          <w:bCs/>
        </w:rPr>
        <w:t>nlawful or just awful?</w:t>
      </w:r>
      <w:r w:rsidR="00536DE3">
        <w:rPr>
          <w:b/>
          <w:bCs/>
        </w:rPr>
        <w:t xml:space="preserve">: </w:t>
      </w:r>
      <w:r w:rsidR="00536DE3">
        <w:rPr>
          <w:bCs/>
        </w:rPr>
        <w:t xml:space="preserve">Young people’s experiences of living in the private rented sector in England’ </w:t>
      </w:r>
      <w:r w:rsidR="00065234">
        <w:rPr>
          <w:bCs/>
          <w:i/>
        </w:rPr>
        <w:t>Young: Nordic</w:t>
      </w:r>
      <w:r w:rsidR="00536DE3">
        <w:rPr>
          <w:bCs/>
          <w:i/>
        </w:rPr>
        <w:t xml:space="preserve"> Journal of Youth Research,</w:t>
      </w:r>
      <w:r w:rsidR="00536DE3">
        <w:rPr>
          <w:bCs/>
        </w:rPr>
        <w:t xml:space="preserve"> </w:t>
      </w:r>
      <w:r w:rsidR="00536DE3">
        <w:t>Vol. 14</w:t>
      </w:r>
      <w:r>
        <w:t>, Issue 2</w:t>
      </w:r>
      <w:r w:rsidR="00536DE3">
        <w:t>, pp. 141–155</w:t>
      </w:r>
      <w:r>
        <w:t>.</w:t>
      </w:r>
    </w:p>
    <w:p w:rsidR="00536DE3" w:rsidRDefault="00536DE3" w:rsidP="00536DE3">
      <w:pPr>
        <w:spacing w:line="480" w:lineRule="auto"/>
        <w:jc w:val="both"/>
      </w:pPr>
    </w:p>
    <w:p w:rsidR="00536DE3" w:rsidRDefault="00E515AC" w:rsidP="00536DE3">
      <w:pPr>
        <w:spacing w:line="480" w:lineRule="auto"/>
        <w:jc w:val="both"/>
      </w:pPr>
      <w:r>
        <w:t>LOWE, S</w:t>
      </w:r>
      <w:r w:rsidR="00536DE3">
        <w:t xml:space="preserve"> (2007) ‘The New Private Rented Sector – Regulation in a Deregulated Market’, in Stuart Lowe and David Hughes </w:t>
      </w:r>
      <w:r>
        <w:t>(E</w:t>
      </w:r>
      <w:r w:rsidR="00536DE3">
        <w:t>ds.</w:t>
      </w:r>
      <w:r>
        <w:t>)</w:t>
      </w:r>
      <w:r w:rsidR="00536DE3">
        <w:t xml:space="preserve">, </w:t>
      </w:r>
      <w:r w:rsidR="00536DE3">
        <w:rPr>
          <w:i/>
        </w:rPr>
        <w:t>The Private rented Housing Market: Regulation or Deregulation</w:t>
      </w:r>
      <w:r w:rsidR="00536DE3">
        <w:t>?, Aldershot: Ashgate.</w:t>
      </w:r>
    </w:p>
    <w:p w:rsidR="00536DE3" w:rsidRDefault="00536DE3" w:rsidP="00536DE3">
      <w:pPr>
        <w:spacing w:line="480" w:lineRule="auto"/>
        <w:jc w:val="both"/>
        <w:rPr>
          <w:bCs/>
        </w:rPr>
      </w:pPr>
    </w:p>
    <w:p w:rsidR="00536DE3" w:rsidRDefault="00E515AC" w:rsidP="00536DE3">
      <w:pPr>
        <w:spacing w:line="480" w:lineRule="auto"/>
        <w:jc w:val="both"/>
        <w:rPr>
          <w:bCs/>
        </w:rPr>
      </w:pPr>
      <w:r>
        <w:rPr>
          <w:bCs/>
        </w:rPr>
        <w:t>MOOREHOUSE, B, Wilson, M, Chamberlain, C</w:t>
      </w:r>
      <w:r w:rsidR="00536DE3">
        <w:rPr>
          <w:bCs/>
        </w:rPr>
        <w:t xml:space="preserve"> (1972) 'Rent Strikes—Direct Action and the Working Class' </w:t>
      </w:r>
      <w:r w:rsidR="00536DE3">
        <w:rPr>
          <w:bCs/>
          <w:i/>
        </w:rPr>
        <w:t>The Socialist Register</w:t>
      </w:r>
      <w:r w:rsidR="00536DE3">
        <w:rPr>
          <w:bCs/>
        </w:rPr>
        <w:t>, Merlin Press.</w:t>
      </w:r>
    </w:p>
    <w:p w:rsidR="00536DE3" w:rsidRDefault="00536DE3" w:rsidP="00536DE3">
      <w:pPr>
        <w:spacing w:line="480" w:lineRule="auto"/>
        <w:jc w:val="both"/>
        <w:rPr>
          <w:bCs/>
        </w:rPr>
      </w:pPr>
    </w:p>
    <w:p w:rsidR="00536DE3" w:rsidRDefault="00E515AC" w:rsidP="00536DE3">
      <w:pPr>
        <w:spacing w:line="480" w:lineRule="auto"/>
        <w:jc w:val="both"/>
        <w:rPr>
          <w:bCs/>
        </w:rPr>
      </w:pPr>
      <w:r>
        <w:rPr>
          <w:bCs/>
        </w:rPr>
        <w:t>MURIE, A</w:t>
      </w:r>
      <w:r w:rsidR="00536DE3">
        <w:rPr>
          <w:bCs/>
        </w:rPr>
        <w:t xml:space="preserve"> (2009) The Modernisation of Housing in England, </w:t>
      </w:r>
      <w:r w:rsidR="00536DE3">
        <w:rPr>
          <w:bCs/>
          <w:i/>
        </w:rPr>
        <w:t xml:space="preserve">Tijdschrift voor Economische en Sociale Geografie </w:t>
      </w:r>
      <w:r>
        <w:rPr>
          <w:bCs/>
        </w:rPr>
        <w:t>100, p</w:t>
      </w:r>
      <w:r w:rsidR="00536DE3">
        <w:rPr>
          <w:bCs/>
        </w:rPr>
        <w:t>. 535–548.</w:t>
      </w:r>
    </w:p>
    <w:p w:rsidR="00536DE3" w:rsidRDefault="00536DE3" w:rsidP="00536DE3">
      <w:pPr>
        <w:spacing w:line="480" w:lineRule="auto"/>
        <w:jc w:val="both"/>
        <w:rPr>
          <w:bCs/>
        </w:rPr>
      </w:pPr>
    </w:p>
    <w:p w:rsidR="00536DE3" w:rsidRDefault="00536DE3" w:rsidP="00536DE3">
      <w:pPr>
        <w:spacing w:line="480" w:lineRule="auto"/>
        <w:jc w:val="both"/>
        <w:rPr>
          <w:bCs/>
        </w:rPr>
      </w:pPr>
      <w:r>
        <w:rPr>
          <w:bCs/>
        </w:rPr>
        <w:t>NEWMAN</w:t>
      </w:r>
      <w:r w:rsidRPr="006D5F29">
        <w:rPr>
          <w:bCs/>
        </w:rPr>
        <w:t>, K</w:t>
      </w:r>
      <w:r w:rsidR="00E515AC">
        <w:rPr>
          <w:bCs/>
        </w:rPr>
        <w:t xml:space="preserve"> and Wyly, E</w:t>
      </w:r>
      <w:r>
        <w:rPr>
          <w:bCs/>
        </w:rPr>
        <w:t xml:space="preserve"> (2006)</w:t>
      </w:r>
      <w:r w:rsidRPr="006D5F29">
        <w:rPr>
          <w:bCs/>
        </w:rPr>
        <w:t xml:space="preserve"> 'The right to stay put, revisited: Gentrification and resistance to displacement in New </w:t>
      </w:r>
      <w:r>
        <w:rPr>
          <w:bCs/>
        </w:rPr>
        <w:t xml:space="preserve">York City', Urban Studies, </w:t>
      </w:r>
      <w:r w:rsidR="00E515AC">
        <w:rPr>
          <w:bCs/>
        </w:rPr>
        <w:t>Vol. 43, Issue</w:t>
      </w:r>
      <w:r>
        <w:rPr>
          <w:bCs/>
        </w:rPr>
        <w:t xml:space="preserve"> 1, </w:t>
      </w:r>
      <w:r w:rsidR="00E515AC">
        <w:rPr>
          <w:bCs/>
        </w:rPr>
        <w:t xml:space="preserve">p. </w:t>
      </w:r>
      <w:r w:rsidRPr="006D5F29">
        <w:rPr>
          <w:bCs/>
        </w:rPr>
        <w:t>23–57.</w:t>
      </w:r>
    </w:p>
    <w:p w:rsidR="00536DE3" w:rsidRDefault="00536DE3" w:rsidP="00536DE3">
      <w:pPr>
        <w:spacing w:line="480" w:lineRule="auto"/>
        <w:jc w:val="both"/>
        <w:rPr>
          <w:bCs/>
        </w:rPr>
      </w:pPr>
    </w:p>
    <w:p w:rsidR="00536DE3" w:rsidRDefault="00E515AC" w:rsidP="00536DE3">
      <w:pPr>
        <w:spacing w:line="480" w:lineRule="auto"/>
        <w:jc w:val="both"/>
        <w:rPr>
          <w:bCs/>
        </w:rPr>
      </w:pPr>
      <w:r>
        <w:rPr>
          <w:bCs/>
        </w:rPr>
        <w:t>O'KEEFE, J and Nadel, L</w:t>
      </w:r>
      <w:r w:rsidR="00536DE3">
        <w:rPr>
          <w:bCs/>
        </w:rPr>
        <w:t xml:space="preserve"> (1978) </w:t>
      </w:r>
      <w:r w:rsidR="00536DE3">
        <w:rPr>
          <w:bCs/>
          <w:i/>
        </w:rPr>
        <w:t>The Hippocampus as a Cognitive Map</w:t>
      </w:r>
      <w:r w:rsidR="00536DE3">
        <w:rPr>
          <w:bCs/>
        </w:rPr>
        <w:t>, Oxford: Oxford University Press.</w:t>
      </w:r>
    </w:p>
    <w:p w:rsidR="00536DE3" w:rsidRDefault="00536DE3" w:rsidP="00536DE3">
      <w:pPr>
        <w:spacing w:line="480" w:lineRule="auto"/>
        <w:jc w:val="both"/>
        <w:rPr>
          <w:bCs/>
        </w:rPr>
      </w:pPr>
    </w:p>
    <w:p w:rsidR="00536DE3" w:rsidRDefault="00E515AC" w:rsidP="00536DE3">
      <w:pPr>
        <w:spacing w:line="480" w:lineRule="auto"/>
        <w:rPr>
          <w:bCs/>
        </w:rPr>
      </w:pPr>
      <w:r>
        <w:rPr>
          <w:bCs/>
        </w:rPr>
        <w:t>OSBORNE, H</w:t>
      </w:r>
      <w:r w:rsidR="00536DE3">
        <w:rPr>
          <w:bCs/>
        </w:rPr>
        <w:t xml:space="preserve"> (2006) ‘First-time buyers squeezed out of housing market’, </w:t>
      </w:r>
      <w:r w:rsidR="00536DE3">
        <w:rPr>
          <w:bCs/>
          <w:i/>
        </w:rPr>
        <w:t>The Guardian</w:t>
      </w:r>
      <w:r w:rsidR="00536DE3">
        <w:rPr>
          <w:bCs/>
        </w:rPr>
        <w:t xml:space="preserve">, 21 September </w:t>
      </w:r>
      <w:hyperlink r:id="rId4" w:history="1">
        <w:r w:rsidR="00536DE3">
          <w:rPr>
            <w:rStyle w:val="Hyperlink"/>
            <w:bCs/>
          </w:rPr>
          <w:t>http://www.guardian.co.uk/business/2006/sep/21/housingmarket.firsttimebuyers</w:t>
        </w:r>
      </w:hyperlink>
      <w:r w:rsidR="00536DE3">
        <w:rPr>
          <w:bCs/>
        </w:rPr>
        <w:t xml:space="preserve"> </w:t>
      </w:r>
    </w:p>
    <w:p w:rsidR="00536DE3" w:rsidRDefault="00536DE3" w:rsidP="00536DE3">
      <w:pPr>
        <w:spacing w:line="480" w:lineRule="auto"/>
        <w:rPr>
          <w:bCs/>
        </w:rPr>
      </w:pPr>
    </w:p>
    <w:p w:rsidR="00536DE3" w:rsidRDefault="008B3934" w:rsidP="00536DE3">
      <w:pPr>
        <w:spacing w:line="480" w:lineRule="auto"/>
        <w:rPr>
          <w:bCs/>
        </w:rPr>
      </w:pPr>
      <w:r>
        <w:rPr>
          <w:bCs/>
          <w:lang w:val="en"/>
        </w:rPr>
        <w:t>PLASS, JL, Moreno, R and Brunken, R</w:t>
      </w:r>
      <w:r w:rsidR="00536DE3" w:rsidRPr="00C8316A">
        <w:rPr>
          <w:bCs/>
          <w:lang w:val="en"/>
        </w:rPr>
        <w:t xml:space="preserve">, </w:t>
      </w:r>
      <w:r>
        <w:rPr>
          <w:bCs/>
          <w:lang w:val="en"/>
        </w:rPr>
        <w:t>(E</w:t>
      </w:r>
      <w:r w:rsidR="00536DE3" w:rsidRPr="00C8316A">
        <w:rPr>
          <w:bCs/>
          <w:lang w:val="en"/>
        </w:rPr>
        <w:t>d</w:t>
      </w:r>
      <w:r w:rsidR="00536DE3">
        <w:rPr>
          <w:bCs/>
          <w:lang w:val="en"/>
        </w:rPr>
        <w:t>s</w:t>
      </w:r>
      <w:r w:rsidR="00536DE3" w:rsidRPr="00C8316A">
        <w:rPr>
          <w:bCs/>
          <w:lang w:val="en"/>
        </w:rPr>
        <w:t>.</w:t>
      </w:r>
      <w:r>
        <w:rPr>
          <w:bCs/>
          <w:lang w:val="en"/>
        </w:rPr>
        <w:t>) (2010)</w:t>
      </w:r>
      <w:r w:rsidR="00536DE3" w:rsidRPr="00C8316A">
        <w:rPr>
          <w:bCs/>
          <w:lang w:val="en"/>
        </w:rPr>
        <w:t xml:space="preserve"> </w:t>
      </w:r>
      <w:r w:rsidR="00536DE3" w:rsidRPr="00C8316A">
        <w:rPr>
          <w:bCs/>
          <w:i/>
          <w:iCs/>
          <w:lang w:val="en"/>
        </w:rPr>
        <w:t>Cognitive Load Theory</w:t>
      </w:r>
      <w:r w:rsidR="00536DE3">
        <w:rPr>
          <w:bCs/>
          <w:lang w:val="en"/>
        </w:rPr>
        <w:t>,</w:t>
      </w:r>
      <w:r w:rsidR="00536DE3" w:rsidRPr="00C8316A">
        <w:rPr>
          <w:bCs/>
          <w:lang w:val="en"/>
        </w:rPr>
        <w:t xml:space="preserve"> New York: Cambridge University Press.</w:t>
      </w:r>
    </w:p>
    <w:p w:rsidR="00536DE3" w:rsidRDefault="00536DE3" w:rsidP="00536DE3">
      <w:pPr>
        <w:spacing w:line="480" w:lineRule="auto"/>
        <w:jc w:val="both"/>
      </w:pPr>
    </w:p>
    <w:p w:rsidR="00536DE3" w:rsidRDefault="008B3934" w:rsidP="00536DE3">
      <w:pPr>
        <w:spacing w:line="480" w:lineRule="auto"/>
        <w:rPr>
          <w:bCs/>
        </w:rPr>
      </w:pPr>
      <w:r>
        <w:rPr>
          <w:bCs/>
        </w:rPr>
        <w:t>QUIGGIN, J</w:t>
      </w:r>
      <w:r w:rsidR="00536DE3">
        <w:rPr>
          <w:bCs/>
        </w:rPr>
        <w:t xml:space="preserve"> (2010) </w:t>
      </w:r>
      <w:r w:rsidR="00536DE3">
        <w:rPr>
          <w:bCs/>
          <w:i/>
        </w:rPr>
        <w:t>Zombie Economics: How Dead Ideas Still Walk Among Us</w:t>
      </w:r>
      <w:r w:rsidR="00536DE3">
        <w:rPr>
          <w:bCs/>
        </w:rPr>
        <w:t>, Princeton: Princeton University Press.</w:t>
      </w:r>
    </w:p>
    <w:p w:rsidR="00536DE3" w:rsidRDefault="00536DE3" w:rsidP="00536DE3">
      <w:pPr>
        <w:spacing w:line="480" w:lineRule="auto"/>
        <w:rPr>
          <w:bCs/>
        </w:rPr>
      </w:pPr>
    </w:p>
    <w:p w:rsidR="00536DE3" w:rsidRDefault="008B3934" w:rsidP="00536DE3">
      <w:pPr>
        <w:spacing w:line="480" w:lineRule="auto"/>
        <w:rPr>
          <w:bCs/>
        </w:rPr>
      </w:pPr>
      <w:r>
        <w:rPr>
          <w:bCs/>
        </w:rPr>
        <w:t>RELPH, E</w:t>
      </w:r>
      <w:r w:rsidR="00536DE3">
        <w:rPr>
          <w:bCs/>
        </w:rPr>
        <w:t xml:space="preserve"> (1976). </w:t>
      </w:r>
      <w:r w:rsidR="00536DE3">
        <w:rPr>
          <w:bCs/>
          <w:i/>
          <w:iCs/>
        </w:rPr>
        <w:t>Place and placelessness</w:t>
      </w:r>
      <w:r w:rsidR="00536DE3">
        <w:rPr>
          <w:bCs/>
        </w:rPr>
        <w:t>. London: Pion.</w:t>
      </w:r>
    </w:p>
    <w:p w:rsidR="00536DE3" w:rsidRDefault="00536DE3" w:rsidP="00536DE3">
      <w:pPr>
        <w:spacing w:line="480" w:lineRule="auto"/>
        <w:rPr>
          <w:bCs/>
        </w:rPr>
      </w:pPr>
    </w:p>
    <w:p w:rsidR="00536DE3" w:rsidRDefault="008B3934" w:rsidP="00536DE3">
      <w:pPr>
        <w:spacing w:line="480" w:lineRule="auto"/>
        <w:rPr>
          <w:bCs/>
        </w:rPr>
      </w:pPr>
      <w:r>
        <w:rPr>
          <w:bCs/>
        </w:rPr>
        <w:t>RIDDELL, P</w:t>
      </w:r>
      <w:r w:rsidR="00536DE3">
        <w:rPr>
          <w:bCs/>
        </w:rPr>
        <w:t xml:space="preserve"> (1985) </w:t>
      </w:r>
      <w:r w:rsidR="00536DE3">
        <w:rPr>
          <w:bCs/>
          <w:i/>
        </w:rPr>
        <w:t>The Thatcher Government (2</w:t>
      </w:r>
      <w:r w:rsidR="00536DE3">
        <w:rPr>
          <w:bCs/>
          <w:i/>
          <w:vertAlign w:val="superscript"/>
        </w:rPr>
        <w:t>nd</w:t>
      </w:r>
      <w:r w:rsidR="00536DE3">
        <w:rPr>
          <w:bCs/>
          <w:i/>
        </w:rPr>
        <w:t xml:space="preserve"> Edition),</w:t>
      </w:r>
      <w:r w:rsidR="00536DE3">
        <w:rPr>
          <w:bCs/>
        </w:rPr>
        <w:t xml:space="preserve"> Oxford: Basil Blackwell. </w:t>
      </w:r>
    </w:p>
    <w:p w:rsidR="00536DE3" w:rsidRDefault="00536DE3" w:rsidP="00536DE3">
      <w:pPr>
        <w:spacing w:line="480" w:lineRule="auto"/>
        <w:rPr>
          <w:bCs/>
        </w:rPr>
      </w:pPr>
    </w:p>
    <w:p w:rsidR="00536DE3" w:rsidRDefault="008B3934" w:rsidP="00536DE3">
      <w:pPr>
        <w:spacing w:line="480" w:lineRule="auto"/>
        <w:rPr>
          <w:bCs/>
        </w:rPr>
      </w:pPr>
      <w:r>
        <w:rPr>
          <w:bCs/>
        </w:rPr>
        <w:t>ROBERTS, R</w:t>
      </w:r>
      <w:r w:rsidR="00536DE3">
        <w:rPr>
          <w:bCs/>
        </w:rPr>
        <w:t xml:space="preserve"> ([1971]; 1990) </w:t>
      </w:r>
      <w:r w:rsidR="00536DE3">
        <w:rPr>
          <w:bCs/>
          <w:i/>
        </w:rPr>
        <w:t>The Classic Slum: Salford Life in the First Quarter of the Century</w:t>
      </w:r>
      <w:r w:rsidR="00536DE3">
        <w:rPr>
          <w:bCs/>
        </w:rPr>
        <w:t>, Harmondsworth: Penguin.</w:t>
      </w:r>
    </w:p>
    <w:p w:rsidR="00536DE3" w:rsidRDefault="00536DE3" w:rsidP="00536DE3">
      <w:pPr>
        <w:spacing w:line="480" w:lineRule="auto"/>
        <w:jc w:val="both"/>
        <w:rPr>
          <w:bCs/>
        </w:rPr>
      </w:pPr>
    </w:p>
    <w:p w:rsidR="00536DE3" w:rsidRDefault="008B3934" w:rsidP="00536DE3">
      <w:pPr>
        <w:spacing w:line="480" w:lineRule="auto"/>
        <w:jc w:val="both"/>
        <w:rPr>
          <w:bCs/>
        </w:rPr>
      </w:pPr>
      <w:r>
        <w:rPr>
          <w:bCs/>
        </w:rPr>
        <w:t>RUGG, J and Rhodes, D</w:t>
      </w:r>
      <w:r w:rsidR="00536DE3">
        <w:rPr>
          <w:bCs/>
        </w:rPr>
        <w:t xml:space="preserve"> (2008) </w:t>
      </w:r>
      <w:r w:rsidR="00536DE3">
        <w:rPr>
          <w:bCs/>
          <w:i/>
        </w:rPr>
        <w:t>The Private Rented Sector: Its Contribution and Potential</w:t>
      </w:r>
      <w:r w:rsidR="00536DE3">
        <w:rPr>
          <w:bCs/>
        </w:rPr>
        <w:t xml:space="preserve">, Report for Communities and Local Government, Centre for Housing Policy: University of York. </w:t>
      </w:r>
    </w:p>
    <w:p w:rsidR="00536DE3" w:rsidRDefault="00536DE3" w:rsidP="00536DE3">
      <w:pPr>
        <w:spacing w:line="480" w:lineRule="auto"/>
        <w:jc w:val="both"/>
      </w:pPr>
    </w:p>
    <w:p w:rsidR="00536DE3" w:rsidRDefault="008B3934" w:rsidP="00536DE3">
      <w:pPr>
        <w:spacing w:line="480" w:lineRule="auto"/>
        <w:jc w:val="both"/>
        <w:rPr>
          <w:i/>
        </w:rPr>
      </w:pPr>
      <w:r>
        <w:t>SIMMEL, G</w:t>
      </w:r>
      <w:r w:rsidR="00536DE3">
        <w:t xml:space="preserve"> (1903) </w:t>
      </w:r>
      <w:r w:rsidR="00536DE3">
        <w:rPr>
          <w:i/>
        </w:rPr>
        <w:t>The Metropolis and Mental Life</w:t>
      </w:r>
    </w:p>
    <w:p w:rsidR="00536DE3" w:rsidRDefault="00536DE3" w:rsidP="00536DE3">
      <w:pPr>
        <w:spacing w:line="480" w:lineRule="auto"/>
        <w:jc w:val="both"/>
        <w:rPr>
          <w:iCs/>
        </w:rPr>
      </w:pPr>
    </w:p>
    <w:p w:rsidR="00536DE3" w:rsidRDefault="008B3934" w:rsidP="00536DE3">
      <w:pPr>
        <w:spacing w:line="480" w:lineRule="auto"/>
        <w:jc w:val="both"/>
        <w:rPr>
          <w:iCs/>
        </w:rPr>
      </w:pPr>
      <w:r>
        <w:rPr>
          <w:iCs/>
        </w:rPr>
        <w:t>SHILDRICK, T, MacDonald, R, Webster, C, and Garthwaite, K</w:t>
      </w:r>
      <w:r w:rsidR="00536DE3" w:rsidRPr="007C472F">
        <w:rPr>
          <w:iCs/>
        </w:rPr>
        <w:t xml:space="preserve"> </w:t>
      </w:r>
      <w:r w:rsidR="00536DE3">
        <w:rPr>
          <w:iCs/>
        </w:rPr>
        <w:t xml:space="preserve">(2012) </w:t>
      </w:r>
      <w:r w:rsidR="00536DE3" w:rsidRPr="007C472F">
        <w:rPr>
          <w:i/>
          <w:iCs/>
        </w:rPr>
        <w:t>Poverty and Insecurity: Life in low-pay, no-pay Britain</w:t>
      </w:r>
      <w:r w:rsidR="00536DE3">
        <w:rPr>
          <w:iCs/>
        </w:rPr>
        <w:t>, Bristol: Policy Press.</w:t>
      </w:r>
    </w:p>
    <w:p w:rsidR="00536DE3" w:rsidRDefault="00536DE3" w:rsidP="00536DE3">
      <w:pPr>
        <w:spacing w:line="480" w:lineRule="auto"/>
        <w:jc w:val="both"/>
        <w:rPr>
          <w:iCs/>
        </w:rPr>
      </w:pPr>
    </w:p>
    <w:p w:rsidR="00536DE3" w:rsidRDefault="008B3934" w:rsidP="00536DE3">
      <w:pPr>
        <w:spacing w:line="480" w:lineRule="auto"/>
        <w:jc w:val="both"/>
        <w:rPr>
          <w:iCs/>
        </w:rPr>
      </w:pPr>
      <w:r>
        <w:rPr>
          <w:iCs/>
        </w:rPr>
        <w:t>STANDING, G</w:t>
      </w:r>
      <w:r w:rsidR="00536DE3">
        <w:rPr>
          <w:iCs/>
        </w:rPr>
        <w:t xml:space="preserve"> (2011) </w:t>
      </w:r>
      <w:r w:rsidR="00536DE3">
        <w:rPr>
          <w:i/>
          <w:iCs/>
        </w:rPr>
        <w:t>The Precariat: The New Dangerous Class</w:t>
      </w:r>
      <w:r w:rsidR="00536DE3">
        <w:rPr>
          <w:iCs/>
        </w:rPr>
        <w:t>, London: Bloomsbury.</w:t>
      </w:r>
    </w:p>
    <w:p w:rsidR="00536DE3" w:rsidRDefault="00536DE3" w:rsidP="00536DE3">
      <w:pPr>
        <w:spacing w:line="480" w:lineRule="auto"/>
        <w:jc w:val="both"/>
        <w:rPr>
          <w:iCs/>
        </w:rPr>
      </w:pPr>
    </w:p>
    <w:p w:rsidR="00536DE3" w:rsidRPr="00E2737C" w:rsidRDefault="00536DE3" w:rsidP="00536DE3">
      <w:pPr>
        <w:spacing w:line="480" w:lineRule="auto"/>
        <w:jc w:val="both"/>
        <w:rPr>
          <w:b/>
          <w:bCs/>
          <w:iCs/>
        </w:rPr>
      </w:pPr>
      <w:r>
        <w:rPr>
          <w:iCs/>
        </w:rPr>
        <w:t xml:space="preserve">STEPHENSON, E (2013) </w:t>
      </w:r>
      <w:r>
        <w:rPr>
          <w:bCs/>
          <w:iCs/>
        </w:rPr>
        <w:t>Should I S</w:t>
      </w:r>
      <w:r w:rsidRPr="00E2737C">
        <w:rPr>
          <w:bCs/>
          <w:iCs/>
        </w:rPr>
        <w:t>t</w:t>
      </w:r>
      <w:r>
        <w:rPr>
          <w:bCs/>
          <w:iCs/>
        </w:rPr>
        <w:t>ay or Should I G</w:t>
      </w:r>
      <w:r w:rsidRPr="00E2737C">
        <w:rPr>
          <w:bCs/>
          <w:iCs/>
        </w:rPr>
        <w:t>o?</w:t>
      </w:r>
      <w:r>
        <w:rPr>
          <w:b/>
          <w:bCs/>
          <w:iCs/>
        </w:rPr>
        <w:t xml:space="preserve">: </w:t>
      </w:r>
      <w:r w:rsidRPr="00E2737C">
        <w:rPr>
          <w:iCs/>
        </w:rPr>
        <w:t>100 days of the Bedroom Tax</w:t>
      </w:r>
      <w:r>
        <w:rPr>
          <w:iCs/>
        </w:rPr>
        <w:t xml:space="preserve">, Bedfordshire: Aragon Housing Association. </w:t>
      </w:r>
    </w:p>
    <w:p w:rsidR="00536DE3" w:rsidRDefault="00536DE3" w:rsidP="00536DE3">
      <w:pPr>
        <w:spacing w:line="480" w:lineRule="auto"/>
        <w:jc w:val="both"/>
      </w:pPr>
    </w:p>
    <w:p w:rsidR="00536DE3" w:rsidRDefault="008B3934" w:rsidP="00536DE3">
      <w:pPr>
        <w:spacing w:line="480" w:lineRule="auto"/>
        <w:jc w:val="both"/>
        <w:rPr>
          <w:bCs/>
        </w:rPr>
      </w:pPr>
      <w:r>
        <w:rPr>
          <w:bCs/>
        </w:rPr>
        <w:t>TUAN, Y</w:t>
      </w:r>
      <w:r w:rsidR="00536DE3">
        <w:rPr>
          <w:bCs/>
        </w:rPr>
        <w:t xml:space="preserve"> (1977) </w:t>
      </w:r>
      <w:r w:rsidR="00536DE3">
        <w:rPr>
          <w:bCs/>
          <w:i/>
        </w:rPr>
        <w:t>Space and Place: The Perspective of Experience</w:t>
      </w:r>
      <w:r w:rsidR="00536DE3">
        <w:rPr>
          <w:bCs/>
        </w:rPr>
        <w:t>, Minneapolis: University of Minnesota Press.</w:t>
      </w:r>
    </w:p>
    <w:p w:rsidR="00536DE3" w:rsidRDefault="00536DE3" w:rsidP="00536DE3">
      <w:pPr>
        <w:spacing w:line="480" w:lineRule="auto"/>
        <w:jc w:val="both"/>
        <w:rPr>
          <w:bCs/>
        </w:rPr>
      </w:pPr>
    </w:p>
    <w:p w:rsidR="00536DE3" w:rsidRDefault="008B3934" w:rsidP="00536DE3">
      <w:pPr>
        <w:spacing w:line="480" w:lineRule="auto"/>
        <w:jc w:val="both"/>
        <w:rPr>
          <w:bCs/>
        </w:rPr>
      </w:pPr>
      <w:r>
        <w:rPr>
          <w:bCs/>
        </w:rPr>
        <w:t>WIRTH, L</w:t>
      </w:r>
      <w:r w:rsidR="00536DE3">
        <w:rPr>
          <w:bCs/>
        </w:rPr>
        <w:t xml:space="preserve"> (1938)</w:t>
      </w:r>
      <w:r w:rsidR="00536DE3">
        <w:rPr>
          <w:bCs/>
          <w:lang w:val="en"/>
        </w:rPr>
        <w:t xml:space="preserve"> Urbanism As A Way of Life. </w:t>
      </w:r>
      <w:r w:rsidR="00536DE3" w:rsidRPr="004A0AE8">
        <w:rPr>
          <w:bCs/>
          <w:i/>
          <w:lang w:val="en"/>
        </w:rPr>
        <w:t>American Journal of Sociology</w:t>
      </w:r>
      <w:r w:rsidR="00536DE3">
        <w:rPr>
          <w:bCs/>
          <w:lang w:val="en"/>
        </w:rPr>
        <w:t xml:space="preserve">, </w:t>
      </w:r>
      <w:r>
        <w:rPr>
          <w:bCs/>
          <w:lang w:val="en"/>
        </w:rPr>
        <w:t>Vol. 44, p.</w:t>
      </w:r>
      <w:r w:rsidR="00536DE3">
        <w:rPr>
          <w:bCs/>
          <w:lang w:val="en"/>
        </w:rPr>
        <w:t xml:space="preserve"> </w:t>
      </w:r>
      <w:r w:rsidR="00536DE3" w:rsidRPr="004A0AE8">
        <w:rPr>
          <w:bCs/>
          <w:lang w:val="en"/>
        </w:rPr>
        <w:t>1-24</w:t>
      </w:r>
      <w:r w:rsidR="00536DE3">
        <w:rPr>
          <w:bCs/>
          <w:lang w:val="en"/>
        </w:rPr>
        <w:t>.</w:t>
      </w:r>
    </w:p>
    <w:p w:rsidR="00536DE3" w:rsidRDefault="00536DE3" w:rsidP="00536DE3">
      <w:pPr>
        <w:spacing w:line="480" w:lineRule="auto"/>
        <w:jc w:val="both"/>
        <w:rPr>
          <w:bCs/>
        </w:rPr>
      </w:pPr>
    </w:p>
    <w:p w:rsidR="00536DE3" w:rsidRDefault="00536DE3" w:rsidP="00536DE3">
      <w:pPr>
        <w:spacing w:line="480" w:lineRule="auto"/>
        <w:jc w:val="both"/>
      </w:pPr>
      <w:r>
        <w:t>ZUKIN, S (1982)</w:t>
      </w:r>
      <w:r w:rsidRPr="00B1346B">
        <w:t xml:space="preserve"> </w:t>
      </w:r>
      <w:r w:rsidRPr="00B1346B">
        <w:rPr>
          <w:i/>
          <w:iCs/>
        </w:rPr>
        <w:t>Loft Living: Culture and Capital in Urban Change</w:t>
      </w:r>
      <w:r w:rsidRPr="00B1346B">
        <w:t>, Baltimore: Johns Hopkins University Press.</w:t>
      </w:r>
    </w:p>
    <w:p w:rsidR="00536DE3" w:rsidRDefault="00536DE3" w:rsidP="00536DE3">
      <w:pPr>
        <w:spacing w:line="480" w:lineRule="auto"/>
        <w:jc w:val="both"/>
      </w:pPr>
    </w:p>
    <w:p w:rsidR="00536DE3" w:rsidRDefault="00751818" w:rsidP="00536DE3">
      <w:pPr>
        <w:spacing w:line="480" w:lineRule="auto"/>
        <w:jc w:val="both"/>
      </w:pPr>
      <w:r>
        <w:t>WEB SOURCES</w:t>
      </w:r>
      <w:r w:rsidR="006B6E6D">
        <w:t>:</w:t>
      </w:r>
    </w:p>
    <w:p w:rsidR="002C1565" w:rsidRDefault="002C1565" w:rsidP="00536DE3">
      <w:pPr>
        <w:spacing w:line="480" w:lineRule="auto"/>
        <w:rPr>
          <w:bCs/>
        </w:rPr>
      </w:pPr>
    </w:p>
    <w:p w:rsidR="00536DE3" w:rsidRDefault="00536DE3" w:rsidP="00536DE3">
      <w:pPr>
        <w:spacing w:line="480" w:lineRule="auto"/>
      </w:pPr>
      <w:r>
        <w:t>Sally Keeble MP, debate on Private Rented Sector Housing, from Hansard, Column 482WH 23</w:t>
      </w:r>
      <w:r>
        <w:rPr>
          <w:vertAlign w:val="superscript"/>
        </w:rPr>
        <w:t>rd</w:t>
      </w:r>
      <w:r>
        <w:t xml:space="preserve"> April, 2008</w:t>
      </w:r>
    </w:p>
    <w:p w:rsidR="00536DE3" w:rsidRDefault="00536DE3" w:rsidP="00536DE3">
      <w:pPr>
        <w:spacing w:line="480" w:lineRule="auto"/>
      </w:pPr>
    </w:p>
    <w:p w:rsidR="00536DE3" w:rsidRDefault="00536DE3" w:rsidP="00536DE3">
      <w:pPr>
        <w:spacing w:line="480" w:lineRule="auto"/>
      </w:pPr>
      <w:r>
        <w:t xml:space="preserve">National Housing Federation (2013) </w:t>
      </w:r>
      <w:hyperlink r:id="rId5" w:history="1">
        <w:r>
          <w:rPr>
            <w:rStyle w:val="Hyperlink"/>
          </w:rPr>
          <w:t>http://www.housing.org.uk/policy/welfare_reform/‘under-occupation’_penalty.aspx</w:t>
        </w:r>
      </w:hyperlink>
      <w:r w:rsidR="00751818">
        <w:t xml:space="preserve"> </w:t>
      </w:r>
      <w:r>
        <w:t xml:space="preserve">(David Orr, NHF, March, 2013) </w:t>
      </w:r>
    </w:p>
    <w:p w:rsidR="002C1565" w:rsidRDefault="002C1565" w:rsidP="00536DE3">
      <w:pPr>
        <w:spacing w:line="480" w:lineRule="auto"/>
      </w:pPr>
    </w:p>
    <w:p w:rsidR="00536DE3" w:rsidRDefault="00C3703C" w:rsidP="00536DE3">
      <w:pPr>
        <w:spacing w:line="480" w:lineRule="auto"/>
        <w:rPr>
          <w:rStyle w:val="Hyperlink"/>
        </w:rPr>
      </w:pPr>
      <w:hyperlink r:id="rId6" w:history="1">
        <w:r w:rsidR="00536DE3" w:rsidRPr="00052D04">
          <w:rPr>
            <w:rStyle w:val="Hyperlink"/>
          </w:rPr>
          <w:t>http://www.politicsforum.co.uk/forum/viewtopic.php?f=93&amp;t=42056</w:t>
        </w:r>
      </w:hyperlink>
    </w:p>
    <w:p w:rsidR="002C1565" w:rsidRDefault="002C1565" w:rsidP="00536DE3">
      <w:pPr>
        <w:spacing w:line="480" w:lineRule="auto"/>
      </w:pPr>
    </w:p>
    <w:p w:rsidR="006B6E6D" w:rsidRPr="006B6E6D" w:rsidRDefault="006B6E6D" w:rsidP="00536DE3">
      <w:pPr>
        <w:spacing w:line="480" w:lineRule="auto"/>
        <w:rPr>
          <w:rFonts w:cs="Segoe UI"/>
        </w:rPr>
      </w:pPr>
      <w:r>
        <w:t xml:space="preserve">Department of Work and Pension (2013)  Monitoring the Impact of Local Housing Allowance </w:t>
      </w:r>
      <w:hyperlink r:id="rId7" w:history="1">
        <w:r w:rsidRPr="006B6E6D">
          <w:rPr>
            <w:rStyle w:val="Hyperlink"/>
            <w:rFonts w:cs="Segoe UI"/>
          </w:rPr>
          <w:t>https://www.gov.uk/government/publications/monitoring-the-impact-of-changes-to-the-local-housing-allowance-system-of-housing-benefit-interim-report-rr-838</w:t>
        </w:r>
      </w:hyperlink>
    </w:p>
    <w:p w:rsidR="00A05A49" w:rsidRDefault="00A05A49" w:rsidP="00536DE3">
      <w:pPr>
        <w:autoSpaceDE w:val="0"/>
        <w:autoSpaceDN w:val="0"/>
        <w:adjustRightInd w:val="0"/>
        <w:spacing w:line="480" w:lineRule="auto"/>
        <w:rPr>
          <w:bCs/>
        </w:rPr>
      </w:pPr>
    </w:p>
    <w:p w:rsidR="00536DE3" w:rsidRDefault="00536DE3" w:rsidP="00536DE3">
      <w:pPr>
        <w:autoSpaceDE w:val="0"/>
        <w:autoSpaceDN w:val="0"/>
        <w:adjustRightInd w:val="0"/>
        <w:spacing w:line="480" w:lineRule="auto"/>
        <w:rPr>
          <w:bCs/>
        </w:rPr>
      </w:pPr>
      <w:r>
        <w:rPr>
          <w:bCs/>
        </w:rPr>
        <w:t xml:space="preserve">Pro-Housing Alliance (2011) Recommendations for the Reform of </w:t>
      </w:r>
      <w:r w:rsidR="00065234">
        <w:rPr>
          <w:bCs/>
        </w:rPr>
        <w:t>UK</w:t>
      </w:r>
      <w:r>
        <w:rPr>
          <w:bCs/>
        </w:rPr>
        <w:t xml:space="preserve"> Housing Policy, </w:t>
      </w:r>
      <w:hyperlink r:id="rId8" w:history="1">
        <w:r>
          <w:rPr>
            <w:rStyle w:val="Hyperlink"/>
            <w:bCs/>
          </w:rPr>
          <w:t>http://www.prohousingalliance.com/wp-content/uploads/2011/08/PHA-Policy-Statement.pdf</w:t>
        </w:r>
      </w:hyperlink>
      <w:r>
        <w:rPr>
          <w:bCs/>
        </w:rPr>
        <w:t xml:space="preserve"> </w:t>
      </w:r>
    </w:p>
    <w:p w:rsidR="00A05A49" w:rsidRDefault="00A05A49" w:rsidP="00536DE3">
      <w:pPr>
        <w:autoSpaceDE w:val="0"/>
        <w:autoSpaceDN w:val="0"/>
        <w:adjustRightInd w:val="0"/>
        <w:spacing w:line="480" w:lineRule="auto"/>
      </w:pPr>
    </w:p>
    <w:p w:rsidR="00536DE3" w:rsidRDefault="00C3703C" w:rsidP="00536DE3">
      <w:pPr>
        <w:autoSpaceDE w:val="0"/>
        <w:autoSpaceDN w:val="0"/>
        <w:adjustRightInd w:val="0"/>
        <w:spacing w:line="480" w:lineRule="auto"/>
      </w:pPr>
      <w:hyperlink r:id="rId9" w:history="1">
        <w:r w:rsidR="00536DE3">
          <w:rPr>
            <w:rStyle w:val="Hyperlink"/>
          </w:rPr>
          <w:t>http://www.conservatives.com/Policy/Where_we_stand/Family.aspx</w:t>
        </w:r>
      </w:hyperlink>
    </w:p>
    <w:p w:rsidR="00A05A49" w:rsidRDefault="00A05A49" w:rsidP="00536DE3">
      <w:pPr>
        <w:autoSpaceDE w:val="0"/>
        <w:autoSpaceDN w:val="0"/>
        <w:adjustRightInd w:val="0"/>
        <w:spacing w:line="480" w:lineRule="auto"/>
      </w:pPr>
    </w:p>
    <w:p w:rsidR="00536DE3" w:rsidRDefault="00C3703C" w:rsidP="00536DE3">
      <w:pPr>
        <w:autoSpaceDE w:val="0"/>
        <w:autoSpaceDN w:val="0"/>
        <w:adjustRightInd w:val="0"/>
        <w:spacing w:line="480" w:lineRule="auto"/>
        <w:rPr>
          <w:bCs/>
        </w:rPr>
      </w:pPr>
      <w:hyperlink r:id="rId10" w:history="1">
        <w:r w:rsidR="00536DE3" w:rsidRPr="00B961E8">
          <w:rPr>
            <w:rStyle w:val="Hyperlink"/>
            <w:bCs/>
          </w:rPr>
          <w:t>http://england.shelter.org.uk/__data/assets/pdf_file/0005/656708/Growing_up_renting.pdf</w:t>
        </w:r>
      </w:hyperlink>
      <w:r w:rsidR="00536DE3">
        <w:rPr>
          <w:bCs/>
        </w:rPr>
        <w:t xml:space="preserve"> (2013)</w:t>
      </w:r>
    </w:p>
    <w:p w:rsidR="00A05A49" w:rsidRDefault="00A05A49" w:rsidP="00536DE3">
      <w:pPr>
        <w:autoSpaceDE w:val="0"/>
        <w:autoSpaceDN w:val="0"/>
        <w:adjustRightInd w:val="0"/>
        <w:spacing w:line="480" w:lineRule="auto"/>
      </w:pPr>
    </w:p>
    <w:p w:rsidR="00536DE3" w:rsidRDefault="00C3703C" w:rsidP="00536DE3">
      <w:pPr>
        <w:autoSpaceDE w:val="0"/>
        <w:autoSpaceDN w:val="0"/>
        <w:adjustRightInd w:val="0"/>
        <w:spacing w:line="480" w:lineRule="auto"/>
        <w:rPr>
          <w:rStyle w:val="Hyperlink"/>
          <w:bCs/>
        </w:rPr>
      </w:pPr>
      <w:hyperlink r:id="rId11" w:history="1">
        <w:r w:rsidR="00536DE3">
          <w:rPr>
            <w:rStyle w:val="Hyperlink"/>
            <w:bCs/>
          </w:rPr>
          <w:t>http://england.shelter.org.uk/news/october_2012/housing_costs_force_1_in_10_back_to_mum_and_dad</w:t>
        </w:r>
      </w:hyperlink>
    </w:p>
    <w:p w:rsidR="00A05A49" w:rsidRDefault="00A05A49" w:rsidP="00536DE3">
      <w:pPr>
        <w:autoSpaceDE w:val="0"/>
        <w:autoSpaceDN w:val="0"/>
        <w:adjustRightInd w:val="0"/>
        <w:spacing w:line="480" w:lineRule="auto"/>
      </w:pPr>
    </w:p>
    <w:p w:rsidR="00536DE3" w:rsidRDefault="00C3703C" w:rsidP="00536DE3">
      <w:pPr>
        <w:autoSpaceDE w:val="0"/>
        <w:autoSpaceDN w:val="0"/>
        <w:adjustRightInd w:val="0"/>
        <w:spacing w:line="480" w:lineRule="auto"/>
      </w:pPr>
      <w:hyperlink r:id="rId12" w:history="1">
        <w:r w:rsidR="00536DE3" w:rsidRPr="00317823">
          <w:rPr>
            <w:rStyle w:val="Hyperlink"/>
          </w:rPr>
          <w:t>https://england.shelter.org.uk/news/july_2013/generation_rent_families_double_in_10_years</w:t>
        </w:r>
      </w:hyperlink>
    </w:p>
    <w:p w:rsidR="00A05A49" w:rsidRDefault="00A05A49" w:rsidP="00536DE3">
      <w:pPr>
        <w:autoSpaceDE w:val="0"/>
        <w:autoSpaceDN w:val="0"/>
        <w:adjustRightInd w:val="0"/>
        <w:spacing w:line="480" w:lineRule="auto"/>
      </w:pPr>
    </w:p>
    <w:p w:rsidR="00A05A49" w:rsidRDefault="00C3703C" w:rsidP="00536DE3">
      <w:pPr>
        <w:autoSpaceDE w:val="0"/>
        <w:autoSpaceDN w:val="0"/>
        <w:adjustRightInd w:val="0"/>
        <w:spacing w:line="480" w:lineRule="auto"/>
      </w:pPr>
      <w:hyperlink r:id="rId13" w:history="1">
        <w:r w:rsidR="00536DE3" w:rsidRPr="00EF679C">
          <w:rPr>
            <w:rStyle w:val="Hyperlink"/>
          </w:rPr>
          <w:t>http://www.cml.org.uk/cml/publications/newsandviews/141/545</w:t>
        </w:r>
      </w:hyperlink>
    </w:p>
    <w:p w:rsidR="00A05A49" w:rsidRPr="00A05A49" w:rsidRDefault="00A05A49" w:rsidP="00536DE3">
      <w:pPr>
        <w:autoSpaceDE w:val="0"/>
        <w:autoSpaceDN w:val="0"/>
        <w:adjustRightInd w:val="0"/>
        <w:spacing w:line="480" w:lineRule="auto"/>
      </w:pPr>
    </w:p>
    <w:p w:rsidR="00536DE3" w:rsidRDefault="00536DE3" w:rsidP="00536DE3">
      <w:pPr>
        <w:autoSpaceDE w:val="0"/>
        <w:autoSpaceDN w:val="0"/>
        <w:adjustRightInd w:val="0"/>
        <w:spacing w:line="480" w:lineRule="auto"/>
        <w:rPr>
          <w:bCs/>
        </w:rPr>
      </w:pPr>
      <w:r w:rsidRPr="00ED234D">
        <w:rPr>
          <w:bCs/>
        </w:rPr>
        <w:t>A better deal – towards more stable p</w:t>
      </w:r>
      <w:r>
        <w:rPr>
          <w:bCs/>
        </w:rPr>
        <w:t xml:space="preserve">rivate renting, Shelter, 2012 </w:t>
      </w:r>
      <w:r w:rsidRPr="00ED234D">
        <w:rPr>
          <w:bCs/>
        </w:rPr>
        <w:t xml:space="preserve"> </w:t>
      </w:r>
    </w:p>
    <w:p w:rsidR="00536DE3" w:rsidRDefault="00C3703C" w:rsidP="00536DE3">
      <w:pPr>
        <w:autoSpaceDE w:val="0"/>
        <w:autoSpaceDN w:val="0"/>
        <w:adjustRightInd w:val="0"/>
        <w:spacing w:line="480" w:lineRule="auto"/>
        <w:rPr>
          <w:bCs/>
        </w:rPr>
      </w:pPr>
      <w:hyperlink r:id="rId14" w:history="1">
        <w:r w:rsidR="00536DE3" w:rsidRPr="00ED234D">
          <w:rPr>
            <w:rStyle w:val="Hyperlink"/>
            <w:bCs/>
          </w:rPr>
          <w:t>http://england.shelter.org.uk/professional_resources/policy_and_research/policy_library/policy_library_folder/report_a_better_deal_-_ towards_more_stable_private_renting</w:t>
        </w:r>
      </w:hyperlink>
    </w:p>
    <w:p w:rsidR="00A05A49" w:rsidRDefault="00A05A49" w:rsidP="00536DE3">
      <w:pPr>
        <w:autoSpaceDE w:val="0"/>
        <w:autoSpaceDN w:val="0"/>
        <w:adjustRightInd w:val="0"/>
        <w:spacing w:line="480" w:lineRule="auto"/>
        <w:rPr>
          <w:bCs/>
        </w:rPr>
      </w:pPr>
    </w:p>
    <w:p w:rsidR="00536DE3" w:rsidRDefault="00536DE3" w:rsidP="00536DE3">
      <w:pPr>
        <w:autoSpaceDE w:val="0"/>
        <w:autoSpaceDN w:val="0"/>
        <w:adjustRightInd w:val="0"/>
        <w:spacing w:line="480" w:lineRule="auto"/>
        <w:rPr>
          <w:bCs/>
        </w:rPr>
      </w:pPr>
      <w:r w:rsidRPr="00B645D3">
        <w:rPr>
          <w:bCs/>
        </w:rPr>
        <w:t>Improving the rented housing sector</w:t>
      </w:r>
      <w:r>
        <w:rPr>
          <w:bCs/>
        </w:rPr>
        <w:t>, DCLG, 2013</w:t>
      </w:r>
    </w:p>
    <w:p w:rsidR="00536DE3" w:rsidRDefault="00C3703C" w:rsidP="00536DE3">
      <w:pPr>
        <w:autoSpaceDE w:val="0"/>
        <w:autoSpaceDN w:val="0"/>
        <w:adjustRightInd w:val="0"/>
        <w:spacing w:line="480" w:lineRule="auto"/>
      </w:pPr>
      <w:hyperlink r:id="rId15" w:history="1">
        <w:r w:rsidR="00536DE3" w:rsidRPr="008523EE">
          <w:rPr>
            <w:rStyle w:val="Hyperlink"/>
            <w:bCs/>
          </w:rPr>
          <w:t>https://www.gov.uk/government/policies/improving-the-rented-housing-sector--2/supporting-pages/private-rented-sector</w:t>
        </w:r>
      </w:hyperlink>
    </w:p>
    <w:p w:rsidR="00A05A49" w:rsidRDefault="00A05A49" w:rsidP="00536DE3">
      <w:pPr>
        <w:autoSpaceDE w:val="0"/>
        <w:autoSpaceDN w:val="0"/>
        <w:adjustRightInd w:val="0"/>
        <w:spacing w:line="480" w:lineRule="auto"/>
      </w:pPr>
    </w:p>
    <w:p w:rsidR="00536DE3" w:rsidRDefault="00536DE3" w:rsidP="00536DE3">
      <w:pPr>
        <w:autoSpaceDE w:val="0"/>
        <w:autoSpaceDN w:val="0"/>
        <w:adjustRightInd w:val="0"/>
        <w:spacing w:line="480" w:lineRule="auto"/>
      </w:pPr>
      <w:r>
        <w:t>Help to Buy, Daily Telegraph, 19 August 2013</w:t>
      </w:r>
    </w:p>
    <w:p w:rsidR="00536DE3" w:rsidRDefault="00C3703C" w:rsidP="00536DE3">
      <w:pPr>
        <w:autoSpaceDE w:val="0"/>
        <w:autoSpaceDN w:val="0"/>
        <w:adjustRightInd w:val="0"/>
        <w:spacing w:line="480" w:lineRule="auto"/>
      </w:pPr>
      <w:hyperlink r:id="rId16" w:history="1">
        <w:r w:rsidR="00536DE3" w:rsidRPr="00A418DF">
          <w:rPr>
            <w:rStyle w:val="Hyperlink"/>
          </w:rPr>
          <w:t>http://www.telegraph.co.uk/property/propertynews/10207306/Help-to-Buy-risks-new-house-price-bubble-warns-Cable.html</w:t>
        </w:r>
      </w:hyperlink>
    </w:p>
    <w:p w:rsidR="00536DE3" w:rsidRDefault="00536DE3" w:rsidP="00536DE3">
      <w:pPr>
        <w:autoSpaceDE w:val="0"/>
        <w:autoSpaceDN w:val="0"/>
        <w:adjustRightInd w:val="0"/>
        <w:spacing w:line="480" w:lineRule="auto"/>
      </w:pPr>
    </w:p>
    <w:p w:rsidR="00536DE3" w:rsidRDefault="00536DE3" w:rsidP="00536DE3">
      <w:pPr>
        <w:autoSpaceDE w:val="0"/>
        <w:autoSpaceDN w:val="0"/>
        <w:adjustRightInd w:val="0"/>
        <w:spacing w:line="480" w:lineRule="auto"/>
      </w:pPr>
      <w:r>
        <w:t>Labour Policy Review: Private Rented Housing</w:t>
      </w:r>
    </w:p>
    <w:p w:rsidR="00536DE3" w:rsidRDefault="00C3703C" w:rsidP="00536DE3">
      <w:pPr>
        <w:autoSpaceDE w:val="0"/>
        <w:autoSpaceDN w:val="0"/>
        <w:adjustRightInd w:val="0"/>
        <w:spacing w:line="480" w:lineRule="auto"/>
        <w:rPr>
          <w:bCs/>
        </w:rPr>
      </w:pPr>
      <w:hyperlink r:id="rId17" w:history="1">
        <w:r w:rsidR="00536DE3" w:rsidRPr="00EF679C">
          <w:rPr>
            <w:rStyle w:val="Hyperlink"/>
            <w:bCs/>
          </w:rPr>
          <w:t>http://www.labour.org.uk/uploads/adaa0b53-702a-4a84-e110-7261b2d5abea.pdf</w:t>
        </w:r>
      </w:hyperlink>
    </w:p>
    <w:p w:rsidR="006B6E6D" w:rsidRDefault="006B6E6D" w:rsidP="00536DE3">
      <w:pPr>
        <w:autoSpaceDE w:val="0"/>
        <w:autoSpaceDN w:val="0"/>
        <w:adjustRightInd w:val="0"/>
        <w:spacing w:line="480" w:lineRule="auto"/>
        <w:rPr>
          <w:bCs/>
        </w:rPr>
      </w:pPr>
    </w:p>
    <w:p w:rsidR="00A05A49" w:rsidRDefault="00C3703C" w:rsidP="00536DE3">
      <w:pPr>
        <w:autoSpaceDE w:val="0"/>
        <w:autoSpaceDN w:val="0"/>
        <w:adjustRightInd w:val="0"/>
        <w:spacing w:line="480" w:lineRule="auto"/>
        <w:rPr>
          <w:bCs/>
        </w:rPr>
      </w:pPr>
      <w:hyperlink r:id="rId18" w:history="1">
        <w:r w:rsidR="00536DE3" w:rsidRPr="00317823">
          <w:rPr>
            <w:rStyle w:val="Hyperlink"/>
            <w:bCs/>
          </w:rPr>
          <w:t>http://d3n8a8pro7vhmx.cloudfront.net/pricedout/pages/44/attachments/original/1392820666/PricedOut_Index_report_190214.pdf?1392820666</w:t>
        </w:r>
      </w:hyperlink>
    </w:p>
    <w:p w:rsidR="002C1565" w:rsidRDefault="002C1565" w:rsidP="00536DE3">
      <w:pPr>
        <w:autoSpaceDE w:val="0"/>
        <w:autoSpaceDN w:val="0"/>
        <w:adjustRightInd w:val="0"/>
        <w:spacing w:line="480" w:lineRule="auto"/>
        <w:rPr>
          <w:bCs/>
        </w:rPr>
      </w:pPr>
    </w:p>
    <w:p w:rsidR="00536DE3" w:rsidRDefault="00C3703C" w:rsidP="00536DE3">
      <w:pPr>
        <w:autoSpaceDE w:val="0"/>
        <w:autoSpaceDN w:val="0"/>
        <w:adjustRightInd w:val="0"/>
        <w:spacing w:line="480" w:lineRule="auto"/>
        <w:rPr>
          <w:bCs/>
        </w:rPr>
      </w:pPr>
      <w:hyperlink r:id="rId19" w:history="1">
        <w:r w:rsidR="00536DE3" w:rsidRPr="00EF679C">
          <w:rPr>
            <w:rStyle w:val="Hyperlink"/>
            <w:bCs/>
          </w:rPr>
          <w:t>http://www.pricedout.org.uk/</w:t>
        </w:r>
      </w:hyperlink>
    </w:p>
    <w:p w:rsidR="00536DE3" w:rsidRDefault="00536DE3" w:rsidP="00536DE3">
      <w:pPr>
        <w:autoSpaceDE w:val="0"/>
        <w:autoSpaceDN w:val="0"/>
        <w:adjustRightInd w:val="0"/>
        <w:spacing w:line="480" w:lineRule="auto"/>
        <w:rPr>
          <w:bCs/>
        </w:rPr>
      </w:pPr>
    </w:p>
    <w:p w:rsidR="00536DE3" w:rsidRDefault="00536DE3" w:rsidP="00536DE3">
      <w:pPr>
        <w:pStyle w:val="EndnoteText"/>
        <w:spacing w:line="48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3465624"/>
      <w:docPartObj>
        <w:docPartGallery w:val="Page Numbers (Bottom of Page)"/>
        <w:docPartUnique/>
      </w:docPartObj>
    </w:sdtPr>
    <w:sdtEndPr/>
    <w:sdtContent>
      <w:p w:rsidR="002942F8" w:rsidRDefault="00536DE3">
        <w:pPr>
          <w:pStyle w:val="Footer"/>
          <w:jc w:val="right"/>
        </w:pPr>
        <w:r>
          <w:fldChar w:fldCharType="begin"/>
        </w:r>
        <w:r>
          <w:instrText xml:space="preserve"> PAGE   \* MERGEFORMAT </w:instrText>
        </w:r>
        <w:r>
          <w:fldChar w:fldCharType="separate"/>
        </w:r>
        <w:r w:rsidR="00C3703C">
          <w:rPr>
            <w:noProof/>
          </w:rPr>
          <w:t>1</w:t>
        </w:r>
        <w:r>
          <w:rPr>
            <w:noProof/>
          </w:rPr>
          <w:fldChar w:fldCharType="end"/>
        </w:r>
      </w:p>
    </w:sdtContent>
  </w:sdt>
  <w:p w:rsidR="002942F8" w:rsidRDefault="00C3703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2294E" w:rsidRDefault="0022294E" w:rsidP="00536DE3">
      <w:pPr>
        <w:spacing w:after="0" w:line="240" w:lineRule="auto"/>
      </w:pPr>
      <w:r>
        <w:separator/>
      </w:r>
    </w:p>
  </w:footnote>
  <w:footnote w:type="continuationSeparator" w:id="0">
    <w:p w:rsidR="0022294E" w:rsidRDefault="0022294E" w:rsidP="00536DE3">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6CA3"/>
    <w:rsid w:val="00007E83"/>
    <w:rsid w:val="000418D2"/>
    <w:rsid w:val="00061863"/>
    <w:rsid w:val="00065234"/>
    <w:rsid w:val="000A72DF"/>
    <w:rsid w:val="000A7BA9"/>
    <w:rsid w:val="000B73EE"/>
    <w:rsid w:val="000C1AB6"/>
    <w:rsid w:val="000C578C"/>
    <w:rsid w:val="000E2B9B"/>
    <w:rsid w:val="00112C21"/>
    <w:rsid w:val="001226A9"/>
    <w:rsid w:val="00127A70"/>
    <w:rsid w:val="00180675"/>
    <w:rsid w:val="001B56D7"/>
    <w:rsid w:val="001C373E"/>
    <w:rsid w:val="001D193B"/>
    <w:rsid w:val="001E56D7"/>
    <w:rsid w:val="00201ED1"/>
    <w:rsid w:val="0020713C"/>
    <w:rsid w:val="00222915"/>
    <w:rsid w:val="0022294E"/>
    <w:rsid w:val="00225838"/>
    <w:rsid w:val="00247593"/>
    <w:rsid w:val="00291FF7"/>
    <w:rsid w:val="002C1565"/>
    <w:rsid w:val="002F58C7"/>
    <w:rsid w:val="002F65A3"/>
    <w:rsid w:val="00333DAD"/>
    <w:rsid w:val="00340A32"/>
    <w:rsid w:val="00357F05"/>
    <w:rsid w:val="00362467"/>
    <w:rsid w:val="00363E30"/>
    <w:rsid w:val="00382ECC"/>
    <w:rsid w:val="00390434"/>
    <w:rsid w:val="003A68A1"/>
    <w:rsid w:val="003A729E"/>
    <w:rsid w:val="003F009F"/>
    <w:rsid w:val="003F40A5"/>
    <w:rsid w:val="00414232"/>
    <w:rsid w:val="00434F90"/>
    <w:rsid w:val="004424FE"/>
    <w:rsid w:val="004666F7"/>
    <w:rsid w:val="004669DC"/>
    <w:rsid w:val="0048026C"/>
    <w:rsid w:val="004951B7"/>
    <w:rsid w:val="004E40E9"/>
    <w:rsid w:val="004F0CAB"/>
    <w:rsid w:val="004F22E3"/>
    <w:rsid w:val="004F5CBA"/>
    <w:rsid w:val="005349EF"/>
    <w:rsid w:val="00536DE3"/>
    <w:rsid w:val="005470F0"/>
    <w:rsid w:val="0055292C"/>
    <w:rsid w:val="00564924"/>
    <w:rsid w:val="00573867"/>
    <w:rsid w:val="00576CA3"/>
    <w:rsid w:val="005A0E3C"/>
    <w:rsid w:val="005A1287"/>
    <w:rsid w:val="005B550B"/>
    <w:rsid w:val="005E17DB"/>
    <w:rsid w:val="005F6CD1"/>
    <w:rsid w:val="0060660F"/>
    <w:rsid w:val="00627416"/>
    <w:rsid w:val="00647184"/>
    <w:rsid w:val="0067195C"/>
    <w:rsid w:val="00686998"/>
    <w:rsid w:val="006901AF"/>
    <w:rsid w:val="00692F18"/>
    <w:rsid w:val="006A65FB"/>
    <w:rsid w:val="006B6E6D"/>
    <w:rsid w:val="006B772C"/>
    <w:rsid w:val="006F3085"/>
    <w:rsid w:val="00711074"/>
    <w:rsid w:val="00712D5A"/>
    <w:rsid w:val="00713123"/>
    <w:rsid w:val="00751818"/>
    <w:rsid w:val="0077478E"/>
    <w:rsid w:val="00787925"/>
    <w:rsid w:val="007A1148"/>
    <w:rsid w:val="007A798F"/>
    <w:rsid w:val="007D65E0"/>
    <w:rsid w:val="007E03AF"/>
    <w:rsid w:val="007F4A44"/>
    <w:rsid w:val="00811F67"/>
    <w:rsid w:val="008157B8"/>
    <w:rsid w:val="00815A06"/>
    <w:rsid w:val="008404E5"/>
    <w:rsid w:val="0087274B"/>
    <w:rsid w:val="0088646A"/>
    <w:rsid w:val="00890D6B"/>
    <w:rsid w:val="00892754"/>
    <w:rsid w:val="008A1837"/>
    <w:rsid w:val="008A2503"/>
    <w:rsid w:val="008B3934"/>
    <w:rsid w:val="008D5AE9"/>
    <w:rsid w:val="008F443E"/>
    <w:rsid w:val="009048D2"/>
    <w:rsid w:val="00906451"/>
    <w:rsid w:val="00912B92"/>
    <w:rsid w:val="0092434E"/>
    <w:rsid w:val="00941283"/>
    <w:rsid w:val="00956D26"/>
    <w:rsid w:val="009B20D5"/>
    <w:rsid w:val="009F3437"/>
    <w:rsid w:val="009F7B72"/>
    <w:rsid w:val="00A05A49"/>
    <w:rsid w:val="00A26F86"/>
    <w:rsid w:val="00A44FE1"/>
    <w:rsid w:val="00A50DBA"/>
    <w:rsid w:val="00A80647"/>
    <w:rsid w:val="00A80F28"/>
    <w:rsid w:val="00AC2A36"/>
    <w:rsid w:val="00AC3717"/>
    <w:rsid w:val="00AE5456"/>
    <w:rsid w:val="00AF6209"/>
    <w:rsid w:val="00B14E17"/>
    <w:rsid w:val="00B167CA"/>
    <w:rsid w:val="00B22AF2"/>
    <w:rsid w:val="00B26F80"/>
    <w:rsid w:val="00B30773"/>
    <w:rsid w:val="00B365ED"/>
    <w:rsid w:val="00B7096E"/>
    <w:rsid w:val="00B73078"/>
    <w:rsid w:val="00B914ED"/>
    <w:rsid w:val="00B92216"/>
    <w:rsid w:val="00B931CB"/>
    <w:rsid w:val="00BA172F"/>
    <w:rsid w:val="00BA21DF"/>
    <w:rsid w:val="00C1178A"/>
    <w:rsid w:val="00C15686"/>
    <w:rsid w:val="00C3703C"/>
    <w:rsid w:val="00C45AEC"/>
    <w:rsid w:val="00C516EF"/>
    <w:rsid w:val="00C715D7"/>
    <w:rsid w:val="00C77BEB"/>
    <w:rsid w:val="00C92A98"/>
    <w:rsid w:val="00C93929"/>
    <w:rsid w:val="00C972EE"/>
    <w:rsid w:val="00CB7E23"/>
    <w:rsid w:val="00CE4035"/>
    <w:rsid w:val="00CF40EC"/>
    <w:rsid w:val="00D04B90"/>
    <w:rsid w:val="00D12B1D"/>
    <w:rsid w:val="00D17FC7"/>
    <w:rsid w:val="00D84302"/>
    <w:rsid w:val="00DB6B73"/>
    <w:rsid w:val="00DF66EA"/>
    <w:rsid w:val="00E1056F"/>
    <w:rsid w:val="00E35A10"/>
    <w:rsid w:val="00E515AC"/>
    <w:rsid w:val="00E62FC1"/>
    <w:rsid w:val="00EC11B0"/>
    <w:rsid w:val="00EC680F"/>
    <w:rsid w:val="00ED3AF6"/>
    <w:rsid w:val="00ED68AA"/>
    <w:rsid w:val="00EF7306"/>
    <w:rsid w:val="00F01A71"/>
    <w:rsid w:val="00F06445"/>
    <w:rsid w:val="00F116F6"/>
    <w:rsid w:val="00F152D8"/>
    <w:rsid w:val="00F25AB0"/>
    <w:rsid w:val="00F424A6"/>
    <w:rsid w:val="00F45F40"/>
    <w:rsid w:val="00F47175"/>
    <w:rsid w:val="00F55A84"/>
    <w:rsid w:val="00F728FD"/>
    <w:rsid w:val="00F72BC8"/>
    <w:rsid w:val="00F72C95"/>
    <w:rsid w:val="00F74AFD"/>
    <w:rsid w:val="00FB15C3"/>
    <w:rsid w:val="00FB7A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C5F19347-AD37-47C3-9FCC-69CACB3F20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nhideWhenUsed/>
    <w:rsid w:val="00536DE3"/>
    <w:rPr>
      <w:color w:val="0000FF"/>
      <w:u w:val="single"/>
    </w:rPr>
  </w:style>
  <w:style w:type="paragraph" w:styleId="EndnoteText">
    <w:name w:val="endnote text"/>
    <w:basedOn w:val="Normal"/>
    <w:link w:val="EndnoteTextChar"/>
    <w:semiHidden/>
    <w:unhideWhenUsed/>
    <w:rsid w:val="00536DE3"/>
    <w:pPr>
      <w:spacing w:after="0" w:line="240" w:lineRule="auto"/>
    </w:pPr>
    <w:rPr>
      <w:rFonts w:ascii="Times New Roman" w:eastAsia="Times New Roman" w:hAnsi="Times New Roman" w:cs="Times New Roman"/>
      <w:sz w:val="20"/>
      <w:szCs w:val="20"/>
      <w:lang w:eastAsia="en-GB"/>
    </w:rPr>
  </w:style>
  <w:style w:type="character" w:customStyle="1" w:styleId="EndnoteTextChar">
    <w:name w:val="Endnote Text Char"/>
    <w:basedOn w:val="DefaultParagraphFont"/>
    <w:link w:val="EndnoteText"/>
    <w:semiHidden/>
    <w:rsid w:val="00536DE3"/>
    <w:rPr>
      <w:rFonts w:ascii="Times New Roman" w:eastAsia="Times New Roman" w:hAnsi="Times New Roman" w:cs="Times New Roman"/>
      <w:sz w:val="20"/>
      <w:szCs w:val="20"/>
      <w:lang w:eastAsia="en-GB"/>
    </w:rPr>
  </w:style>
  <w:style w:type="character" w:styleId="EndnoteReference">
    <w:name w:val="endnote reference"/>
    <w:semiHidden/>
    <w:unhideWhenUsed/>
    <w:rsid w:val="00536DE3"/>
    <w:rPr>
      <w:vertAlign w:val="superscript"/>
    </w:rPr>
  </w:style>
  <w:style w:type="paragraph" w:styleId="Footer">
    <w:name w:val="footer"/>
    <w:basedOn w:val="Normal"/>
    <w:link w:val="FooterChar"/>
    <w:uiPriority w:val="99"/>
    <w:unhideWhenUsed/>
    <w:rsid w:val="00536DE3"/>
    <w:pPr>
      <w:tabs>
        <w:tab w:val="center" w:pos="4513"/>
        <w:tab w:val="right" w:pos="9026"/>
      </w:tabs>
      <w:spacing w:after="0" w:line="240" w:lineRule="auto"/>
    </w:pPr>
    <w:rPr>
      <w:rFonts w:ascii="Times New Roman" w:eastAsia="Times New Roman" w:hAnsi="Times New Roman" w:cs="Times New Roman"/>
      <w:sz w:val="24"/>
      <w:szCs w:val="24"/>
      <w:lang w:eastAsia="en-GB"/>
    </w:rPr>
  </w:style>
  <w:style w:type="character" w:customStyle="1" w:styleId="FooterChar">
    <w:name w:val="Footer Char"/>
    <w:basedOn w:val="DefaultParagraphFont"/>
    <w:link w:val="Footer"/>
    <w:uiPriority w:val="99"/>
    <w:rsid w:val="00536DE3"/>
    <w:rPr>
      <w:rFonts w:ascii="Times New Roman" w:eastAsia="Times New Roman" w:hAnsi="Times New Roman" w:cs="Times New Roman"/>
      <w:sz w:val="24"/>
      <w:szCs w:val="24"/>
      <w:lang w:eastAsia="en-GB"/>
    </w:rPr>
  </w:style>
  <w:style w:type="paragraph" w:styleId="BalloonText">
    <w:name w:val="Balloon Text"/>
    <w:basedOn w:val="Normal"/>
    <w:link w:val="BalloonTextChar"/>
    <w:uiPriority w:val="99"/>
    <w:semiHidden/>
    <w:unhideWhenUsed/>
    <w:rsid w:val="00536DE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6DE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chart" Target="charts/chart2.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image" Target="media/image2.gif"/><Relationship Id="rId14" Type="http://schemas.openxmlformats.org/officeDocument/2006/relationships/fontTable" Target="fontTable.xml"/></Relationships>
</file>

<file path=word/_rels/endnotes.xml.rels><?xml version="1.0" encoding="UTF-8" standalone="yes"?>
<Relationships xmlns="http://schemas.openxmlformats.org/package/2006/relationships"><Relationship Id="rId8" Type="http://schemas.openxmlformats.org/officeDocument/2006/relationships/hyperlink" Target="http://www.prohousingalliance.com/wp-content/uploads/2011/08/PHA-Policy-Statement.pdf" TargetMode="External"/><Relationship Id="rId13" Type="http://schemas.openxmlformats.org/officeDocument/2006/relationships/hyperlink" Target="http://www.cml.org.uk/cml/publications/newsandviews/141/545" TargetMode="External"/><Relationship Id="rId18" Type="http://schemas.openxmlformats.org/officeDocument/2006/relationships/hyperlink" Target="http://d3n8a8pro7vhmx.cloudfront.net/pricedout/pages/44/attachments/original/1392820666/PricedOut_Index_report_190214.pdf?1392820666" TargetMode="External"/><Relationship Id="rId3" Type="http://schemas.openxmlformats.org/officeDocument/2006/relationships/hyperlink" Target="http://www.tuc.org.uk/economy/tuc-19639-f0.pdf" TargetMode="External"/><Relationship Id="rId7" Type="http://schemas.openxmlformats.org/officeDocument/2006/relationships/hyperlink" Target="https://www.gov.uk/government/publications/monitoring-the-impact-of-changes-to-the-local-housing-allowance-system-of-housing-benefit-interim-report-rr-838" TargetMode="External"/><Relationship Id="rId12" Type="http://schemas.openxmlformats.org/officeDocument/2006/relationships/hyperlink" Target="https://england.shelter.org.uk/news/july_2013/generation_rent_families_double_in_10_years" TargetMode="External"/><Relationship Id="rId17" Type="http://schemas.openxmlformats.org/officeDocument/2006/relationships/hyperlink" Target="http://www.labour.org.uk/uploads/adaa0b53-702a-4a84-e110-7261b2d5abea.pdf" TargetMode="External"/><Relationship Id="rId2" Type="http://schemas.openxmlformats.org/officeDocument/2006/relationships/hyperlink" Target="http://www.localis.org.uk" TargetMode="External"/><Relationship Id="rId16" Type="http://schemas.openxmlformats.org/officeDocument/2006/relationships/hyperlink" Target="http://www.telegraph.co.uk/property/propertynews/10207306/Help-to-Buy-risks-new-house-price-bubble-warns-Cable.html" TargetMode="External"/><Relationship Id="rId1" Type="http://schemas.openxmlformats.org/officeDocument/2006/relationships/hyperlink" Target="http://www.labour.org.uk/uploads/adaa0b53-702a-4a84-e110-7261b2d5abea.pdf" TargetMode="External"/><Relationship Id="rId6" Type="http://schemas.openxmlformats.org/officeDocument/2006/relationships/hyperlink" Target="http://www.politicsforum.co.uk/forum/viewtopic.php?f=93&amp;t=42056" TargetMode="External"/><Relationship Id="rId11" Type="http://schemas.openxmlformats.org/officeDocument/2006/relationships/hyperlink" Target="http://england.shelter.org.uk/news/october_2012/housing_costs_force_1_in_10_back_to_mum_and_dad" TargetMode="External"/><Relationship Id="rId5" Type="http://schemas.openxmlformats.org/officeDocument/2006/relationships/hyperlink" Target="http://www.housing.org.uk/policy/welfare_reform/'under-occupation'_penalty.aspx" TargetMode="External"/><Relationship Id="rId15" Type="http://schemas.openxmlformats.org/officeDocument/2006/relationships/hyperlink" Target="https://www.gov.uk/government/policies/improving-the-rented-housing-sector--2/supporting-pages/private-rented-sector" TargetMode="External"/><Relationship Id="rId10" Type="http://schemas.openxmlformats.org/officeDocument/2006/relationships/hyperlink" Target="http://england.shelter.org.uk/__data/assets/pdf_file/0005/656708/Growing_up_renting.pdf" TargetMode="External"/><Relationship Id="rId19" Type="http://schemas.openxmlformats.org/officeDocument/2006/relationships/hyperlink" Target="http://www.pricedout.org.uk/" TargetMode="External"/><Relationship Id="rId4" Type="http://schemas.openxmlformats.org/officeDocument/2006/relationships/hyperlink" Target="http://www.guardian.co.uk/business/2006/sep/21/housingmarket.firsttimebuyers" TargetMode="External"/><Relationship Id="rId9" Type="http://schemas.openxmlformats.org/officeDocument/2006/relationships/hyperlink" Target="http://www.conservatives.com/Policy/Where_we_stand/Family.aspx" TargetMode="External"/><Relationship Id="rId14" Type="http://schemas.openxmlformats.org/officeDocument/2006/relationships/hyperlink" Target="http://england.shelter.org.uk/professional_resources/policy_and_research/policy_library/policy_library_folder/report_a_better_deal_-_%20towards_more_stable_private_renting" TargetMode="External"/></Relationships>
</file>

<file path=word/charts/_rels/chart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file:///C:\Users\soc124\AppData\Local\Opera\Opera\temporary_downloads\LiveTable241%20(2).xls" TargetMode="External"/><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lineChart>
        <c:grouping val="standard"/>
        <c:varyColors val="0"/>
        <c:ser>
          <c:idx val="0"/>
          <c:order val="0"/>
          <c:tx>
            <c:strRef>
              <c:f>'[fig1gbindexlevel_tcm77-312075.xls]Sheet1'!$B$1:$B$3</c:f>
              <c:strCache>
                <c:ptCount val="1"/>
                <c:pt idx="0">
                  <c:v>IPHRP Indices, Great Britain Great Britain</c:v>
                </c:pt>
              </c:strCache>
            </c:strRef>
          </c:tx>
          <c:marker>
            <c:symbol val="none"/>
          </c:marker>
          <c:cat>
            <c:strRef>
              <c:f>'[fig1gbindexlevel_tcm77-312075.xls]Sheet1'!$A$4:$A$32</c:f>
              <c:strCache>
                <c:ptCount val="29"/>
                <c:pt idx="0">
                  <c:v>Jan 2011</c:v>
                </c:pt>
                <c:pt idx="1">
                  <c:v>Feb</c:v>
                </c:pt>
                <c:pt idx="2">
                  <c:v>Mar</c:v>
                </c:pt>
                <c:pt idx="3">
                  <c:v>Apr</c:v>
                </c:pt>
                <c:pt idx="4">
                  <c:v>May</c:v>
                </c:pt>
                <c:pt idx="5">
                  <c:v>Jun</c:v>
                </c:pt>
                <c:pt idx="6">
                  <c:v>Jul</c:v>
                </c:pt>
                <c:pt idx="7">
                  <c:v>Aug</c:v>
                </c:pt>
                <c:pt idx="8">
                  <c:v>Sep</c:v>
                </c:pt>
                <c:pt idx="9">
                  <c:v>Oct</c:v>
                </c:pt>
                <c:pt idx="10">
                  <c:v>Nov</c:v>
                </c:pt>
                <c:pt idx="11">
                  <c:v>Dec</c:v>
                </c:pt>
                <c:pt idx="12">
                  <c:v>Jan 2012</c:v>
                </c:pt>
                <c:pt idx="13">
                  <c:v>Feb</c:v>
                </c:pt>
                <c:pt idx="14">
                  <c:v>Mar</c:v>
                </c:pt>
                <c:pt idx="15">
                  <c:v>Apr</c:v>
                </c:pt>
                <c:pt idx="16">
                  <c:v>May</c:v>
                </c:pt>
                <c:pt idx="17">
                  <c:v>Jun</c:v>
                </c:pt>
                <c:pt idx="18">
                  <c:v>Jul</c:v>
                </c:pt>
                <c:pt idx="19">
                  <c:v>Aug</c:v>
                </c:pt>
                <c:pt idx="20">
                  <c:v>Sep</c:v>
                </c:pt>
                <c:pt idx="21">
                  <c:v>Oct</c:v>
                </c:pt>
                <c:pt idx="22">
                  <c:v>Nov</c:v>
                </c:pt>
                <c:pt idx="23">
                  <c:v>Dec</c:v>
                </c:pt>
                <c:pt idx="24">
                  <c:v>Jan 2013</c:v>
                </c:pt>
                <c:pt idx="25">
                  <c:v>Feb</c:v>
                </c:pt>
                <c:pt idx="26">
                  <c:v>Mar</c:v>
                </c:pt>
                <c:pt idx="27">
                  <c:v>Apr</c:v>
                </c:pt>
                <c:pt idx="28">
                  <c:v>May</c:v>
                </c:pt>
              </c:strCache>
            </c:strRef>
          </c:cat>
          <c:val>
            <c:numRef>
              <c:f>'[fig1gbindexlevel_tcm77-312075.xls]Sheet1'!$B$4:$B$32</c:f>
              <c:numCache>
                <c:formatCode>0.0</c:formatCode>
                <c:ptCount val="29"/>
                <c:pt idx="0">
                  <c:v>100</c:v>
                </c:pt>
                <c:pt idx="1">
                  <c:v>100.05057853241152</c:v>
                </c:pt>
                <c:pt idx="2">
                  <c:v>100.10655943175956</c:v>
                </c:pt>
                <c:pt idx="3">
                  <c:v>100.18529242821337</c:v>
                </c:pt>
                <c:pt idx="4">
                  <c:v>100.30056995419585</c:v>
                </c:pt>
                <c:pt idx="5">
                  <c:v>100.41285889452887</c:v>
                </c:pt>
                <c:pt idx="6">
                  <c:v>100.54685893326678</c:v>
                </c:pt>
                <c:pt idx="7">
                  <c:v>100.6563468324009</c:v>
                </c:pt>
                <c:pt idx="8">
                  <c:v>100.77946603260371</c:v>
                </c:pt>
                <c:pt idx="9">
                  <c:v>100.9120867743201</c:v>
                </c:pt>
                <c:pt idx="10">
                  <c:v>101.07228390225043</c:v>
                </c:pt>
                <c:pt idx="11">
                  <c:v>101.20594720005589</c:v>
                </c:pt>
                <c:pt idx="12">
                  <c:v>101.37518905665371</c:v>
                </c:pt>
                <c:pt idx="13">
                  <c:v>101.43610503242317</c:v>
                </c:pt>
                <c:pt idx="14">
                  <c:v>101.52487433697856</c:v>
                </c:pt>
                <c:pt idx="15">
                  <c:v>101.62104771672514</c:v>
                </c:pt>
                <c:pt idx="16">
                  <c:v>101.73464035525336</c:v>
                </c:pt>
                <c:pt idx="17">
                  <c:v>101.85220847051178</c:v>
                </c:pt>
                <c:pt idx="18">
                  <c:v>101.98308922602664</c:v>
                </c:pt>
                <c:pt idx="19">
                  <c:v>102.08526980306689</c:v>
                </c:pt>
                <c:pt idx="20">
                  <c:v>102.18333602954829</c:v>
                </c:pt>
                <c:pt idx="21">
                  <c:v>102.32492805078269</c:v>
                </c:pt>
                <c:pt idx="22">
                  <c:v>102.46940787591953</c:v>
                </c:pt>
                <c:pt idx="23">
                  <c:v>102.6150984974288</c:v>
                </c:pt>
                <c:pt idx="24">
                  <c:v>102.78168261043464</c:v>
                </c:pt>
                <c:pt idx="25">
                  <c:v>102.81664293564134</c:v>
                </c:pt>
                <c:pt idx="26">
                  <c:v>102.86808175571974</c:v>
                </c:pt>
                <c:pt idx="27">
                  <c:v>102.93627096684071</c:v>
                </c:pt>
                <c:pt idx="28">
                  <c:v>103.02210881799225</c:v>
                </c:pt>
              </c:numCache>
            </c:numRef>
          </c:val>
          <c:smooth val="0"/>
        </c:ser>
        <c:ser>
          <c:idx val="1"/>
          <c:order val="1"/>
          <c:tx>
            <c:strRef>
              <c:f>'[fig1gbindexlevel_tcm77-312075.xls]Sheet1'!$C$1:$C$3</c:f>
              <c:strCache>
                <c:ptCount val="1"/>
                <c:pt idx="0">
                  <c:v>IPHRP Indices, Great Britain Index (January 2011 = 100) Great Britain excl. London</c:v>
                </c:pt>
              </c:strCache>
            </c:strRef>
          </c:tx>
          <c:marker>
            <c:symbol val="none"/>
          </c:marker>
          <c:cat>
            <c:strRef>
              <c:f>'[fig1gbindexlevel_tcm77-312075.xls]Sheet1'!$A$4:$A$32</c:f>
              <c:strCache>
                <c:ptCount val="29"/>
                <c:pt idx="0">
                  <c:v>Jan 2011</c:v>
                </c:pt>
                <c:pt idx="1">
                  <c:v>Feb</c:v>
                </c:pt>
                <c:pt idx="2">
                  <c:v>Mar</c:v>
                </c:pt>
                <c:pt idx="3">
                  <c:v>Apr</c:v>
                </c:pt>
                <c:pt idx="4">
                  <c:v>May</c:v>
                </c:pt>
                <c:pt idx="5">
                  <c:v>Jun</c:v>
                </c:pt>
                <c:pt idx="6">
                  <c:v>Jul</c:v>
                </c:pt>
                <c:pt idx="7">
                  <c:v>Aug</c:v>
                </c:pt>
                <c:pt idx="8">
                  <c:v>Sep</c:v>
                </c:pt>
                <c:pt idx="9">
                  <c:v>Oct</c:v>
                </c:pt>
                <c:pt idx="10">
                  <c:v>Nov</c:v>
                </c:pt>
                <c:pt idx="11">
                  <c:v>Dec</c:v>
                </c:pt>
                <c:pt idx="12">
                  <c:v>Jan 2012</c:v>
                </c:pt>
                <c:pt idx="13">
                  <c:v>Feb</c:v>
                </c:pt>
                <c:pt idx="14">
                  <c:v>Mar</c:v>
                </c:pt>
                <c:pt idx="15">
                  <c:v>Apr</c:v>
                </c:pt>
                <c:pt idx="16">
                  <c:v>May</c:v>
                </c:pt>
                <c:pt idx="17">
                  <c:v>Jun</c:v>
                </c:pt>
                <c:pt idx="18">
                  <c:v>Jul</c:v>
                </c:pt>
                <c:pt idx="19">
                  <c:v>Aug</c:v>
                </c:pt>
                <c:pt idx="20">
                  <c:v>Sep</c:v>
                </c:pt>
                <c:pt idx="21">
                  <c:v>Oct</c:v>
                </c:pt>
                <c:pt idx="22">
                  <c:v>Nov</c:v>
                </c:pt>
                <c:pt idx="23">
                  <c:v>Dec</c:v>
                </c:pt>
                <c:pt idx="24">
                  <c:v>Jan 2013</c:v>
                </c:pt>
                <c:pt idx="25">
                  <c:v>Feb</c:v>
                </c:pt>
                <c:pt idx="26">
                  <c:v>Mar</c:v>
                </c:pt>
                <c:pt idx="27">
                  <c:v>Apr</c:v>
                </c:pt>
                <c:pt idx="28">
                  <c:v>May</c:v>
                </c:pt>
              </c:strCache>
            </c:strRef>
          </c:cat>
          <c:val>
            <c:numRef>
              <c:f>'[fig1gbindexlevel_tcm77-312075.xls]Sheet1'!$C$4:$C$32</c:f>
              <c:numCache>
                <c:formatCode>0.0</c:formatCode>
                <c:ptCount val="29"/>
                <c:pt idx="0">
                  <c:v>100</c:v>
                </c:pt>
                <c:pt idx="1">
                  <c:v>100.03429285330844</c:v>
                </c:pt>
                <c:pt idx="2">
                  <c:v>100.07158082617846</c:v>
                </c:pt>
                <c:pt idx="3">
                  <c:v>100.12869272523388</c:v>
                </c:pt>
                <c:pt idx="4">
                  <c:v>100.21772317554843</c:v>
                </c:pt>
                <c:pt idx="5">
                  <c:v>100.29137851270605</c:v>
                </c:pt>
                <c:pt idx="6">
                  <c:v>100.38523617935809</c:v>
                </c:pt>
                <c:pt idx="7">
                  <c:v>100.465124922371</c:v>
                </c:pt>
                <c:pt idx="8">
                  <c:v>100.56127242538444</c:v>
                </c:pt>
                <c:pt idx="9">
                  <c:v>100.66456673469746</c:v>
                </c:pt>
                <c:pt idx="10">
                  <c:v>100.79593587698157</c:v>
                </c:pt>
                <c:pt idx="11">
                  <c:v>100.87915447404372</c:v>
                </c:pt>
                <c:pt idx="12">
                  <c:v>100.99699119180328</c:v>
                </c:pt>
                <c:pt idx="13">
                  <c:v>101.03476609025611</c:v>
                </c:pt>
                <c:pt idx="14">
                  <c:v>101.07434859888555</c:v>
                </c:pt>
                <c:pt idx="15">
                  <c:v>101.12469940816646</c:v>
                </c:pt>
                <c:pt idx="16">
                  <c:v>101.18964283676189</c:v>
                </c:pt>
                <c:pt idx="17">
                  <c:v>101.25599500273472</c:v>
                </c:pt>
                <c:pt idx="18">
                  <c:v>101.32554788510608</c:v>
                </c:pt>
                <c:pt idx="19">
                  <c:v>101.3911529120613</c:v>
                </c:pt>
                <c:pt idx="20">
                  <c:v>101.45378083913859</c:v>
                </c:pt>
                <c:pt idx="21">
                  <c:v>101.55213434017664</c:v>
                </c:pt>
                <c:pt idx="22">
                  <c:v>101.6461176989142</c:v>
                </c:pt>
                <c:pt idx="23">
                  <c:v>101.7455253421051</c:v>
                </c:pt>
                <c:pt idx="24">
                  <c:v>101.84923907740219</c:v>
                </c:pt>
                <c:pt idx="25">
                  <c:v>101.87824334231956</c:v>
                </c:pt>
                <c:pt idx="26">
                  <c:v>101.90713145929345</c:v>
                </c:pt>
                <c:pt idx="27">
                  <c:v>101.95917116016911</c:v>
                </c:pt>
                <c:pt idx="28">
                  <c:v>102.02884583837974</c:v>
                </c:pt>
              </c:numCache>
            </c:numRef>
          </c:val>
          <c:smooth val="0"/>
        </c:ser>
        <c:dLbls>
          <c:showLegendKey val="0"/>
          <c:showVal val="0"/>
          <c:showCatName val="0"/>
          <c:showSerName val="0"/>
          <c:showPercent val="0"/>
          <c:showBubbleSize val="0"/>
        </c:dLbls>
        <c:smooth val="0"/>
        <c:axId val="253797520"/>
        <c:axId val="253797912"/>
      </c:lineChart>
      <c:catAx>
        <c:axId val="253797520"/>
        <c:scaling>
          <c:orientation val="minMax"/>
        </c:scaling>
        <c:delete val="0"/>
        <c:axPos val="b"/>
        <c:numFmt formatCode="General" sourceLinked="0"/>
        <c:majorTickMark val="out"/>
        <c:minorTickMark val="none"/>
        <c:tickLblPos val="nextTo"/>
        <c:crossAx val="253797912"/>
        <c:crosses val="autoZero"/>
        <c:auto val="1"/>
        <c:lblAlgn val="ctr"/>
        <c:lblOffset val="100"/>
        <c:noMultiLvlLbl val="0"/>
      </c:catAx>
      <c:valAx>
        <c:axId val="253797912"/>
        <c:scaling>
          <c:orientation val="minMax"/>
        </c:scaling>
        <c:delete val="0"/>
        <c:axPos val="l"/>
        <c:majorGridlines/>
        <c:numFmt formatCode="0.0" sourceLinked="1"/>
        <c:majorTickMark val="out"/>
        <c:minorTickMark val="none"/>
        <c:tickLblPos val="nextTo"/>
        <c:crossAx val="253797520"/>
        <c:crosses val="autoZero"/>
        <c:crossBetween val="between"/>
      </c:valAx>
    </c:plotArea>
    <c:legend>
      <c:legendPos val="r"/>
      <c:layout/>
      <c:overlay val="0"/>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lineChart>
        <c:grouping val="standard"/>
        <c:varyColors val="0"/>
        <c:ser>
          <c:idx val="0"/>
          <c:order val="0"/>
          <c:tx>
            <c:strRef>
              <c:f>LiveTable241!$D$4:$D$7</c:f>
              <c:strCache>
                <c:ptCount val="1"/>
                <c:pt idx="0">
                  <c:v>Private
Enterprise .. .. ..</c:v>
                </c:pt>
              </c:strCache>
            </c:strRef>
          </c:tx>
          <c:marker>
            <c:symbol val="none"/>
          </c:marker>
          <c:cat>
            <c:multiLvlStrRef>
              <c:f>LiveTable241!$A$8:$C$71</c:f>
              <c:multiLvlStrCache>
                <c:ptCount val="64"/>
                <c:lvl>
                  <c:pt idx="60">
                    <c:v>R</c:v>
                  </c:pt>
                  <c:pt idx="61">
                    <c:v>R</c:v>
                  </c:pt>
                  <c:pt idx="62">
                    <c:v>R</c:v>
                  </c:pt>
                  <c:pt idx="63">
                    <c:v>R</c:v>
                  </c:pt>
                </c:lvl>
                <c:lvl>
                  <c:pt idx="56">
                    <c:v>2</c:v>
                  </c:pt>
                  <c:pt idx="57">
                    <c:v>2</c:v>
                  </c:pt>
                  <c:pt idx="58">
                    <c:v>2</c:v>
                  </c:pt>
                </c:lvl>
                <c:lvl>
                  <c:pt idx="0">
                    <c:v>1949</c:v>
                  </c:pt>
                  <c:pt idx="1">
                    <c:v>1950</c:v>
                  </c:pt>
                  <c:pt idx="2">
                    <c:v>1951</c:v>
                  </c:pt>
                  <c:pt idx="3">
                    <c:v>1952</c:v>
                  </c:pt>
                  <c:pt idx="4">
                    <c:v>1953</c:v>
                  </c:pt>
                  <c:pt idx="5">
                    <c:v>1954</c:v>
                  </c:pt>
                  <c:pt idx="6">
                    <c:v>1955</c:v>
                  </c:pt>
                  <c:pt idx="7">
                    <c:v>1956</c:v>
                  </c:pt>
                  <c:pt idx="8">
                    <c:v>1957</c:v>
                  </c:pt>
                  <c:pt idx="9">
                    <c:v>1958</c:v>
                  </c:pt>
                  <c:pt idx="10">
                    <c:v>1959</c:v>
                  </c:pt>
                  <c:pt idx="11">
                    <c:v>1960</c:v>
                  </c:pt>
                  <c:pt idx="12">
                    <c:v>1961</c:v>
                  </c:pt>
                  <c:pt idx="13">
                    <c:v>1962</c:v>
                  </c:pt>
                  <c:pt idx="14">
                    <c:v>1963</c:v>
                  </c:pt>
                  <c:pt idx="15">
                    <c:v>1964</c:v>
                  </c:pt>
                  <c:pt idx="16">
                    <c:v>1965</c:v>
                  </c:pt>
                  <c:pt idx="17">
                    <c:v>1966</c:v>
                  </c:pt>
                  <c:pt idx="18">
                    <c:v>1967</c:v>
                  </c:pt>
                  <c:pt idx="19">
                    <c:v>1968</c:v>
                  </c:pt>
                  <c:pt idx="20">
                    <c:v>1969</c:v>
                  </c:pt>
                  <c:pt idx="21">
                    <c:v>1970</c:v>
                  </c:pt>
                  <c:pt idx="22">
                    <c:v>1971</c:v>
                  </c:pt>
                  <c:pt idx="23">
                    <c:v>1972</c:v>
                  </c:pt>
                  <c:pt idx="24">
                    <c:v>1973</c:v>
                  </c:pt>
                  <c:pt idx="25">
                    <c:v>1974</c:v>
                  </c:pt>
                  <c:pt idx="26">
                    <c:v>1975</c:v>
                  </c:pt>
                  <c:pt idx="27">
                    <c:v>1976</c:v>
                  </c:pt>
                  <c:pt idx="28">
                    <c:v>1977</c:v>
                  </c:pt>
                  <c:pt idx="29">
                    <c:v>1978</c:v>
                  </c:pt>
                  <c:pt idx="30">
                    <c:v>1979</c:v>
                  </c:pt>
                  <c:pt idx="31">
                    <c:v>1980</c:v>
                  </c:pt>
                  <c:pt idx="32">
                    <c:v>1981</c:v>
                  </c:pt>
                  <c:pt idx="33">
                    <c:v>1982</c:v>
                  </c:pt>
                  <c:pt idx="34">
                    <c:v>1983</c:v>
                  </c:pt>
                  <c:pt idx="35">
                    <c:v>1984</c:v>
                  </c:pt>
                  <c:pt idx="36">
                    <c:v>1985</c:v>
                  </c:pt>
                  <c:pt idx="37">
                    <c:v>1986</c:v>
                  </c:pt>
                  <c:pt idx="38">
                    <c:v>1987</c:v>
                  </c:pt>
                  <c:pt idx="39">
                    <c:v>1988</c:v>
                  </c:pt>
                  <c:pt idx="40">
                    <c:v>1989</c:v>
                  </c:pt>
                  <c:pt idx="41">
                    <c:v>1990</c:v>
                  </c:pt>
                  <c:pt idx="42">
                    <c:v>1991</c:v>
                  </c:pt>
                  <c:pt idx="43">
                    <c:v>1992</c:v>
                  </c:pt>
                  <c:pt idx="44">
                    <c:v>1993</c:v>
                  </c:pt>
                  <c:pt idx="45">
                    <c:v>1994</c:v>
                  </c:pt>
                  <c:pt idx="46">
                    <c:v>1995</c:v>
                  </c:pt>
                  <c:pt idx="47">
                    <c:v>1996</c:v>
                  </c:pt>
                  <c:pt idx="48">
                    <c:v>1997</c:v>
                  </c:pt>
                  <c:pt idx="49">
                    <c:v>1998</c:v>
                  </c:pt>
                  <c:pt idx="50">
                    <c:v>1999</c:v>
                  </c:pt>
                  <c:pt idx="51">
                    <c:v>2000</c:v>
                  </c:pt>
                  <c:pt idx="52">
                    <c:v>2001</c:v>
                  </c:pt>
                  <c:pt idx="53">
                    <c:v>2002</c:v>
                  </c:pt>
                  <c:pt idx="54">
                    <c:v>2003</c:v>
                  </c:pt>
                  <c:pt idx="55">
                    <c:v>2004</c:v>
                  </c:pt>
                  <c:pt idx="56">
                    <c:v>2005</c:v>
                  </c:pt>
                  <c:pt idx="57">
                    <c:v>2006</c:v>
                  </c:pt>
                  <c:pt idx="58">
                    <c:v>2007</c:v>
                  </c:pt>
                  <c:pt idx="59">
                    <c:v>2008</c:v>
                  </c:pt>
                  <c:pt idx="60">
                    <c:v>2009</c:v>
                  </c:pt>
                  <c:pt idx="61">
                    <c:v>2010</c:v>
                  </c:pt>
                  <c:pt idx="62">
                    <c:v>2011</c:v>
                  </c:pt>
                  <c:pt idx="63">
                    <c:v>2012</c:v>
                  </c:pt>
                </c:lvl>
              </c:multiLvlStrCache>
            </c:multiLvlStrRef>
          </c:cat>
          <c:val>
            <c:numRef>
              <c:f>LiveTable241!$D$8:$D$71</c:f>
              <c:numCache>
                <c:formatCode>[$-10409]#,##0;\(#,##0\)</c:formatCode>
                <c:ptCount val="64"/>
                <c:pt idx="0">
                  <c:v>28460</c:v>
                </c:pt>
                <c:pt idx="1">
                  <c:v>30240</c:v>
                </c:pt>
                <c:pt idx="2">
                  <c:v>25490</c:v>
                </c:pt>
                <c:pt idx="3">
                  <c:v>36670</c:v>
                </c:pt>
                <c:pt idx="4">
                  <c:v>64870</c:v>
                </c:pt>
                <c:pt idx="5">
                  <c:v>92420</c:v>
                </c:pt>
                <c:pt idx="6">
                  <c:v>116090</c:v>
                </c:pt>
                <c:pt idx="7">
                  <c:v>126430</c:v>
                </c:pt>
                <c:pt idx="8">
                  <c:v>128780</c:v>
                </c:pt>
                <c:pt idx="9">
                  <c:v>130220</c:v>
                </c:pt>
                <c:pt idx="10">
                  <c:v>153170</c:v>
                </c:pt>
                <c:pt idx="11">
                  <c:v>171410</c:v>
                </c:pt>
                <c:pt idx="12">
                  <c:v>180730</c:v>
                </c:pt>
                <c:pt idx="13">
                  <c:v>178210</c:v>
                </c:pt>
                <c:pt idx="14">
                  <c:v>177790</c:v>
                </c:pt>
                <c:pt idx="15">
                  <c:v>221260</c:v>
                </c:pt>
                <c:pt idx="16">
                  <c:v>217160</c:v>
                </c:pt>
                <c:pt idx="17">
                  <c:v>208650</c:v>
                </c:pt>
                <c:pt idx="18">
                  <c:v>204210</c:v>
                </c:pt>
                <c:pt idx="19">
                  <c:v>226070</c:v>
                </c:pt>
                <c:pt idx="20">
                  <c:v>185920</c:v>
                </c:pt>
                <c:pt idx="21">
                  <c:v>174340</c:v>
                </c:pt>
                <c:pt idx="22">
                  <c:v>196310</c:v>
                </c:pt>
                <c:pt idx="23">
                  <c:v>200760</c:v>
                </c:pt>
                <c:pt idx="24">
                  <c:v>191080</c:v>
                </c:pt>
                <c:pt idx="25">
                  <c:v>145230</c:v>
                </c:pt>
                <c:pt idx="26">
                  <c:v>154600</c:v>
                </c:pt>
                <c:pt idx="27">
                  <c:v>155300</c:v>
                </c:pt>
                <c:pt idx="28">
                  <c:v>143970</c:v>
                </c:pt>
                <c:pt idx="29">
                  <c:v>152230</c:v>
                </c:pt>
                <c:pt idx="30">
                  <c:v>144120</c:v>
                </c:pt>
                <c:pt idx="31">
                  <c:v>131990</c:v>
                </c:pt>
                <c:pt idx="32">
                  <c:v>118590</c:v>
                </c:pt>
                <c:pt idx="33">
                  <c:v>129020</c:v>
                </c:pt>
                <c:pt idx="34">
                  <c:v>153040</c:v>
                </c:pt>
                <c:pt idx="35">
                  <c:v>165560</c:v>
                </c:pt>
                <c:pt idx="36">
                  <c:v>163400</c:v>
                </c:pt>
                <c:pt idx="37">
                  <c:v>178010</c:v>
                </c:pt>
                <c:pt idx="38">
                  <c:v>191250</c:v>
                </c:pt>
                <c:pt idx="39">
                  <c:v>207420</c:v>
                </c:pt>
                <c:pt idx="40">
                  <c:v>187540</c:v>
                </c:pt>
                <c:pt idx="41">
                  <c:v>166860</c:v>
                </c:pt>
                <c:pt idx="42">
                  <c:v>159140</c:v>
                </c:pt>
                <c:pt idx="43">
                  <c:v>146940</c:v>
                </c:pt>
                <c:pt idx="44">
                  <c:v>146380</c:v>
                </c:pt>
                <c:pt idx="45">
                  <c:v>153270</c:v>
                </c:pt>
                <c:pt idx="46">
                  <c:v>156930</c:v>
                </c:pt>
                <c:pt idx="47">
                  <c:v>154340</c:v>
                </c:pt>
                <c:pt idx="48">
                  <c:v>161230</c:v>
                </c:pt>
                <c:pt idx="49">
                  <c:v>155830</c:v>
                </c:pt>
                <c:pt idx="50">
                  <c:v>157930</c:v>
                </c:pt>
                <c:pt idx="51">
                  <c:v>154580</c:v>
                </c:pt>
                <c:pt idx="52">
                  <c:v>152650</c:v>
                </c:pt>
                <c:pt idx="53">
                  <c:v>162770</c:v>
                </c:pt>
                <c:pt idx="54">
                  <c:v>172620</c:v>
                </c:pt>
                <c:pt idx="55">
                  <c:v>182700</c:v>
                </c:pt>
                <c:pt idx="56">
                  <c:v>185850</c:v>
                </c:pt>
                <c:pt idx="57">
                  <c:v>186530</c:v>
                </c:pt>
                <c:pt idx="58">
                  <c:v>198480</c:v>
                </c:pt>
                <c:pt idx="59">
                  <c:v>155390</c:v>
                </c:pt>
                <c:pt idx="60">
                  <c:v>122480</c:v>
                </c:pt>
                <c:pt idx="61">
                  <c:v>106050</c:v>
                </c:pt>
                <c:pt idx="62">
                  <c:v>106030</c:v>
                </c:pt>
                <c:pt idx="63">
                  <c:v>109790</c:v>
                </c:pt>
              </c:numCache>
            </c:numRef>
          </c:val>
          <c:smooth val="0"/>
        </c:ser>
        <c:ser>
          <c:idx val="1"/>
          <c:order val="1"/>
          <c:tx>
            <c:strRef>
              <c:f>LiveTable241!$E$4:$E$7</c:f>
              <c:strCache>
                <c:ptCount val="1"/>
                <c:pt idx="0">
                  <c:v>Housing Associations .. .. ..</c:v>
                </c:pt>
              </c:strCache>
            </c:strRef>
          </c:tx>
          <c:marker>
            <c:symbol val="none"/>
          </c:marker>
          <c:cat>
            <c:multiLvlStrRef>
              <c:f>LiveTable241!$A$8:$C$71</c:f>
              <c:multiLvlStrCache>
                <c:ptCount val="64"/>
                <c:lvl>
                  <c:pt idx="60">
                    <c:v>R</c:v>
                  </c:pt>
                  <c:pt idx="61">
                    <c:v>R</c:v>
                  </c:pt>
                  <c:pt idx="62">
                    <c:v>R</c:v>
                  </c:pt>
                  <c:pt idx="63">
                    <c:v>R</c:v>
                  </c:pt>
                </c:lvl>
                <c:lvl>
                  <c:pt idx="56">
                    <c:v>2</c:v>
                  </c:pt>
                  <c:pt idx="57">
                    <c:v>2</c:v>
                  </c:pt>
                  <c:pt idx="58">
                    <c:v>2</c:v>
                  </c:pt>
                </c:lvl>
                <c:lvl>
                  <c:pt idx="0">
                    <c:v>1949</c:v>
                  </c:pt>
                  <c:pt idx="1">
                    <c:v>1950</c:v>
                  </c:pt>
                  <c:pt idx="2">
                    <c:v>1951</c:v>
                  </c:pt>
                  <c:pt idx="3">
                    <c:v>1952</c:v>
                  </c:pt>
                  <c:pt idx="4">
                    <c:v>1953</c:v>
                  </c:pt>
                  <c:pt idx="5">
                    <c:v>1954</c:v>
                  </c:pt>
                  <c:pt idx="6">
                    <c:v>1955</c:v>
                  </c:pt>
                  <c:pt idx="7">
                    <c:v>1956</c:v>
                  </c:pt>
                  <c:pt idx="8">
                    <c:v>1957</c:v>
                  </c:pt>
                  <c:pt idx="9">
                    <c:v>1958</c:v>
                  </c:pt>
                  <c:pt idx="10">
                    <c:v>1959</c:v>
                  </c:pt>
                  <c:pt idx="11">
                    <c:v>1960</c:v>
                  </c:pt>
                  <c:pt idx="12">
                    <c:v>1961</c:v>
                  </c:pt>
                  <c:pt idx="13">
                    <c:v>1962</c:v>
                  </c:pt>
                  <c:pt idx="14">
                    <c:v>1963</c:v>
                  </c:pt>
                  <c:pt idx="15">
                    <c:v>1964</c:v>
                  </c:pt>
                  <c:pt idx="16">
                    <c:v>1965</c:v>
                  </c:pt>
                  <c:pt idx="17">
                    <c:v>1966</c:v>
                  </c:pt>
                  <c:pt idx="18">
                    <c:v>1967</c:v>
                  </c:pt>
                  <c:pt idx="19">
                    <c:v>1968</c:v>
                  </c:pt>
                  <c:pt idx="20">
                    <c:v>1969</c:v>
                  </c:pt>
                  <c:pt idx="21">
                    <c:v>1970</c:v>
                  </c:pt>
                  <c:pt idx="22">
                    <c:v>1971</c:v>
                  </c:pt>
                  <c:pt idx="23">
                    <c:v>1972</c:v>
                  </c:pt>
                  <c:pt idx="24">
                    <c:v>1973</c:v>
                  </c:pt>
                  <c:pt idx="25">
                    <c:v>1974</c:v>
                  </c:pt>
                  <c:pt idx="26">
                    <c:v>1975</c:v>
                  </c:pt>
                  <c:pt idx="27">
                    <c:v>1976</c:v>
                  </c:pt>
                  <c:pt idx="28">
                    <c:v>1977</c:v>
                  </c:pt>
                  <c:pt idx="29">
                    <c:v>1978</c:v>
                  </c:pt>
                  <c:pt idx="30">
                    <c:v>1979</c:v>
                  </c:pt>
                  <c:pt idx="31">
                    <c:v>1980</c:v>
                  </c:pt>
                  <c:pt idx="32">
                    <c:v>1981</c:v>
                  </c:pt>
                  <c:pt idx="33">
                    <c:v>1982</c:v>
                  </c:pt>
                  <c:pt idx="34">
                    <c:v>1983</c:v>
                  </c:pt>
                  <c:pt idx="35">
                    <c:v>1984</c:v>
                  </c:pt>
                  <c:pt idx="36">
                    <c:v>1985</c:v>
                  </c:pt>
                  <c:pt idx="37">
                    <c:v>1986</c:v>
                  </c:pt>
                  <c:pt idx="38">
                    <c:v>1987</c:v>
                  </c:pt>
                  <c:pt idx="39">
                    <c:v>1988</c:v>
                  </c:pt>
                  <c:pt idx="40">
                    <c:v>1989</c:v>
                  </c:pt>
                  <c:pt idx="41">
                    <c:v>1990</c:v>
                  </c:pt>
                  <c:pt idx="42">
                    <c:v>1991</c:v>
                  </c:pt>
                  <c:pt idx="43">
                    <c:v>1992</c:v>
                  </c:pt>
                  <c:pt idx="44">
                    <c:v>1993</c:v>
                  </c:pt>
                  <c:pt idx="45">
                    <c:v>1994</c:v>
                  </c:pt>
                  <c:pt idx="46">
                    <c:v>1995</c:v>
                  </c:pt>
                  <c:pt idx="47">
                    <c:v>1996</c:v>
                  </c:pt>
                  <c:pt idx="48">
                    <c:v>1997</c:v>
                  </c:pt>
                  <c:pt idx="49">
                    <c:v>1998</c:v>
                  </c:pt>
                  <c:pt idx="50">
                    <c:v>1999</c:v>
                  </c:pt>
                  <c:pt idx="51">
                    <c:v>2000</c:v>
                  </c:pt>
                  <c:pt idx="52">
                    <c:v>2001</c:v>
                  </c:pt>
                  <c:pt idx="53">
                    <c:v>2002</c:v>
                  </c:pt>
                  <c:pt idx="54">
                    <c:v>2003</c:v>
                  </c:pt>
                  <c:pt idx="55">
                    <c:v>2004</c:v>
                  </c:pt>
                  <c:pt idx="56">
                    <c:v>2005</c:v>
                  </c:pt>
                  <c:pt idx="57">
                    <c:v>2006</c:v>
                  </c:pt>
                  <c:pt idx="58">
                    <c:v>2007</c:v>
                  </c:pt>
                  <c:pt idx="59">
                    <c:v>2008</c:v>
                  </c:pt>
                  <c:pt idx="60">
                    <c:v>2009</c:v>
                  </c:pt>
                  <c:pt idx="61">
                    <c:v>2010</c:v>
                  </c:pt>
                  <c:pt idx="62">
                    <c:v>2011</c:v>
                  </c:pt>
                  <c:pt idx="63">
                    <c:v>2012</c:v>
                  </c:pt>
                </c:lvl>
              </c:multiLvlStrCache>
            </c:multiLvlStrRef>
          </c:cat>
          <c:val>
            <c:numRef>
              <c:f>LiveTable241!$E$8:$E$71</c:f>
              <c:numCache>
                <c:formatCode>[$-10409]#,##0;\(#,##0\)</c:formatCode>
                <c:ptCount val="64"/>
                <c:pt idx="0">
                  <c:v>8020</c:v>
                </c:pt>
                <c:pt idx="1">
                  <c:v>7290</c:v>
                </c:pt>
                <c:pt idx="2">
                  <c:v>7350</c:v>
                </c:pt>
                <c:pt idx="3">
                  <c:v>10130</c:v>
                </c:pt>
                <c:pt idx="4">
                  <c:v>16800</c:v>
                </c:pt>
                <c:pt idx="5">
                  <c:v>22120</c:v>
                </c:pt>
                <c:pt idx="6">
                  <c:v>12850</c:v>
                </c:pt>
                <c:pt idx="7">
                  <c:v>9850</c:v>
                </c:pt>
                <c:pt idx="8">
                  <c:v>8520</c:v>
                </c:pt>
                <c:pt idx="9">
                  <c:v>8220</c:v>
                </c:pt>
                <c:pt idx="10">
                  <c:v>6520</c:v>
                </c:pt>
                <c:pt idx="11">
                  <c:v>7240</c:v>
                </c:pt>
                <c:pt idx="12">
                  <c:v>6320</c:v>
                </c:pt>
                <c:pt idx="13">
                  <c:v>6030</c:v>
                </c:pt>
                <c:pt idx="14">
                  <c:v>7550</c:v>
                </c:pt>
                <c:pt idx="15">
                  <c:v>9790</c:v>
                </c:pt>
                <c:pt idx="16">
                  <c:v>12360</c:v>
                </c:pt>
                <c:pt idx="17">
                  <c:v>14890</c:v>
                </c:pt>
                <c:pt idx="18">
                  <c:v>15070</c:v>
                </c:pt>
                <c:pt idx="19">
                  <c:v>15320</c:v>
                </c:pt>
                <c:pt idx="20">
                  <c:v>16660</c:v>
                </c:pt>
                <c:pt idx="21">
                  <c:v>15210</c:v>
                </c:pt>
                <c:pt idx="22">
                  <c:v>16490</c:v>
                </c:pt>
                <c:pt idx="23">
                  <c:v>11220</c:v>
                </c:pt>
                <c:pt idx="24">
                  <c:v>12130</c:v>
                </c:pt>
                <c:pt idx="25">
                  <c:v>13870</c:v>
                </c:pt>
                <c:pt idx="26">
                  <c:v>22050</c:v>
                </c:pt>
                <c:pt idx="27">
                  <c:v>23100</c:v>
                </c:pt>
                <c:pt idx="28">
                  <c:v>30650</c:v>
                </c:pt>
                <c:pt idx="29">
                  <c:v>26290</c:v>
                </c:pt>
                <c:pt idx="30">
                  <c:v>21390</c:v>
                </c:pt>
                <c:pt idx="31">
                  <c:v>21480</c:v>
                </c:pt>
                <c:pt idx="32">
                  <c:v>19700</c:v>
                </c:pt>
                <c:pt idx="33">
                  <c:v>13740</c:v>
                </c:pt>
                <c:pt idx="34">
                  <c:v>16820</c:v>
                </c:pt>
                <c:pt idx="35">
                  <c:v>17290</c:v>
                </c:pt>
                <c:pt idx="36">
                  <c:v>13650</c:v>
                </c:pt>
                <c:pt idx="37">
                  <c:v>13160</c:v>
                </c:pt>
                <c:pt idx="38">
                  <c:v>13150</c:v>
                </c:pt>
                <c:pt idx="39">
                  <c:v>13490</c:v>
                </c:pt>
                <c:pt idx="40">
                  <c:v>14600</c:v>
                </c:pt>
                <c:pt idx="41">
                  <c:v>17930</c:v>
                </c:pt>
                <c:pt idx="42">
                  <c:v>20820</c:v>
                </c:pt>
                <c:pt idx="43">
                  <c:v>26500</c:v>
                </c:pt>
                <c:pt idx="44">
                  <c:v>35910</c:v>
                </c:pt>
                <c:pt idx="45">
                  <c:v>36860</c:v>
                </c:pt>
                <c:pt idx="46">
                  <c:v>38760</c:v>
                </c:pt>
                <c:pt idx="47">
                  <c:v>32950</c:v>
                </c:pt>
                <c:pt idx="48">
                  <c:v>28340</c:v>
                </c:pt>
                <c:pt idx="49">
                  <c:v>24100</c:v>
                </c:pt>
                <c:pt idx="50">
                  <c:v>23730</c:v>
                </c:pt>
                <c:pt idx="51">
                  <c:v>21990</c:v>
                </c:pt>
                <c:pt idx="52">
                  <c:v>21080</c:v>
                </c:pt>
                <c:pt idx="53">
                  <c:v>18940</c:v>
                </c:pt>
                <c:pt idx="54">
                  <c:v>17620</c:v>
                </c:pt>
                <c:pt idx="55">
                  <c:v>20660</c:v>
                </c:pt>
                <c:pt idx="56">
                  <c:v>23490</c:v>
                </c:pt>
                <c:pt idx="57">
                  <c:v>26000</c:v>
                </c:pt>
                <c:pt idx="58">
                  <c:v>27660</c:v>
                </c:pt>
                <c:pt idx="59">
                  <c:v>32230</c:v>
                </c:pt>
                <c:pt idx="60">
                  <c:v>35050</c:v>
                </c:pt>
                <c:pt idx="61">
                  <c:v>29860</c:v>
                </c:pt>
                <c:pt idx="62">
                  <c:v>32070</c:v>
                </c:pt>
                <c:pt idx="63">
                  <c:v>31340</c:v>
                </c:pt>
              </c:numCache>
            </c:numRef>
          </c:val>
          <c:smooth val="0"/>
        </c:ser>
        <c:ser>
          <c:idx val="2"/>
          <c:order val="2"/>
          <c:tx>
            <c:strRef>
              <c:f>LiveTable241!$F$4:$F$7</c:f>
              <c:strCache>
                <c:ptCount val="1"/>
                <c:pt idx="0">
                  <c:v>Local
Authorities .. .. ..</c:v>
                </c:pt>
              </c:strCache>
            </c:strRef>
          </c:tx>
          <c:marker>
            <c:symbol val="none"/>
          </c:marker>
          <c:cat>
            <c:multiLvlStrRef>
              <c:f>LiveTable241!$A$8:$C$71</c:f>
              <c:multiLvlStrCache>
                <c:ptCount val="64"/>
                <c:lvl>
                  <c:pt idx="60">
                    <c:v>R</c:v>
                  </c:pt>
                  <c:pt idx="61">
                    <c:v>R</c:v>
                  </c:pt>
                  <c:pt idx="62">
                    <c:v>R</c:v>
                  </c:pt>
                  <c:pt idx="63">
                    <c:v>R</c:v>
                  </c:pt>
                </c:lvl>
                <c:lvl>
                  <c:pt idx="56">
                    <c:v>2</c:v>
                  </c:pt>
                  <c:pt idx="57">
                    <c:v>2</c:v>
                  </c:pt>
                  <c:pt idx="58">
                    <c:v>2</c:v>
                  </c:pt>
                </c:lvl>
                <c:lvl>
                  <c:pt idx="0">
                    <c:v>1949</c:v>
                  </c:pt>
                  <c:pt idx="1">
                    <c:v>1950</c:v>
                  </c:pt>
                  <c:pt idx="2">
                    <c:v>1951</c:v>
                  </c:pt>
                  <c:pt idx="3">
                    <c:v>1952</c:v>
                  </c:pt>
                  <c:pt idx="4">
                    <c:v>1953</c:v>
                  </c:pt>
                  <c:pt idx="5">
                    <c:v>1954</c:v>
                  </c:pt>
                  <c:pt idx="6">
                    <c:v>1955</c:v>
                  </c:pt>
                  <c:pt idx="7">
                    <c:v>1956</c:v>
                  </c:pt>
                  <c:pt idx="8">
                    <c:v>1957</c:v>
                  </c:pt>
                  <c:pt idx="9">
                    <c:v>1958</c:v>
                  </c:pt>
                  <c:pt idx="10">
                    <c:v>1959</c:v>
                  </c:pt>
                  <c:pt idx="11">
                    <c:v>1960</c:v>
                  </c:pt>
                  <c:pt idx="12">
                    <c:v>1961</c:v>
                  </c:pt>
                  <c:pt idx="13">
                    <c:v>1962</c:v>
                  </c:pt>
                  <c:pt idx="14">
                    <c:v>1963</c:v>
                  </c:pt>
                  <c:pt idx="15">
                    <c:v>1964</c:v>
                  </c:pt>
                  <c:pt idx="16">
                    <c:v>1965</c:v>
                  </c:pt>
                  <c:pt idx="17">
                    <c:v>1966</c:v>
                  </c:pt>
                  <c:pt idx="18">
                    <c:v>1967</c:v>
                  </c:pt>
                  <c:pt idx="19">
                    <c:v>1968</c:v>
                  </c:pt>
                  <c:pt idx="20">
                    <c:v>1969</c:v>
                  </c:pt>
                  <c:pt idx="21">
                    <c:v>1970</c:v>
                  </c:pt>
                  <c:pt idx="22">
                    <c:v>1971</c:v>
                  </c:pt>
                  <c:pt idx="23">
                    <c:v>1972</c:v>
                  </c:pt>
                  <c:pt idx="24">
                    <c:v>1973</c:v>
                  </c:pt>
                  <c:pt idx="25">
                    <c:v>1974</c:v>
                  </c:pt>
                  <c:pt idx="26">
                    <c:v>1975</c:v>
                  </c:pt>
                  <c:pt idx="27">
                    <c:v>1976</c:v>
                  </c:pt>
                  <c:pt idx="28">
                    <c:v>1977</c:v>
                  </c:pt>
                  <c:pt idx="29">
                    <c:v>1978</c:v>
                  </c:pt>
                  <c:pt idx="30">
                    <c:v>1979</c:v>
                  </c:pt>
                  <c:pt idx="31">
                    <c:v>1980</c:v>
                  </c:pt>
                  <c:pt idx="32">
                    <c:v>1981</c:v>
                  </c:pt>
                  <c:pt idx="33">
                    <c:v>1982</c:v>
                  </c:pt>
                  <c:pt idx="34">
                    <c:v>1983</c:v>
                  </c:pt>
                  <c:pt idx="35">
                    <c:v>1984</c:v>
                  </c:pt>
                  <c:pt idx="36">
                    <c:v>1985</c:v>
                  </c:pt>
                  <c:pt idx="37">
                    <c:v>1986</c:v>
                  </c:pt>
                  <c:pt idx="38">
                    <c:v>1987</c:v>
                  </c:pt>
                  <c:pt idx="39">
                    <c:v>1988</c:v>
                  </c:pt>
                  <c:pt idx="40">
                    <c:v>1989</c:v>
                  </c:pt>
                  <c:pt idx="41">
                    <c:v>1990</c:v>
                  </c:pt>
                  <c:pt idx="42">
                    <c:v>1991</c:v>
                  </c:pt>
                  <c:pt idx="43">
                    <c:v>1992</c:v>
                  </c:pt>
                  <c:pt idx="44">
                    <c:v>1993</c:v>
                  </c:pt>
                  <c:pt idx="45">
                    <c:v>1994</c:v>
                  </c:pt>
                  <c:pt idx="46">
                    <c:v>1995</c:v>
                  </c:pt>
                  <c:pt idx="47">
                    <c:v>1996</c:v>
                  </c:pt>
                  <c:pt idx="48">
                    <c:v>1997</c:v>
                  </c:pt>
                  <c:pt idx="49">
                    <c:v>1998</c:v>
                  </c:pt>
                  <c:pt idx="50">
                    <c:v>1999</c:v>
                  </c:pt>
                  <c:pt idx="51">
                    <c:v>2000</c:v>
                  </c:pt>
                  <c:pt idx="52">
                    <c:v>2001</c:v>
                  </c:pt>
                  <c:pt idx="53">
                    <c:v>2002</c:v>
                  </c:pt>
                  <c:pt idx="54">
                    <c:v>2003</c:v>
                  </c:pt>
                  <c:pt idx="55">
                    <c:v>2004</c:v>
                  </c:pt>
                  <c:pt idx="56">
                    <c:v>2005</c:v>
                  </c:pt>
                  <c:pt idx="57">
                    <c:v>2006</c:v>
                  </c:pt>
                  <c:pt idx="58">
                    <c:v>2007</c:v>
                  </c:pt>
                  <c:pt idx="59">
                    <c:v>2008</c:v>
                  </c:pt>
                  <c:pt idx="60">
                    <c:v>2009</c:v>
                  </c:pt>
                  <c:pt idx="61">
                    <c:v>2010</c:v>
                  </c:pt>
                  <c:pt idx="62">
                    <c:v>2011</c:v>
                  </c:pt>
                  <c:pt idx="63">
                    <c:v>2012</c:v>
                  </c:pt>
                </c:lvl>
              </c:multiLvlStrCache>
            </c:multiLvlStrRef>
          </c:cat>
          <c:val>
            <c:numRef>
              <c:f>LiveTable241!$F$8:$F$71</c:f>
              <c:numCache>
                <c:formatCode>[$-10409]#,##0;\(#,##0\)</c:formatCode>
                <c:ptCount val="64"/>
                <c:pt idx="0">
                  <c:v>168780</c:v>
                </c:pt>
                <c:pt idx="1">
                  <c:v>167900</c:v>
                </c:pt>
                <c:pt idx="2">
                  <c:v>169020</c:v>
                </c:pt>
                <c:pt idx="3">
                  <c:v>201520</c:v>
                </c:pt>
                <c:pt idx="4">
                  <c:v>245160</c:v>
                </c:pt>
                <c:pt idx="5">
                  <c:v>239580</c:v>
                </c:pt>
                <c:pt idx="6">
                  <c:v>195480</c:v>
                </c:pt>
                <c:pt idx="7">
                  <c:v>171390</c:v>
                </c:pt>
                <c:pt idx="8">
                  <c:v>170290</c:v>
                </c:pt>
                <c:pt idx="9">
                  <c:v>140200</c:v>
                </c:pt>
                <c:pt idx="10">
                  <c:v>121880</c:v>
                </c:pt>
                <c:pt idx="11">
                  <c:v>125620</c:v>
                </c:pt>
                <c:pt idx="12">
                  <c:v>116140</c:v>
                </c:pt>
                <c:pt idx="13">
                  <c:v>129410</c:v>
                </c:pt>
                <c:pt idx="14">
                  <c:v>122380</c:v>
                </c:pt>
                <c:pt idx="15">
                  <c:v>152140</c:v>
                </c:pt>
                <c:pt idx="16">
                  <c:v>161710</c:v>
                </c:pt>
                <c:pt idx="17">
                  <c:v>172470</c:v>
                </c:pt>
                <c:pt idx="18">
                  <c:v>196180</c:v>
                </c:pt>
                <c:pt idx="19">
                  <c:v>184450</c:v>
                </c:pt>
                <c:pt idx="20">
                  <c:v>175750</c:v>
                </c:pt>
                <c:pt idx="21">
                  <c:v>172670</c:v>
                </c:pt>
                <c:pt idx="22">
                  <c:v>151670</c:v>
                </c:pt>
                <c:pt idx="23">
                  <c:v>118960</c:v>
                </c:pt>
                <c:pt idx="24">
                  <c:v>101430</c:v>
                </c:pt>
                <c:pt idx="25">
                  <c:v>120540</c:v>
                </c:pt>
                <c:pt idx="26">
                  <c:v>145360</c:v>
                </c:pt>
                <c:pt idx="27">
                  <c:v>146440</c:v>
                </c:pt>
                <c:pt idx="28">
                  <c:v>139540</c:v>
                </c:pt>
                <c:pt idx="29">
                  <c:v>110170</c:v>
                </c:pt>
                <c:pt idx="30">
                  <c:v>86320</c:v>
                </c:pt>
                <c:pt idx="31">
                  <c:v>88530</c:v>
                </c:pt>
                <c:pt idx="32">
                  <c:v>68330</c:v>
                </c:pt>
                <c:pt idx="33">
                  <c:v>40090</c:v>
                </c:pt>
                <c:pt idx="34">
                  <c:v>39170</c:v>
                </c:pt>
                <c:pt idx="35">
                  <c:v>37570</c:v>
                </c:pt>
                <c:pt idx="36">
                  <c:v>30420</c:v>
                </c:pt>
                <c:pt idx="37">
                  <c:v>25380</c:v>
                </c:pt>
                <c:pt idx="38">
                  <c:v>21830</c:v>
                </c:pt>
                <c:pt idx="39">
                  <c:v>21450</c:v>
                </c:pt>
                <c:pt idx="40">
                  <c:v>19320</c:v>
                </c:pt>
                <c:pt idx="41">
                  <c:v>17710</c:v>
                </c:pt>
                <c:pt idx="42">
                  <c:v>11060</c:v>
                </c:pt>
                <c:pt idx="43">
                  <c:v>5660</c:v>
                </c:pt>
                <c:pt idx="44">
                  <c:v>3360</c:v>
                </c:pt>
                <c:pt idx="45">
                  <c:v>2880</c:v>
                </c:pt>
                <c:pt idx="46">
                  <c:v>3430</c:v>
                </c:pt>
                <c:pt idx="47">
                  <c:v>1740</c:v>
                </c:pt>
                <c:pt idx="48">
                  <c:v>1540</c:v>
                </c:pt>
                <c:pt idx="49">
                  <c:v>1100</c:v>
                </c:pt>
                <c:pt idx="50">
                  <c:v>330</c:v>
                </c:pt>
                <c:pt idx="51">
                  <c:v>280</c:v>
                </c:pt>
                <c:pt idx="52">
                  <c:v>360</c:v>
                </c:pt>
                <c:pt idx="53">
                  <c:v>250</c:v>
                </c:pt>
                <c:pt idx="54">
                  <c:v>250</c:v>
                </c:pt>
                <c:pt idx="55">
                  <c:v>130</c:v>
                </c:pt>
                <c:pt idx="56">
                  <c:v>230</c:v>
                </c:pt>
                <c:pt idx="57">
                  <c:v>290</c:v>
                </c:pt>
                <c:pt idx="58">
                  <c:v>280</c:v>
                </c:pt>
                <c:pt idx="59">
                  <c:v>630</c:v>
                </c:pt>
                <c:pt idx="60">
                  <c:v>840</c:v>
                </c:pt>
                <c:pt idx="61">
                  <c:v>1360</c:v>
                </c:pt>
                <c:pt idx="62">
                  <c:v>3100</c:v>
                </c:pt>
                <c:pt idx="63">
                  <c:v>2500</c:v>
                </c:pt>
              </c:numCache>
            </c:numRef>
          </c:val>
          <c:smooth val="0"/>
        </c:ser>
        <c:dLbls>
          <c:showLegendKey val="0"/>
          <c:showVal val="0"/>
          <c:showCatName val="0"/>
          <c:showSerName val="0"/>
          <c:showPercent val="0"/>
          <c:showBubbleSize val="0"/>
        </c:dLbls>
        <c:smooth val="0"/>
        <c:axId val="254582176"/>
        <c:axId val="254582568"/>
      </c:lineChart>
      <c:catAx>
        <c:axId val="254582176"/>
        <c:scaling>
          <c:orientation val="minMax"/>
        </c:scaling>
        <c:delete val="0"/>
        <c:axPos val="b"/>
        <c:numFmt formatCode="General" sourceLinked="0"/>
        <c:majorTickMark val="out"/>
        <c:minorTickMark val="none"/>
        <c:tickLblPos val="nextTo"/>
        <c:crossAx val="254582568"/>
        <c:crosses val="autoZero"/>
        <c:auto val="0"/>
        <c:lblAlgn val="ctr"/>
        <c:lblOffset val="100"/>
        <c:tickLblSkip val="10"/>
        <c:tickMarkSkip val="10"/>
        <c:noMultiLvlLbl val="1"/>
      </c:catAx>
      <c:valAx>
        <c:axId val="254582568"/>
        <c:scaling>
          <c:orientation val="minMax"/>
        </c:scaling>
        <c:delete val="0"/>
        <c:axPos val="l"/>
        <c:majorGridlines/>
        <c:numFmt formatCode="[$-10409]#,##0;\(#,##0\)" sourceLinked="1"/>
        <c:majorTickMark val="out"/>
        <c:minorTickMark val="none"/>
        <c:tickLblPos val="nextTo"/>
        <c:crossAx val="254582176"/>
        <c:crosses val="autoZero"/>
        <c:crossBetween val="midCat"/>
      </c:valAx>
    </c:plotArea>
    <c:legend>
      <c:legendPos val="r"/>
      <c:overlay val="0"/>
    </c:legend>
    <c:plotVisOnly val="1"/>
    <c:dispBlanksAs val="gap"/>
    <c:showDLblsOverMax val="0"/>
  </c:chart>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F76B02-D2A1-40B0-90BB-282B2646D2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46</Pages>
  <Words>8217</Words>
  <Characters>46842</Characters>
  <Application>Microsoft Office Word</Application>
  <DocSecurity>4</DocSecurity>
  <Lines>390</Lines>
  <Paragraphs>109</Paragraphs>
  <ScaleCrop>false</ScaleCrop>
  <HeadingPairs>
    <vt:vector size="2" baseType="variant">
      <vt:variant>
        <vt:lpstr>Title</vt:lpstr>
      </vt:variant>
      <vt:variant>
        <vt:i4>1</vt:i4>
      </vt:variant>
    </vt:vector>
  </HeadingPairs>
  <TitlesOfParts>
    <vt:vector size="1" baseType="lpstr">
      <vt:lpstr/>
    </vt:vector>
  </TitlesOfParts>
  <Company>University of Aberdeen</Company>
  <LinksUpToDate>false</LinksUpToDate>
  <CharactersWithSpaces>54950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soc124</dc:creator>
  <cp:keywords/>
  <dc:description/>
  <cp:lastModifiedBy>Adams, Joanna</cp:lastModifiedBy>
  <cp:revision>2</cp:revision>
  <cp:lastPrinted>2014-08-27T13:37:00Z</cp:lastPrinted>
  <dcterms:created xsi:type="dcterms:W3CDTF">2015-10-15T14:17:00Z</dcterms:created>
  <dcterms:modified xsi:type="dcterms:W3CDTF">2015-10-15T14:17:00Z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-1814780813</vt:i4>
  </property>
  <property fmtid="{D5CDD505-2E9C-101B-9397-08002B2CF9AE}" pid="3" name="_NewReviewCycle">
    <vt:lpwstr/>
  </property>
  <property fmtid="{D5CDD505-2E9C-101B-9397-08002B2CF9AE}" pid="4" name="_EmailSubject">
    <vt:lpwstr/>
  </property>
  <property fmtid="{D5CDD505-2E9C-101B-9397-08002B2CF9AE}" pid="5" name="_AuthorEmail">
    <vt:lpwstr>j.bone@abdn.ac.uk</vt:lpwstr>
  </property>
  <property fmtid="{D5CDD505-2E9C-101B-9397-08002B2CF9AE}" pid="6" name="_AuthorEmailDisplayName">
    <vt:lpwstr>Bone, Dr John D.</vt:lpwstr>
  </property>
  <property fmtid="{D5CDD505-2E9C-101B-9397-08002B2CF9AE}" pid="7" name="_ReviewingToolsShownOnce">
    <vt:lpwstr/>
  </property>
</Properties>
</file>