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5E37" w:rsidRPr="002B5E37" w:rsidRDefault="002B5E37" w:rsidP="004C47EC">
      <w:pPr>
        <w:pStyle w:val="Heading1"/>
        <w:spacing w:line="240" w:lineRule="auto"/>
      </w:pPr>
      <w:bookmarkStart w:id="0" w:name="_Toc355178472"/>
      <w:bookmarkStart w:id="1" w:name="_GoBack"/>
      <w:r w:rsidRPr="002B5E37">
        <w:t>Bioelectrical impedance analysis is more accurate than clinical examination in determining the v</w:t>
      </w:r>
      <w:r w:rsidR="00000148">
        <w:t>olaemi</w:t>
      </w:r>
      <w:r w:rsidR="00FF7FA5">
        <w:t>c</w:t>
      </w:r>
      <w:r w:rsidRPr="002B5E37">
        <w:t xml:space="preserve"> status of elderly patients with fragility fracture and hypon</w:t>
      </w:r>
      <w:r w:rsidR="00A219CF">
        <w:t>atraemi</w:t>
      </w:r>
      <w:r w:rsidR="00FF7FA5">
        <w:t>a</w:t>
      </w:r>
    </w:p>
    <w:bookmarkEnd w:id="1"/>
    <w:p w:rsidR="00E62919" w:rsidRDefault="00E62919">
      <w:pPr>
        <w:spacing w:line="240" w:lineRule="auto"/>
        <w:jc w:val="left"/>
      </w:pPr>
    </w:p>
    <w:p w:rsidR="00E638B6" w:rsidRDefault="00E638B6" w:rsidP="00E62919">
      <w:pPr>
        <w:jc w:val="left"/>
      </w:pPr>
    </w:p>
    <w:p w:rsidR="00E62919" w:rsidRPr="00235E46" w:rsidRDefault="00E62919" w:rsidP="00E62919">
      <w:pPr>
        <w:jc w:val="left"/>
        <w:rPr>
          <w:vertAlign w:val="superscript"/>
        </w:rPr>
      </w:pPr>
      <w:r>
        <w:t>Kirsten Cumming BSc(Hons),</w:t>
      </w:r>
      <w:r w:rsidR="00E638B6">
        <w:rPr>
          <w:vertAlign w:val="superscript"/>
        </w:rPr>
        <w:t>a</w:t>
      </w:r>
      <w:r w:rsidR="00BC7907">
        <w:rPr>
          <w:vertAlign w:val="superscript"/>
        </w:rPr>
        <w:t>,b</w:t>
      </w:r>
      <w:r>
        <w:t xml:space="preserve">  Graeme E Hoyle MB ChB,</w:t>
      </w:r>
      <w:r w:rsidR="00E638B6">
        <w:rPr>
          <w:vertAlign w:val="superscript"/>
        </w:rPr>
        <w:t>a</w:t>
      </w:r>
      <w:r>
        <w:t xml:space="preserve"> James D Hutchison PhD,</w:t>
      </w:r>
      <w:r w:rsidR="00E638B6">
        <w:rPr>
          <w:vertAlign w:val="superscript"/>
        </w:rPr>
        <w:t>b</w:t>
      </w:r>
      <w:r>
        <w:t xml:space="preserve"> Roy L Soiza MB ChB</w:t>
      </w:r>
      <w:r w:rsidR="00E638B6">
        <w:rPr>
          <w:vertAlign w:val="superscript"/>
        </w:rPr>
        <w:t>a</w:t>
      </w:r>
      <w:r w:rsidR="00BC7907">
        <w:rPr>
          <w:vertAlign w:val="superscript"/>
        </w:rPr>
        <w:t>,b</w:t>
      </w:r>
      <w:r>
        <w:rPr>
          <w:vertAlign w:val="superscript"/>
        </w:rPr>
        <w:t>*</w:t>
      </w:r>
    </w:p>
    <w:p w:rsidR="00E62919" w:rsidRDefault="00E62919" w:rsidP="00E62919">
      <w:pPr>
        <w:jc w:val="left"/>
      </w:pPr>
    </w:p>
    <w:p w:rsidR="00E62919" w:rsidRDefault="00E62919" w:rsidP="00E62919">
      <w:pPr>
        <w:jc w:val="left"/>
      </w:pPr>
      <w:r>
        <w:t>Provenance:</w:t>
      </w:r>
    </w:p>
    <w:p w:rsidR="00E62919" w:rsidRDefault="00E638B6" w:rsidP="00E62919">
      <w:pPr>
        <w:jc w:val="left"/>
      </w:pPr>
      <w:r>
        <w:t>a</w:t>
      </w:r>
      <w:r w:rsidR="00E62919">
        <w:t xml:space="preserve">) </w:t>
      </w:r>
      <w:r w:rsidR="00BC7907">
        <w:t>Department of Medicine for the Elderly, NHS Grampian, Aberdeen, United Kingdom</w:t>
      </w:r>
    </w:p>
    <w:p w:rsidR="00E62919" w:rsidRDefault="00E638B6" w:rsidP="00E62919">
      <w:pPr>
        <w:jc w:val="left"/>
      </w:pPr>
      <w:r>
        <w:t>b</w:t>
      </w:r>
      <w:r w:rsidR="00E62919">
        <w:t xml:space="preserve">) University of Aberdeen Medical School, </w:t>
      </w:r>
      <w:r w:rsidR="00BC7907">
        <w:t xml:space="preserve">Aberdeen, </w:t>
      </w:r>
      <w:r w:rsidR="00E62919">
        <w:t>United Kingdom</w:t>
      </w:r>
    </w:p>
    <w:p w:rsidR="00E62919" w:rsidRDefault="00E62919" w:rsidP="00E62919">
      <w:pPr>
        <w:jc w:val="left"/>
      </w:pPr>
    </w:p>
    <w:p w:rsidR="00E62919" w:rsidRDefault="00E62919" w:rsidP="000F4017">
      <w:pPr>
        <w:jc w:val="left"/>
      </w:pPr>
      <w:r>
        <w:t xml:space="preserve">*Corresponding author: Dr Roy L Soiza, c/o Wards 11/12, Aberdeen Royal Infirmary, Foresterhill, Aberdeen, AB25 2ZN, Aberdeen AB25 2ZD; tel: 00 44 1224 558109; e-mail: </w:t>
      </w:r>
      <w:r w:rsidRPr="00235E46">
        <w:t>roy.soiza@nhs.net</w:t>
      </w:r>
    </w:p>
    <w:p w:rsidR="000F4017" w:rsidRDefault="000F4017" w:rsidP="000F4017">
      <w:pPr>
        <w:jc w:val="left"/>
      </w:pPr>
    </w:p>
    <w:p w:rsidR="000F4017" w:rsidRDefault="00753315" w:rsidP="000F4017">
      <w:pPr>
        <w:jc w:val="left"/>
      </w:pPr>
      <w:r>
        <w:t>Conflict of Interests:</w:t>
      </w:r>
    </w:p>
    <w:p w:rsidR="00753315" w:rsidRDefault="00753315" w:rsidP="000F4017">
      <w:pPr>
        <w:jc w:val="left"/>
      </w:pPr>
      <w:r>
        <w:t>RLS and GEH have received consultancy or speaker fees from Otsuka Pharma (UK), which total less than $2,000 each and have been donated to departmental research funds. There are no other potential conflicts of interest.</w:t>
      </w:r>
    </w:p>
    <w:p w:rsidR="000F4017" w:rsidRDefault="000F4017" w:rsidP="000F4017">
      <w:pPr>
        <w:jc w:val="left"/>
      </w:pPr>
    </w:p>
    <w:p w:rsidR="00753315" w:rsidRDefault="00753315" w:rsidP="000F4017">
      <w:pPr>
        <w:jc w:val="left"/>
      </w:pPr>
    </w:p>
    <w:p w:rsidR="00E62919" w:rsidRDefault="00E62919" w:rsidP="000F4017">
      <w:pPr>
        <w:jc w:val="left"/>
        <w:rPr>
          <w:rFonts w:eastAsia="Calibri"/>
          <w:b/>
          <w:bCs/>
          <w:color w:val="000000"/>
          <w:sz w:val="28"/>
          <w:szCs w:val="26"/>
        </w:rPr>
      </w:pPr>
      <w:r>
        <w:br w:type="page"/>
      </w:r>
    </w:p>
    <w:p w:rsidR="00304705" w:rsidRDefault="00304705" w:rsidP="004C47EC">
      <w:pPr>
        <w:pStyle w:val="Heading2"/>
        <w:sectPr w:rsidR="00304705" w:rsidSect="00B73325"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4C47EC" w:rsidRDefault="004C47EC" w:rsidP="004C47EC">
      <w:pPr>
        <w:pStyle w:val="Heading2"/>
      </w:pPr>
      <w:r>
        <w:lastRenderedPageBreak/>
        <w:t>Abstract</w:t>
      </w:r>
    </w:p>
    <w:p w:rsidR="00BF798A" w:rsidRDefault="000C6CBF" w:rsidP="002B5E37">
      <w:pPr>
        <w:spacing w:line="360" w:lineRule="auto"/>
        <w:rPr>
          <w:szCs w:val="24"/>
        </w:rPr>
      </w:pPr>
      <w:r>
        <w:rPr>
          <w:b/>
          <w:szCs w:val="24"/>
          <w:u w:val="single"/>
        </w:rPr>
        <w:t>Objectives</w:t>
      </w:r>
      <w:r w:rsidR="002B5E37">
        <w:rPr>
          <w:b/>
          <w:szCs w:val="24"/>
          <w:u w:val="single"/>
        </w:rPr>
        <w:t>:</w:t>
      </w:r>
    </w:p>
    <w:p w:rsidR="002B5E37" w:rsidRPr="002B5E37" w:rsidRDefault="002B5E37" w:rsidP="002B5E37">
      <w:pPr>
        <w:spacing w:line="360" w:lineRule="auto"/>
        <w:rPr>
          <w:szCs w:val="24"/>
        </w:rPr>
      </w:pPr>
      <w:r w:rsidRPr="000342CB">
        <w:rPr>
          <w:szCs w:val="24"/>
        </w:rPr>
        <w:t>Management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Pr="000342CB">
        <w:rPr>
          <w:szCs w:val="24"/>
        </w:rPr>
        <w:t xml:space="preserve"> depends crucially on </w:t>
      </w:r>
      <w:r>
        <w:rPr>
          <w:szCs w:val="24"/>
        </w:rPr>
        <w:t xml:space="preserve">accurate </w:t>
      </w:r>
      <w:r w:rsidRPr="000342CB">
        <w:rPr>
          <w:szCs w:val="24"/>
        </w:rPr>
        <w:t>determination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(hydration) status but this is notoriously challenging to </w:t>
      </w:r>
      <w:r w:rsidR="0027262E">
        <w:rPr>
          <w:szCs w:val="24"/>
        </w:rPr>
        <w:t>measure</w:t>
      </w:r>
      <w:r w:rsidR="00B159A9">
        <w:rPr>
          <w:szCs w:val="24"/>
        </w:rPr>
        <w:t xml:space="preserve"> </w:t>
      </w:r>
      <w:r w:rsidRPr="000342CB">
        <w:rPr>
          <w:szCs w:val="24"/>
        </w:rPr>
        <w:t>in older people. Bioelectrical impedance analysis (BIA) provides a validated means of determining total body water</w:t>
      </w:r>
      <w:r w:rsidR="006A7CD8">
        <w:rPr>
          <w:szCs w:val="24"/>
        </w:rPr>
        <w:t xml:space="preserve"> (TBW)</w:t>
      </w:r>
      <w:r w:rsidRPr="000342CB">
        <w:rPr>
          <w:szCs w:val="24"/>
        </w:rPr>
        <w:t>, but its clinical utility in determining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status in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Pr="000342CB">
        <w:rPr>
          <w:szCs w:val="24"/>
        </w:rPr>
        <w:t xml:space="preserve"> </w:t>
      </w:r>
      <w:r w:rsidR="002D067A">
        <w:rPr>
          <w:szCs w:val="24"/>
        </w:rPr>
        <w:t>has never been tested</w:t>
      </w:r>
      <w:r w:rsidR="00B159A9">
        <w:rPr>
          <w:szCs w:val="24"/>
        </w:rPr>
        <w:t>.</w:t>
      </w:r>
      <w:r w:rsidR="000C6CBF">
        <w:rPr>
          <w:szCs w:val="24"/>
        </w:rPr>
        <w:t xml:space="preserve"> </w:t>
      </w:r>
      <w:r w:rsidR="002D067A">
        <w:rPr>
          <w:szCs w:val="24"/>
        </w:rPr>
        <w:t>This study</w:t>
      </w:r>
      <w:r w:rsidR="000C6CBF">
        <w:rPr>
          <w:szCs w:val="24"/>
        </w:rPr>
        <w:t xml:space="preserve"> asses</w:t>
      </w:r>
      <w:r w:rsidR="002D067A">
        <w:rPr>
          <w:szCs w:val="24"/>
        </w:rPr>
        <w:t>s</w:t>
      </w:r>
      <w:r w:rsidR="000C6CBF">
        <w:rPr>
          <w:szCs w:val="24"/>
        </w:rPr>
        <w:t>ed</w:t>
      </w:r>
      <w:r w:rsidR="0010658F">
        <w:rPr>
          <w:szCs w:val="24"/>
        </w:rPr>
        <w:t xml:space="preserve"> the </w:t>
      </w:r>
      <w:r w:rsidR="0010658F" w:rsidRPr="000342CB">
        <w:rPr>
          <w:szCs w:val="24"/>
        </w:rPr>
        <w:t xml:space="preserve">utility of BIA in </w:t>
      </w:r>
      <w:r w:rsidR="002D067A">
        <w:rPr>
          <w:szCs w:val="24"/>
        </w:rPr>
        <w:t xml:space="preserve">the </w:t>
      </w:r>
      <w:r w:rsidR="0010658F" w:rsidRPr="000342CB">
        <w:rPr>
          <w:szCs w:val="24"/>
        </w:rPr>
        <w:t>clinical management of hypon</w:t>
      </w:r>
      <w:r w:rsidR="0010658F">
        <w:rPr>
          <w:szCs w:val="24"/>
        </w:rPr>
        <w:t>atraemia</w:t>
      </w:r>
      <w:r w:rsidR="0010658F" w:rsidRPr="000342CB">
        <w:rPr>
          <w:szCs w:val="24"/>
        </w:rPr>
        <w:t xml:space="preserve"> in elderly patients with fragility fractures (EPFF)</w:t>
      </w:r>
      <w:r w:rsidR="00B159A9">
        <w:rPr>
          <w:szCs w:val="24"/>
        </w:rPr>
        <w:t>, a group at</w:t>
      </w:r>
      <w:r w:rsidR="0010658F">
        <w:rPr>
          <w:szCs w:val="24"/>
        </w:rPr>
        <w:t xml:space="preserve"> high risk of hyponatraemia</w:t>
      </w:r>
      <w:r w:rsidR="0010658F" w:rsidRPr="000342CB">
        <w:rPr>
          <w:szCs w:val="24"/>
        </w:rPr>
        <w:t>.</w:t>
      </w:r>
    </w:p>
    <w:p w:rsidR="00F6380A" w:rsidRDefault="00F6380A" w:rsidP="002B5E37">
      <w:pPr>
        <w:spacing w:line="360" w:lineRule="auto"/>
        <w:rPr>
          <w:b/>
          <w:szCs w:val="24"/>
          <w:u w:val="single"/>
        </w:rPr>
      </w:pPr>
    </w:p>
    <w:p w:rsidR="00BF798A" w:rsidRDefault="0010658F" w:rsidP="002B5E37">
      <w:pPr>
        <w:spacing w:line="360" w:lineRule="auto"/>
        <w:rPr>
          <w:szCs w:val="24"/>
        </w:rPr>
      </w:pPr>
      <w:r>
        <w:rPr>
          <w:b/>
          <w:szCs w:val="24"/>
          <w:u w:val="single"/>
        </w:rPr>
        <w:t>Design</w:t>
      </w:r>
      <w:r w:rsidR="002B5E37">
        <w:rPr>
          <w:b/>
          <w:szCs w:val="24"/>
          <w:u w:val="single"/>
        </w:rPr>
        <w:t>:</w:t>
      </w:r>
    </w:p>
    <w:p w:rsidR="002B5E37" w:rsidRDefault="0010658F" w:rsidP="002B5E37">
      <w:pPr>
        <w:spacing w:line="360" w:lineRule="auto"/>
        <w:rPr>
          <w:szCs w:val="24"/>
        </w:rPr>
      </w:pPr>
      <w:r>
        <w:rPr>
          <w:szCs w:val="24"/>
        </w:rPr>
        <w:t>Prospective observational study of consenting p</w:t>
      </w:r>
      <w:r w:rsidR="002B5E37">
        <w:rPr>
          <w:szCs w:val="24"/>
        </w:rPr>
        <w:t xml:space="preserve">atients </w:t>
      </w:r>
      <w:r w:rsidR="006B3C0A">
        <w:rPr>
          <w:szCs w:val="24"/>
        </w:rPr>
        <w:t>≥</w:t>
      </w:r>
      <w:r w:rsidR="002B5E37">
        <w:rPr>
          <w:szCs w:val="24"/>
        </w:rPr>
        <w:t xml:space="preserve">65 years </w:t>
      </w:r>
      <w:r w:rsidR="0027262E">
        <w:rPr>
          <w:szCs w:val="24"/>
        </w:rPr>
        <w:t xml:space="preserve">with fragility fractures </w:t>
      </w:r>
      <w:r>
        <w:rPr>
          <w:szCs w:val="24"/>
        </w:rPr>
        <w:t>(N=127)</w:t>
      </w:r>
      <w:r w:rsidR="0027262E">
        <w:rPr>
          <w:szCs w:val="24"/>
        </w:rPr>
        <w:t>.</w:t>
      </w:r>
    </w:p>
    <w:p w:rsidR="00F6380A" w:rsidRDefault="00F6380A" w:rsidP="002B5E37">
      <w:pPr>
        <w:spacing w:line="360" w:lineRule="auto"/>
        <w:rPr>
          <w:b/>
          <w:szCs w:val="24"/>
          <w:u w:val="single"/>
        </w:rPr>
      </w:pPr>
    </w:p>
    <w:p w:rsidR="002D067A" w:rsidRDefault="002D067A" w:rsidP="002B5E37">
      <w:pPr>
        <w:spacing w:line="360" w:lineRule="auto"/>
        <w:rPr>
          <w:szCs w:val="24"/>
        </w:rPr>
      </w:pPr>
      <w:r>
        <w:rPr>
          <w:b/>
          <w:szCs w:val="24"/>
          <w:u w:val="single"/>
        </w:rPr>
        <w:t>Setting:</w:t>
      </w:r>
    </w:p>
    <w:p w:rsidR="002D067A" w:rsidRDefault="002D067A" w:rsidP="002B5E37">
      <w:pPr>
        <w:spacing w:line="360" w:lineRule="auto"/>
        <w:rPr>
          <w:szCs w:val="24"/>
        </w:rPr>
      </w:pPr>
      <w:r>
        <w:rPr>
          <w:szCs w:val="24"/>
        </w:rPr>
        <w:t>University teaching hospital in Scotland.</w:t>
      </w:r>
    </w:p>
    <w:p w:rsidR="002D067A" w:rsidRDefault="002D067A" w:rsidP="002B5E37">
      <w:pPr>
        <w:spacing w:line="360" w:lineRule="auto"/>
        <w:rPr>
          <w:szCs w:val="24"/>
        </w:rPr>
      </w:pPr>
    </w:p>
    <w:p w:rsidR="002D067A" w:rsidRPr="002D067A" w:rsidRDefault="002D067A" w:rsidP="002B5E37">
      <w:pPr>
        <w:spacing w:line="360" w:lineRule="auto"/>
        <w:rPr>
          <w:b/>
          <w:szCs w:val="24"/>
          <w:u w:val="single"/>
        </w:rPr>
      </w:pPr>
      <w:r w:rsidRPr="002D067A">
        <w:rPr>
          <w:b/>
          <w:szCs w:val="24"/>
          <w:u w:val="single"/>
        </w:rPr>
        <w:t>Participants:</w:t>
      </w:r>
    </w:p>
    <w:p w:rsidR="002D067A" w:rsidRDefault="002D067A" w:rsidP="002D067A">
      <w:pPr>
        <w:spacing w:line="360" w:lineRule="auto"/>
        <w:rPr>
          <w:szCs w:val="24"/>
        </w:rPr>
      </w:pPr>
      <w:r>
        <w:rPr>
          <w:szCs w:val="24"/>
        </w:rPr>
        <w:t>Patients ≥65 years with fragility fractures with capacity to consent to participation.</w:t>
      </w:r>
    </w:p>
    <w:p w:rsidR="002D067A" w:rsidRDefault="002D067A" w:rsidP="002B5E37">
      <w:pPr>
        <w:spacing w:line="360" w:lineRule="auto"/>
        <w:rPr>
          <w:b/>
          <w:szCs w:val="24"/>
          <w:u w:val="single"/>
        </w:rPr>
      </w:pPr>
    </w:p>
    <w:p w:rsidR="00BF798A" w:rsidRDefault="002B5E37" w:rsidP="002B5E37">
      <w:pPr>
        <w:spacing w:line="360" w:lineRule="auto"/>
        <w:rPr>
          <w:szCs w:val="24"/>
        </w:rPr>
      </w:pPr>
      <w:r>
        <w:rPr>
          <w:b/>
          <w:szCs w:val="24"/>
          <w:u w:val="single"/>
        </w:rPr>
        <w:t>M</w:t>
      </w:r>
      <w:r w:rsidR="002D067A">
        <w:rPr>
          <w:b/>
          <w:szCs w:val="24"/>
          <w:u w:val="single"/>
        </w:rPr>
        <w:t>easurement</w:t>
      </w:r>
      <w:r w:rsidR="0010658F">
        <w:rPr>
          <w:b/>
          <w:szCs w:val="24"/>
          <w:u w:val="single"/>
        </w:rPr>
        <w:t>s</w:t>
      </w:r>
      <w:r>
        <w:rPr>
          <w:b/>
          <w:szCs w:val="24"/>
          <w:u w:val="single"/>
        </w:rPr>
        <w:t>:</w:t>
      </w:r>
    </w:p>
    <w:p w:rsidR="002B5E37" w:rsidRPr="000342CB" w:rsidRDefault="002B5E37" w:rsidP="002B5E37">
      <w:pPr>
        <w:spacing w:line="360" w:lineRule="auto"/>
        <w:rPr>
          <w:szCs w:val="24"/>
        </w:rPr>
      </w:pPr>
      <w:r w:rsidRPr="000342CB">
        <w:rPr>
          <w:szCs w:val="24"/>
        </w:rPr>
        <w:t xml:space="preserve">BIA and standard clinical examination procedures </w:t>
      </w:r>
      <w:r w:rsidR="00BF798A">
        <w:rPr>
          <w:szCs w:val="24"/>
        </w:rPr>
        <w:t xml:space="preserve">(jugular </w:t>
      </w:r>
      <w:r w:rsidR="006B3C0A">
        <w:rPr>
          <w:szCs w:val="24"/>
        </w:rPr>
        <w:t xml:space="preserve">venous </w:t>
      </w:r>
      <w:r w:rsidR="00BF798A">
        <w:rPr>
          <w:szCs w:val="24"/>
        </w:rPr>
        <w:t>distension</w:t>
      </w:r>
      <w:r w:rsidRPr="000342CB">
        <w:rPr>
          <w:szCs w:val="24"/>
        </w:rPr>
        <w:t>, skin turgor, mouth and axillary moistness, peripheral oedema, capillary refill time</w:t>
      </w:r>
      <w:r w:rsidR="009A26B0">
        <w:rPr>
          <w:szCs w:val="24"/>
        </w:rPr>
        <w:t>,</w:t>
      </w:r>
      <w:r w:rsidRPr="000342CB">
        <w:rPr>
          <w:szCs w:val="24"/>
        </w:rPr>
        <w:t xml:space="preserve"> overall impression) were performed daily throughout </w:t>
      </w:r>
      <w:r>
        <w:rPr>
          <w:szCs w:val="24"/>
        </w:rPr>
        <w:t xml:space="preserve">each </w:t>
      </w:r>
      <w:r w:rsidRPr="000342CB">
        <w:rPr>
          <w:szCs w:val="24"/>
        </w:rPr>
        <w:t>participants’ hospital stay.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status </w:t>
      </w:r>
      <w:r w:rsidR="004C47EC">
        <w:rPr>
          <w:szCs w:val="24"/>
        </w:rPr>
        <w:t>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4C47EC">
        <w:rPr>
          <w:szCs w:val="24"/>
        </w:rPr>
        <w:t xml:space="preserve"> </w:t>
      </w:r>
      <w:r w:rsidRPr="000342CB">
        <w:rPr>
          <w:szCs w:val="24"/>
        </w:rPr>
        <w:t xml:space="preserve">was determined by an expert panel using clinical data (history, examination, nursing observations and laboratory tests) blinded to </w:t>
      </w:r>
      <w:r w:rsidR="006A7CD8">
        <w:rPr>
          <w:szCs w:val="24"/>
        </w:rPr>
        <w:t>TBW</w:t>
      </w:r>
      <w:r w:rsidR="006A7CD8" w:rsidRPr="000342CB">
        <w:rPr>
          <w:szCs w:val="24"/>
        </w:rPr>
        <w:t xml:space="preserve"> </w:t>
      </w:r>
      <w:r w:rsidRPr="000342CB">
        <w:rPr>
          <w:szCs w:val="24"/>
        </w:rPr>
        <w:t>readings. Cohen's kappa was calculated to assess the level of agreement between the expert panel and both BIA and standard clinical examination measures in determining the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state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Pr="000342CB">
        <w:rPr>
          <w:szCs w:val="24"/>
        </w:rPr>
        <w:t>.</w:t>
      </w:r>
    </w:p>
    <w:p w:rsidR="00F6380A" w:rsidRDefault="00F6380A" w:rsidP="002B5E37">
      <w:pPr>
        <w:spacing w:line="360" w:lineRule="auto"/>
        <w:rPr>
          <w:b/>
          <w:szCs w:val="24"/>
          <w:u w:val="single"/>
        </w:rPr>
      </w:pPr>
    </w:p>
    <w:p w:rsidR="00F6380A" w:rsidRDefault="002B5E37" w:rsidP="002B5E37">
      <w:pPr>
        <w:spacing w:line="360" w:lineRule="auto"/>
        <w:rPr>
          <w:szCs w:val="24"/>
        </w:rPr>
      </w:pPr>
      <w:r w:rsidRPr="000342CB">
        <w:rPr>
          <w:b/>
          <w:szCs w:val="24"/>
          <w:u w:val="single"/>
        </w:rPr>
        <w:t>Results</w:t>
      </w:r>
      <w:r w:rsidR="004C47EC">
        <w:rPr>
          <w:b/>
          <w:szCs w:val="24"/>
          <w:u w:val="single"/>
        </w:rPr>
        <w:t>:</w:t>
      </w:r>
      <w:r w:rsidR="004C47EC">
        <w:rPr>
          <w:szCs w:val="24"/>
        </w:rPr>
        <w:t xml:space="preserve"> </w:t>
      </w:r>
    </w:p>
    <w:p w:rsidR="002B5E37" w:rsidRPr="004C47EC" w:rsidRDefault="002B5E37" w:rsidP="002B5E37">
      <w:pPr>
        <w:spacing w:line="360" w:lineRule="auto"/>
        <w:rPr>
          <w:b/>
          <w:szCs w:val="24"/>
          <w:u w:val="single"/>
        </w:rPr>
      </w:pPr>
      <w:r w:rsidRPr="000342CB">
        <w:rPr>
          <w:szCs w:val="24"/>
        </w:rPr>
        <w:t xml:space="preserve">26/33 </w:t>
      </w:r>
      <w:r w:rsidR="002D067A">
        <w:rPr>
          <w:szCs w:val="24"/>
        </w:rPr>
        <w:t xml:space="preserve">(79%) </w:t>
      </w:r>
      <w:r w:rsidRPr="000342CB">
        <w:rPr>
          <w:szCs w:val="24"/>
        </w:rPr>
        <w:t>cases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Pr="000342CB">
        <w:rPr>
          <w:szCs w:val="24"/>
        </w:rPr>
        <w:t xml:space="preserve"> had sufficient clinical information to allow determination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status</w:t>
      </w:r>
      <w:r>
        <w:rPr>
          <w:szCs w:val="24"/>
        </w:rPr>
        <w:t xml:space="preserve"> by BIA</w:t>
      </w:r>
      <w:r w:rsidRPr="000342CB">
        <w:rPr>
          <w:szCs w:val="24"/>
        </w:rPr>
        <w:t xml:space="preserve">. There was moderate </w:t>
      </w:r>
      <w:r w:rsidR="009A26B0">
        <w:rPr>
          <w:szCs w:val="24"/>
        </w:rPr>
        <w:t xml:space="preserve">level of </w:t>
      </w:r>
      <w:r w:rsidRPr="000342CB">
        <w:rPr>
          <w:szCs w:val="24"/>
        </w:rPr>
        <w:t xml:space="preserve">agreement between </w:t>
      </w:r>
      <w:r w:rsidRPr="000342CB">
        <w:rPr>
          <w:szCs w:val="24"/>
        </w:rPr>
        <w:lastRenderedPageBreak/>
        <w:t xml:space="preserve">BIA and the expert </w:t>
      </w:r>
      <w:r w:rsidR="000A76D7">
        <w:rPr>
          <w:szCs w:val="24"/>
        </w:rPr>
        <w:t>panel, kappa 0.52 (p&lt;</w:t>
      </w:r>
      <w:r w:rsidRPr="000342CB">
        <w:rPr>
          <w:szCs w:val="24"/>
        </w:rPr>
        <w:t>.001). All kappa values for standard clinical assessments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Pr="000342CB">
        <w:rPr>
          <w:szCs w:val="24"/>
        </w:rPr>
        <w:t xml:space="preserve"> status neared zero, indicating nil to slight agreement.</w:t>
      </w:r>
    </w:p>
    <w:p w:rsidR="00F6380A" w:rsidRDefault="00F6380A" w:rsidP="002B5E37">
      <w:pPr>
        <w:spacing w:line="360" w:lineRule="auto"/>
        <w:rPr>
          <w:b/>
          <w:szCs w:val="24"/>
          <w:u w:val="single"/>
        </w:rPr>
      </w:pPr>
    </w:p>
    <w:p w:rsidR="002B5E37" w:rsidRDefault="002B5E37" w:rsidP="002B5E37">
      <w:pPr>
        <w:spacing w:line="360" w:lineRule="auto"/>
        <w:rPr>
          <w:b/>
          <w:szCs w:val="24"/>
          <w:u w:val="single"/>
        </w:rPr>
      </w:pPr>
      <w:r w:rsidRPr="000342CB">
        <w:rPr>
          <w:b/>
          <w:szCs w:val="24"/>
          <w:u w:val="single"/>
        </w:rPr>
        <w:t>Conclusion</w:t>
      </w:r>
      <w:r w:rsidR="00BF798A">
        <w:rPr>
          <w:b/>
          <w:szCs w:val="24"/>
          <w:u w:val="single"/>
        </w:rPr>
        <w:t>:</w:t>
      </w:r>
    </w:p>
    <w:p w:rsidR="002B5E37" w:rsidRDefault="002B5E37" w:rsidP="002B5E37">
      <w:pPr>
        <w:spacing w:line="360" w:lineRule="auto"/>
        <w:rPr>
          <w:rFonts w:cs="Calibri"/>
          <w:szCs w:val="24"/>
        </w:rPr>
      </w:pPr>
      <w:r w:rsidRPr="000342CB">
        <w:rPr>
          <w:rFonts w:cs="Calibri"/>
          <w:szCs w:val="24"/>
        </w:rPr>
        <w:t>BIA outperformed all aspects of the standard clinical examination in determining the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Pr="000342CB">
        <w:rPr>
          <w:rFonts w:cs="Calibri"/>
          <w:szCs w:val="24"/>
        </w:rPr>
        <w:t xml:space="preserve"> status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c</w:t>
      </w:r>
      <w:r w:rsidRPr="000342CB">
        <w:rPr>
          <w:rFonts w:cs="Calibri"/>
          <w:szCs w:val="24"/>
        </w:rPr>
        <w:t xml:space="preserve"> </w:t>
      </w:r>
      <w:r>
        <w:rPr>
          <w:rFonts w:cs="Calibri"/>
          <w:szCs w:val="24"/>
        </w:rPr>
        <w:t>EPFF</w:t>
      </w:r>
      <w:r w:rsidRPr="000342CB">
        <w:rPr>
          <w:rFonts w:cs="Calibri"/>
          <w:szCs w:val="24"/>
        </w:rPr>
        <w:t xml:space="preserve">, suggesting it may be useful in clinical practice. </w:t>
      </w:r>
    </w:p>
    <w:p w:rsidR="00B300AD" w:rsidRDefault="00B300AD" w:rsidP="002B5E37">
      <w:pPr>
        <w:spacing w:line="360" w:lineRule="auto"/>
        <w:rPr>
          <w:rFonts w:cs="Calibri"/>
          <w:szCs w:val="24"/>
        </w:rPr>
      </w:pPr>
    </w:p>
    <w:p w:rsidR="001759A8" w:rsidRPr="00A17547" w:rsidRDefault="00B300AD" w:rsidP="00A17547">
      <w:pPr>
        <w:spacing w:line="360" w:lineRule="auto"/>
        <w:rPr>
          <w:szCs w:val="24"/>
        </w:rPr>
      </w:pPr>
      <w:r>
        <w:rPr>
          <w:rFonts w:cs="Calibri"/>
          <w:b/>
          <w:szCs w:val="24"/>
        </w:rPr>
        <w:t>Key words:</w:t>
      </w:r>
      <w:r>
        <w:rPr>
          <w:rFonts w:cs="Calibri"/>
          <w:szCs w:val="24"/>
        </w:rPr>
        <w:t xml:space="preserve"> </w:t>
      </w:r>
      <w:r w:rsidR="00F6380A">
        <w:rPr>
          <w:rFonts w:cs="Calibri"/>
          <w:szCs w:val="24"/>
        </w:rPr>
        <w:t xml:space="preserve">bioelectrical impedance analysis, fracture, hydration, </w:t>
      </w:r>
      <w:r>
        <w:rPr>
          <w:rFonts w:cs="Calibri"/>
          <w:szCs w:val="24"/>
        </w:rPr>
        <w:t>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 xml:space="preserve">, </w:t>
      </w:r>
      <w:r w:rsidR="00F6380A">
        <w:rPr>
          <w:rFonts w:cs="Calibri"/>
          <w:szCs w:val="24"/>
        </w:rPr>
        <w:t>sodium</w:t>
      </w:r>
    </w:p>
    <w:p w:rsidR="00B300AD" w:rsidRDefault="00B300AD">
      <w:pPr>
        <w:spacing w:line="240" w:lineRule="auto"/>
        <w:jc w:val="left"/>
        <w:rPr>
          <w:rFonts w:eastAsia="Calibri"/>
          <w:b/>
          <w:bCs/>
          <w:color w:val="000000"/>
          <w:sz w:val="28"/>
          <w:szCs w:val="26"/>
        </w:rPr>
      </w:pPr>
      <w:bookmarkStart w:id="2" w:name="_Toc355594711"/>
      <w:r>
        <w:br w:type="page"/>
      </w:r>
    </w:p>
    <w:p w:rsidR="000613AE" w:rsidRDefault="00932C44" w:rsidP="000613AE">
      <w:pPr>
        <w:pStyle w:val="Heading2"/>
      </w:pPr>
      <w:r w:rsidRPr="00FB13E7">
        <w:lastRenderedPageBreak/>
        <w:t>Introduction</w:t>
      </w:r>
      <w:bookmarkEnd w:id="0"/>
      <w:bookmarkEnd w:id="2"/>
    </w:p>
    <w:p w:rsidR="00784701" w:rsidRDefault="00932C44" w:rsidP="000613AE">
      <w:pPr>
        <w:rPr>
          <w:szCs w:val="24"/>
        </w:rPr>
      </w:pPr>
      <w:r w:rsidRPr="00D2645A">
        <w:t>Hypon</w:t>
      </w:r>
      <w:r w:rsidR="00A219CF">
        <w:t>atraemi</w:t>
      </w:r>
      <w:r w:rsidR="00FF7FA5">
        <w:t>a</w:t>
      </w:r>
      <w:r w:rsidRPr="00D2645A">
        <w:t>, serum sodium &lt; 135mMol/L</w:t>
      </w:r>
      <w:r w:rsidR="007E3328" w:rsidRPr="00D2645A">
        <w:t>, is</w:t>
      </w:r>
      <w:r w:rsidRPr="00D2645A">
        <w:t xml:space="preserve"> the commonest electrolyte imbalance encountered in clinical practice</w:t>
      </w:r>
      <w:r w:rsidR="00F450A6">
        <w:t xml:space="preserve"> </w:t>
      </w:r>
      <w:r w:rsidR="00154582">
        <w:fldChar w:fldCharType="begin"/>
      </w:r>
      <w:r w:rsidR="0008395D">
        <w:instrText>ADDIN RW.CITE{{124 Soiza,Roy L. 2008}}</w:instrText>
      </w:r>
      <w:r w:rsidR="00154582">
        <w:fldChar w:fldCharType="separate"/>
      </w:r>
      <w:r w:rsidR="00A03868">
        <w:t>(1)</w:t>
      </w:r>
      <w:r w:rsidR="00154582">
        <w:fldChar w:fldCharType="end"/>
      </w:r>
      <w:r w:rsidR="00F450A6">
        <w:t>.</w:t>
      </w:r>
      <w:r w:rsidRPr="00D2645A">
        <w:t xml:space="preserve"> </w:t>
      </w:r>
      <w:r w:rsidR="002E15EC">
        <w:t xml:space="preserve">Prevalence </w:t>
      </w:r>
      <w:r w:rsidR="00F8247B">
        <w:t>is known to increase in frail patient groups</w:t>
      </w:r>
      <w:r w:rsidR="001A74DC">
        <w:t>.</w:t>
      </w:r>
      <w:r w:rsidR="00F8247B">
        <w:t xml:space="preserve"> </w:t>
      </w:r>
      <w:r w:rsidR="001A74DC">
        <w:t>E</w:t>
      </w:r>
      <w:r w:rsidR="00F8247B" w:rsidRPr="00D2645A">
        <w:t xml:space="preserve">lderly patients with fragility fractures (EPFF) </w:t>
      </w:r>
      <w:r w:rsidR="00F8247B">
        <w:t xml:space="preserve">are particularly susceptible </w:t>
      </w:r>
      <w:r w:rsidR="001A74DC">
        <w:t xml:space="preserve">to   hyponatraemia and are at higher risk of complications, making this a group of special clinical importance </w:t>
      </w:r>
      <w:r w:rsidR="00154582">
        <w:fldChar w:fldCharType="begin"/>
      </w:r>
      <w:r w:rsidR="00F8247B">
        <w:instrText>ADDIN RW.CITE{{27 Gankam Kengne,F. 2008; 124 Soiza,Roy L. 2008}}</w:instrText>
      </w:r>
      <w:r w:rsidR="00154582">
        <w:fldChar w:fldCharType="separate"/>
      </w:r>
      <w:r w:rsidR="00A03868">
        <w:t>(1,2)</w:t>
      </w:r>
      <w:r w:rsidR="00154582">
        <w:fldChar w:fldCharType="end"/>
      </w:r>
      <w:r w:rsidR="00F8247B">
        <w:t>. Hypon</w:t>
      </w:r>
      <w:r w:rsidR="00A219CF">
        <w:t>atraemi</w:t>
      </w:r>
      <w:r w:rsidR="00FF7FA5">
        <w:t>a</w:t>
      </w:r>
      <w:r w:rsidR="00F8247B">
        <w:t xml:space="preserve"> occurs due to disruption of sodium and water homeostasis,</w:t>
      </w:r>
      <w:r w:rsidR="00F8247B" w:rsidRPr="00CB6E91">
        <w:t xml:space="preserve"> normally </w:t>
      </w:r>
      <w:r w:rsidR="00F8247B">
        <w:t>maintained</w:t>
      </w:r>
      <w:r w:rsidR="00F8247B" w:rsidRPr="00CB6E91">
        <w:t xml:space="preserve"> </w:t>
      </w:r>
      <w:r w:rsidR="00F8247B">
        <w:t>by</w:t>
      </w:r>
      <w:r w:rsidR="00F8247B" w:rsidRPr="00CB6E91">
        <w:t xml:space="preserve"> </w:t>
      </w:r>
      <w:r w:rsidR="00F8247B">
        <w:t xml:space="preserve">complex </w:t>
      </w:r>
      <w:r w:rsidR="00F8247B" w:rsidRPr="00CB6E91">
        <w:t xml:space="preserve">multi-system </w:t>
      </w:r>
      <w:r w:rsidR="00F8247B">
        <w:t xml:space="preserve">physiological </w:t>
      </w:r>
      <w:r w:rsidR="00F8247B" w:rsidRPr="00CB6E91">
        <w:t xml:space="preserve">mechanisms </w:t>
      </w:r>
      <w:r w:rsidR="00154582">
        <w:fldChar w:fldCharType="begin"/>
      </w:r>
      <w:r w:rsidR="00376351">
        <w:instrText>ADDIN RW.CITE{{124 Soiza,Roy L. 2008}}</w:instrText>
      </w:r>
      <w:r w:rsidR="00154582">
        <w:fldChar w:fldCharType="separate"/>
      </w:r>
      <w:r w:rsidR="00A03868">
        <w:t>(1)</w:t>
      </w:r>
      <w:r w:rsidR="00154582">
        <w:fldChar w:fldCharType="end"/>
      </w:r>
      <w:r w:rsidR="00F8247B">
        <w:t xml:space="preserve">. </w:t>
      </w:r>
      <w:r w:rsidR="00F8247B" w:rsidRPr="00CB6E91">
        <w:t>Consequently</w:t>
      </w:r>
      <w:r w:rsidR="00F8247B">
        <w:t>,</w:t>
      </w:r>
      <w:r w:rsidR="00F8247B" w:rsidRPr="00CB6E91">
        <w:t xml:space="preserve"> there are numerous potential underlying causes</w:t>
      </w:r>
      <w:r w:rsidR="00F8247B">
        <w:t xml:space="preserve"> of hypon</w:t>
      </w:r>
      <w:r w:rsidR="00A219CF">
        <w:t>atraemi</w:t>
      </w:r>
      <w:r w:rsidR="00FF7FA5">
        <w:t>a</w:t>
      </w:r>
      <w:r w:rsidR="00F8247B">
        <w:t>,</w:t>
      </w:r>
      <w:r w:rsidR="00F8247B" w:rsidRPr="00CB6E91">
        <w:t xml:space="preserve"> </w:t>
      </w:r>
      <w:r w:rsidR="00F8247B">
        <w:t>spanning</w:t>
      </w:r>
      <w:r w:rsidR="00F8247B" w:rsidRPr="00CB6E91">
        <w:rPr>
          <w:szCs w:val="24"/>
        </w:rPr>
        <w:t xml:space="preserve"> a broad spectrum of </w:t>
      </w:r>
      <w:r w:rsidR="00F8247B">
        <w:rPr>
          <w:szCs w:val="24"/>
        </w:rPr>
        <w:t>diseas</w:t>
      </w:r>
      <w:r w:rsidR="00F8247B" w:rsidRPr="00CB6E91">
        <w:rPr>
          <w:szCs w:val="24"/>
        </w:rPr>
        <w:t>es, pharmacotherapy</w:t>
      </w:r>
      <w:r w:rsidR="00F8247B">
        <w:rPr>
          <w:szCs w:val="24"/>
        </w:rPr>
        <w:t xml:space="preserve"> and pathophysiological variant</w:t>
      </w:r>
      <w:r w:rsidR="00F8247B" w:rsidRPr="00CB6E91">
        <w:rPr>
          <w:szCs w:val="24"/>
        </w:rPr>
        <w:t>s</w:t>
      </w:r>
      <w:r w:rsidR="00F8247B">
        <w:rPr>
          <w:szCs w:val="24"/>
        </w:rPr>
        <w:t xml:space="preserve"> each with different treatment requirements (see figure 1) </w:t>
      </w:r>
      <w:r w:rsidR="00154582" w:rsidRPr="00CB6E91">
        <w:rPr>
          <w:szCs w:val="24"/>
        </w:rPr>
        <w:fldChar w:fldCharType="begin"/>
      </w:r>
      <w:r w:rsidR="00F8247B" w:rsidRPr="00CB6E91">
        <w:rPr>
          <w:szCs w:val="24"/>
        </w:rPr>
        <w:instrText>ADDIN RW.CITE{{127 Soiza,Roy L. 2011}}</w:instrText>
      </w:r>
      <w:r w:rsidR="00154582" w:rsidRPr="00CB6E91">
        <w:rPr>
          <w:szCs w:val="24"/>
        </w:rPr>
        <w:fldChar w:fldCharType="separate"/>
      </w:r>
      <w:r w:rsidR="00A03868">
        <w:rPr>
          <w:szCs w:val="24"/>
        </w:rPr>
        <w:t>(3)</w:t>
      </w:r>
      <w:r w:rsidR="00154582" w:rsidRPr="00CB6E91">
        <w:rPr>
          <w:szCs w:val="24"/>
        </w:rPr>
        <w:fldChar w:fldCharType="end"/>
      </w:r>
      <w:r w:rsidR="00F8247B">
        <w:rPr>
          <w:szCs w:val="24"/>
        </w:rPr>
        <w:t>.</w:t>
      </w:r>
      <w:r w:rsidR="00DE0384">
        <w:rPr>
          <w:szCs w:val="24"/>
        </w:rPr>
        <w:t xml:space="preserve"> </w:t>
      </w:r>
    </w:p>
    <w:p w:rsidR="00B159A9" w:rsidRDefault="00B159A9" w:rsidP="00784701">
      <w:pPr>
        <w:rPr>
          <w:szCs w:val="24"/>
        </w:rPr>
      </w:pPr>
    </w:p>
    <w:p w:rsidR="00784701" w:rsidRDefault="00DE0384" w:rsidP="00784701">
      <w:r>
        <w:rPr>
          <w:szCs w:val="24"/>
        </w:rPr>
        <w:t>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>
        <w:rPr>
          <w:szCs w:val="24"/>
        </w:rPr>
        <w:t xml:space="preserve"> is associ</w:t>
      </w:r>
      <w:r w:rsidR="004E7B28">
        <w:rPr>
          <w:szCs w:val="24"/>
        </w:rPr>
        <w:t>a</w:t>
      </w:r>
      <w:r>
        <w:rPr>
          <w:szCs w:val="24"/>
        </w:rPr>
        <w:t xml:space="preserve">ted with </w:t>
      </w:r>
      <w:r w:rsidRPr="00CB6E91">
        <w:rPr>
          <w:rFonts w:cs="Calibri"/>
          <w:szCs w:val="24"/>
        </w:rPr>
        <w:t>geriatric</w:t>
      </w:r>
      <w:r>
        <w:rPr>
          <w:rFonts w:cs="Calibri"/>
          <w:szCs w:val="24"/>
        </w:rPr>
        <w:t xml:space="preserve"> conditions and </w:t>
      </w:r>
      <w:r w:rsidRPr="00CB6E91">
        <w:rPr>
          <w:rFonts w:cs="Calibri"/>
          <w:szCs w:val="24"/>
        </w:rPr>
        <w:t>mu</w:t>
      </w:r>
      <w:r>
        <w:rPr>
          <w:rFonts w:cs="Calibri"/>
          <w:szCs w:val="24"/>
        </w:rPr>
        <w:t>lti-organ pathological changes. These include</w:t>
      </w:r>
      <w:r w:rsidRPr="00CB6E91">
        <w:rPr>
          <w:rFonts w:cs="Calibri"/>
          <w:szCs w:val="24"/>
        </w:rPr>
        <w:t xml:space="preserve"> </w:t>
      </w:r>
      <w:r>
        <w:t xml:space="preserve">abnormal gait patterns, </w:t>
      </w:r>
      <w:r w:rsidRPr="00D2645A">
        <w:t xml:space="preserve">falls, fractures, </w:t>
      </w:r>
      <w:r>
        <w:t xml:space="preserve">cognitive impairment, </w:t>
      </w:r>
      <w:r w:rsidRPr="00D2645A">
        <w:t xml:space="preserve">bone </w:t>
      </w:r>
      <w:r>
        <w:t>demineralisation, longer</w:t>
      </w:r>
      <w:r w:rsidRPr="00D2645A">
        <w:t xml:space="preserve"> hospi</w:t>
      </w:r>
      <w:r>
        <w:t>tal stay, institutionalisation and increased mortality</w:t>
      </w:r>
      <w:r>
        <w:rPr>
          <w:rFonts w:cs="Calibri"/>
          <w:szCs w:val="24"/>
        </w:rPr>
        <w:t xml:space="preserve"> </w:t>
      </w:r>
      <w:r w:rsidR="00154582">
        <w:fldChar w:fldCharType="begin"/>
      </w:r>
      <w:r>
        <w:instrText>ADDIN RW.CITE{{119 Ayus,J.C. 2010; 27 Gankam Kengne,F. 2008; 121 Tolouian,R. 2012; 126 Chua, M. 45: 3, 253-258; 127 Soiza,Roy L. 2011; 243 Shapiro,D.S. 2010}}</w:instrText>
      </w:r>
      <w:r w:rsidR="00154582">
        <w:fldChar w:fldCharType="separate"/>
      </w:r>
      <w:r w:rsidR="00A03868">
        <w:t>(2-7)</w:t>
      </w:r>
      <w:r w:rsidR="00154582">
        <w:fldChar w:fldCharType="end"/>
      </w:r>
      <w:r>
        <w:t>.</w:t>
      </w:r>
      <w:r>
        <w:rPr>
          <w:rFonts w:cs="Calibri"/>
          <w:szCs w:val="24"/>
        </w:rPr>
        <w:t xml:space="preserve"> </w:t>
      </w:r>
      <w:r w:rsidR="00784701" w:rsidRPr="00CB6E91">
        <w:rPr>
          <w:szCs w:val="24"/>
        </w:rPr>
        <w:t xml:space="preserve">Whether </w:t>
      </w:r>
      <w:r>
        <w:rPr>
          <w:szCs w:val="24"/>
        </w:rPr>
        <w:t>it</w:t>
      </w:r>
      <w:r w:rsidR="00784701" w:rsidRPr="00CB6E91">
        <w:rPr>
          <w:szCs w:val="24"/>
        </w:rPr>
        <w:t xml:space="preserve"> is an independent predictor of patient outcomes or a marker of disease severity </w:t>
      </w:r>
      <w:r w:rsidR="00784701">
        <w:rPr>
          <w:szCs w:val="24"/>
        </w:rPr>
        <w:t>is</w:t>
      </w:r>
      <w:r w:rsidR="00784701" w:rsidRPr="00CB6E91">
        <w:rPr>
          <w:szCs w:val="24"/>
        </w:rPr>
        <w:t xml:space="preserve"> deba</w:t>
      </w:r>
      <w:r w:rsidR="00784701">
        <w:rPr>
          <w:szCs w:val="24"/>
        </w:rPr>
        <w:t xml:space="preserve">table </w:t>
      </w:r>
      <w:r w:rsidR="00154582">
        <w:rPr>
          <w:szCs w:val="24"/>
        </w:rPr>
        <w:fldChar w:fldCharType="begin"/>
      </w:r>
      <w:r w:rsidR="00784701">
        <w:rPr>
          <w:szCs w:val="24"/>
        </w:rPr>
        <w:instrText>ADDIN RW.CITE{{127 Soiza,Roy L.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(3)</w:t>
      </w:r>
      <w:r w:rsidR="00154582">
        <w:rPr>
          <w:szCs w:val="24"/>
        </w:rPr>
        <w:fldChar w:fldCharType="end"/>
      </w:r>
      <w:r w:rsidR="00784701">
        <w:rPr>
          <w:szCs w:val="24"/>
        </w:rPr>
        <w:t xml:space="preserve">. Nevertheless, </w:t>
      </w:r>
      <w:r>
        <w:t>hypon</w:t>
      </w:r>
      <w:r w:rsidR="00A219CF">
        <w:t>atraemi</w:t>
      </w:r>
      <w:r w:rsidR="00FF7FA5">
        <w:t>a</w:t>
      </w:r>
      <w:r w:rsidR="00784701">
        <w:t xml:space="preserve"> is very treatable, so its association</w:t>
      </w:r>
      <w:r w:rsidR="00784701" w:rsidRPr="00D2645A">
        <w:t xml:space="preserve"> with multiple poor clinical outcomes</w:t>
      </w:r>
      <w:r w:rsidR="00A601E3">
        <w:t xml:space="preserve"> is important</w:t>
      </w:r>
      <w:r w:rsidR="00784701">
        <w:t xml:space="preserve">. </w:t>
      </w:r>
    </w:p>
    <w:p w:rsidR="002E15EC" w:rsidRDefault="002E15EC" w:rsidP="00784701"/>
    <w:p w:rsidR="001B312F" w:rsidRPr="00572D11" w:rsidRDefault="00784701" w:rsidP="00C9221A">
      <w:pPr>
        <w:rPr>
          <w:rFonts w:cs="Calibri"/>
          <w:szCs w:val="24"/>
        </w:rPr>
      </w:pPr>
      <w:r>
        <w:t>Clinical management of hypon</w:t>
      </w:r>
      <w:r w:rsidR="00A219CF">
        <w:t>atraemi</w:t>
      </w:r>
      <w:r w:rsidR="00FF7FA5">
        <w:t>a</w:t>
      </w:r>
      <w:r>
        <w:t xml:space="preserve"> is based on diagnosing and treating the underlying causes and restoring salt and water balance </w:t>
      </w:r>
      <w:r w:rsidR="00154582">
        <w:fldChar w:fldCharType="begin"/>
      </w:r>
      <w:r>
        <w:instrText>ADDIN RW.CITE{{124 Soiza,Roy L. 2008}}</w:instrText>
      </w:r>
      <w:r w:rsidR="00154582">
        <w:fldChar w:fldCharType="separate"/>
      </w:r>
      <w:r w:rsidR="00A03868">
        <w:t>(1)</w:t>
      </w:r>
      <w:r w:rsidR="00154582">
        <w:fldChar w:fldCharType="end"/>
      </w:r>
      <w:r>
        <w:t xml:space="preserve">. </w:t>
      </w:r>
      <w:r>
        <w:rPr>
          <w:szCs w:val="24"/>
        </w:rPr>
        <w:t>However, a</w:t>
      </w:r>
      <w:r w:rsidRPr="00CB6E91">
        <w:rPr>
          <w:szCs w:val="24"/>
        </w:rPr>
        <w:t>ccurate determination of aetiology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>
        <w:rPr>
          <w:szCs w:val="24"/>
        </w:rPr>
        <w:t xml:space="preserve"> is notoriously challenging </w:t>
      </w:r>
      <w:r w:rsidR="00154582">
        <w:rPr>
          <w:szCs w:val="24"/>
        </w:rPr>
        <w:fldChar w:fldCharType="begin"/>
      </w:r>
      <w:r>
        <w:rPr>
          <w:szCs w:val="24"/>
        </w:rPr>
        <w:instrText>ADDIN RW.CITE{{125 Hoyle,G.E.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(8)</w:t>
      </w:r>
      <w:r w:rsidR="00154582">
        <w:rPr>
          <w:szCs w:val="24"/>
        </w:rPr>
        <w:fldChar w:fldCharType="end"/>
      </w:r>
      <w:r>
        <w:rPr>
          <w:szCs w:val="24"/>
        </w:rPr>
        <w:t>. Diagnosis depends crucially on accurate assessment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>
        <w:rPr>
          <w:szCs w:val="24"/>
        </w:rPr>
        <w:t xml:space="preserve"> status which is difficult to determine with certainty, especially in older individuals for whom there is currently no reliable biomarker of hydration </w:t>
      </w:r>
      <w:r w:rsidR="00154582">
        <w:rPr>
          <w:szCs w:val="24"/>
        </w:rPr>
        <w:fldChar w:fldCharType="begin"/>
      </w:r>
      <w:r>
        <w:rPr>
          <w:szCs w:val="24"/>
        </w:rPr>
        <w:instrText>ADDIN RW.CITE{{244 Soiza,R.L. 2011; 127 Soiza,Roy L.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(3,9)</w:t>
      </w:r>
      <w:r w:rsidR="00154582">
        <w:rPr>
          <w:szCs w:val="24"/>
        </w:rPr>
        <w:fldChar w:fldCharType="end"/>
      </w:r>
      <w:r>
        <w:rPr>
          <w:szCs w:val="24"/>
        </w:rPr>
        <w:t>.</w:t>
      </w:r>
      <w:r w:rsidR="00415B63">
        <w:rPr>
          <w:szCs w:val="24"/>
        </w:rPr>
        <w:t xml:space="preserve"> </w:t>
      </w:r>
      <w:r w:rsidR="00572D11" w:rsidRPr="00CB6E91">
        <w:rPr>
          <w:szCs w:val="24"/>
        </w:rPr>
        <w:t xml:space="preserve">Expert physicians’ clinical judgment is the most </w:t>
      </w:r>
      <w:r w:rsidR="00572D11">
        <w:rPr>
          <w:szCs w:val="24"/>
        </w:rPr>
        <w:t xml:space="preserve">widely </w:t>
      </w:r>
      <w:r w:rsidR="00572D11" w:rsidRPr="00CB6E91">
        <w:rPr>
          <w:szCs w:val="24"/>
        </w:rPr>
        <w:t>acc</w:t>
      </w:r>
      <w:r w:rsidR="00572D11">
        <w:rPr>
          <w:szCs w:val="24"/>
        </w:rPr>
        <w:t>epted</w:t>
      </w:r>
      <w:r w:rsidR="00572D11" w:rsidRPr="00CB6E91">
        <w:rPr>
          <w:szCs w:val="24"/>
        </w:rPr>
        <w:t xml:space="preserve"> means of obtaining an accurate diagnos</w:t>
      </w:r>
      <w:r w:rsidR="00572D11">
        <w:rPr>
          <w:szCs w:val="24"/>
        </w:rPr>
        <w:t>is</w:t>
      </w:r>
      <w:r w:rsidR="00572D11" w:rsidRPr="00CB6E91">
        <w:rPr>
          <w:szCs w:val="24"/>
        </w:rPr>
        <w:t>.</w:t>
      </w:r>
      <w:r w:rsidR="00F91476">
        <w:rPr>
          <w:szCs w:val="24"/>
        </w:rPr>
        <w:t xml:space="preserve"> D</w:t>
      </w:r>
      <w:r w:rsidR="00F6380A">
        <w:rPr>
          <w:szCs w:val="24"/>
        </w:rPr>
        <w:t>iagnostic algorithms</w:t>
      </w:r>
      <w:r w:rsidR="00572D11" w:rsidRPr="00CB6E91">
        <w:rPr>
          <w:szCs w:val="24"/>
        </w:rPr>
        <w:t xml:space="preserve"> have been developed </w:t>
      </w:r>
      <w:r w:rsidR="00572D11">
        <w:rPr>
          <w:szCs w:val="24"/>
        </w:rPr>
        <w:t>to</w:t>
      </w:r>
      <w:r w:rsidR="00572D11" w:rsidRPr="00CB6E91">
        <w:rPr>
          <w:szCs w:val="24"/>
        </w:rPr>
        <w:t xml:space="preserve"> facilitate clinical management of </w:t>
      </w:r>
      <w:r w:rsidR="00572D11" w:rsidRPr="00CB6E91">
        <w:rPr>
          <w:szCs w:val="24"/>
        </w:rPr>
        <w:lastRenderedPageBreak/>
        <w:t>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572D11" w:rsidRPr="00CB6E91">
        <w:rPr>
          <w:szCs w:val="24"/>
        </w:rPr>
        <w:t xml:space="preserve"> </w:t>
      </w:r>
      <w:r w:rsidR="00572D11">
        <w:rPr>
          <w:szCs w:val="24"/>
        </w:rPr>
        <w:t xml:space="preserve">by </w:t>
      </w:r>
      <w:r w:rsidR="00572D11" w:rsidRPr="00CB6E91">
        <w:rPr>
          <w:szCs w:val="24"/>
        </w:rPr>
        <w:t>non-</w:t>
      </w:r>
      <w:r w:rsidR="00572D11">
        <w:rPr>
          <w:szCs w:val="24"/>
        </w:rPr>
        <w:t>specialist</w:t>
      </w:r>
      <w:r w:rsidR="00572D11" w:rsidRPr="00CB6E91">
        <w:rPr>
          <w:szCs w:val="24"/>
        </w:rPr>
        <w:t xml:space="preserve"> clinicians</w:t>
      </w:r>
      <w:r w:rsidR="00E40062">
        <w:rPr>
          <w:szCs w:val="24"/>
        </w:rPr>
        <w:t>,</w:t>
      </w:r>
      <w:r w:rsidR="00572D11">
        <w:rPr>
          <w:szCs w:val="24"/>
        </w:rPr>
        <w:t xml:space="preserve"> </w:t>
      </w:r>
      <w:r w:rsidR="00F91476">
        <w:rPr>
          <w:szCs w:val="24"/>
        </w:rPr>
        <w:t xml:space="preserve">but </w:t>
      </w:r>
      <w:r w:rsidR="00572D11" w:rsidRPr="00CB6E91">
        <w:rPr>
          <w:szCs w:val="24"/>
        </w:rPr>
        <w:t xml:space="preserve">all rely </w:t>
      </w:r>
      <w:r w:rsidR="00B97F69">
        <w:rPr>
          <w:szCs w:val="24"/>
        </w:rPr>
        <w:t xml:space="preserve">on </w:t>
      </w:r>
      <w:r w:rsidR="00572D11" w:rsidRPr="00CB6E91">
        <w:rPr>
          <w:szCs w:val="24"/>
        </w:rPr>
        <w:t>accurat</w:t>
      </w:r>
      <w:r w:rsidR="00572D11">
        <w:rPr>
          <w:szCs w:val="24"/>
        </w:rPr>
        <w:t>e assessment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572D11">
        <w:rPr>
          <w:szCs w:val="24"/>
        </w:rPr>
        <w:t xml:space="preserve"> status </w:t>
      </w:r>
      <w:r w:rsidR="00154582" w:rsidRPr="00CB6E91">
        <w:rPr>
          <w:szCs w:val="24"/>
        </w:rPr>
        <w:fldChar w:fldCharType="begin"/>
      </w:r>
      <w:r w:rsidR="00572D11" w:rsidRPr="00CB6E91">
        <w:rPr>
          <w:szCs w:val="24"/>
        </w:rPr>
        <w:instrText>ADDIN RW.CITE{{254 Fenske,Wiebke 2010}}</w:instrText>
      </w:r>
      <w:r w:rsidR="00154582" w:rsidRPr="00CB6E91">
        <w:rPr>
          <w:szCs w:val="24"/>
        </w:rPr>
        <w:fldChar w:fldCharType="separate"/>
      </w:r>
      <w:r w:rsidR="00A03868">
        <w:rPr>
          <w:szCs w:val="24"/>
        </w:rPr>
        <w:t>(10)</w:t>
      </w:r>
      <w:r w:rsidR="00154582" w:rsidRPr="00CB6E91">
        <w:rPr>
          <w:szCs w:val="24"/>
        </w:rPr>
        <w:fldChar w:fldCharType="end"/>
      </w:r>
      <w:r w:rsidR="00572D11">
        <w:rPr>
          <w:szCs w:val="24"/>
        </w:rPr>
        <w:t xml:space="preserve">. </w:t>
      </w:r>
      <w:r w:rsidR="002E15EC">
        <w:rPr>
          <w:szCs w:val="24"/>
        </w:rPr>
        <w:t>S</w:t>
      </w:r>
      <w:r w:rsidR="002E15EC" w:rsidRPr="00CB6E91">
        <w:rPr>
          <w:szCs w:val="24"/>
        </w:rPr>
        <w:t>tandard assessment</w:t>
      </w:r>
      <w:r w:rsidR="002E15EC">
        <w:rPr>
          <w:szCs w:val="24"/>
        </w:rPr>
        <w:t xml:space="preserve">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2E15EC">
        <w:rPr>
          <w:szCs w:val="24"/>
        </w:rPr>
        <w:t xml:space="preserve"> status</w:t>
      </w:r>
      <w:r w:rsidR="002E15EC" w:rsidRPr="00CB6E91">
        <w:rPr>
          <w:szCs w:val="24"/>
        </w:rPr>
        <w:t xml:space="preserve">, </w:t>
      </w:r>
      <w:r w:rsidR="00B97F69">
        <w:rPr>
          <w:szCs w:val="24"/>
        </w:rPr>
        <w:t>using</w:t>
      </w:r>
      <w:r w:rsidR="002E15EC" w:rsidRPr="00CB6E91">
        <w:rPr>
          <w:szCs w:val="24"/>
        </w:rPr>
        <w:t xml:space="preserve"> c</w:t>
      </w:r>
      <w:r w:rsidR="002E15EC">
        <w:rPr>
          <w:szCs w:val="24"/>
        </w:rPr>
        <w:t xml:space="preserve">linical examination, is </w:t>
      </w:r>
      <w:r w:rsidR="00B97F69">
        <w:rPr>
          <w:szCs w:val="24"/>
        </w:rPr>
        <w:t>unreliabl</w:t>
      </w:r>
      <w:r w:rsidR="002E15EC">
        <w:rPr>
          <w:szCs w:val="24"/>
        </w:rPr>
        <w:t>e</w:t>
      </w:r>
      <w:r w:rsidR="003A31DC">
        <w:rPr>
          <w:szCs w:val="24"/>
        </w:rPr>
        <w:t xml:space="preserve"> for older hypon</w:t>
      </w:r>
      <w:r w:rsidR="00A219CF">
        <w:rPr>
          <w:szCs w:val="24"/>
        </w:rPr>
        <w:t>atraemi</w:t>
      </w:r>
      <w:r w:rsidR="00FF7FA5">
        <w:rPr>
          <w:szCs w:val="24"/>
        </w:rPr>
        <w:t>c</w:t>
      </w:r>
      <w:r w:rsidR="003A31DC">
        <w:rPr>
          <w:szCs w:val="24"/>
        </w:rPr>
        <w:t xml:space="preserve"> patients</w:t>
      </w:r>
      <w:r w:rsidR="002E15EC" w:rsidRPr="00CB6E91">
        <w:rPr>
          <w:szCs w:val="24"/>
        </w:rPr>
        <w:t xml:space="preserve"> </w:t>
      </w:r>
      <w:r w:rsidR="00154582" w:rsidRPr="00CB6E91">
        <w:rPr>
          <w:szCs w:val="24"/>
        </w:rPr>
        <w:fldChar w:fldCharType="begin"/>
      </w:r>
      <w:r w:rsidR="002E15EC" w:rsidRPr="00CB6E91">
        <w:rPr>
          <w:szCs w:val="24"/>
        </w:rPr>
        <w:instrText>ADDIN RW.CITE{{125 Hoyle,G.E. 2011}}</w:instrText>
      </w:r>
      <w:r w:rsidR="00154582" w:rsidRPr="00CB6E91">
        <w:rPr>
          <w:szCs w:val="24"/>
        </w:rPr>
        <w:fldChar w:fldCharType="separate"/>
      </w:r>
      <w:r w:rsidR="00A03868">
        <w:rPr>
          <w:szCs w:val="24"/>
        </w:rPr>
        <w:t>(8)</w:t>
      </w:r>
      <w:r w:rsidR="00154582" w:rsidRPr="00CB6E91">
        <w:rPr>
          <w:szCs w:val="24"/>
        </w:rPr>
        <w:fldChar w:fldCharType="end"/>
      </w:r>
      <w:r w:rsidR="002E15EC">
        <w:rPr>
          <w:szCs w:val="24"/>
        </w:rPr>
        <w:t xml:space="preserve">. </w:t>
      </w:r>
      <w:r w:rsidR="00DD5CE2">
        <w:rPr>
          <w:szCs w:val="24"/>
        </w:rPr>
        <w:t>Moreover</w:t>
      </w:r>
      <w:r w:rsidR="002E15EC">
        <w:rPr>
          <w:szCs w:val="24"/>
        </w:rPr>
        <w:t>,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2E15EC" w:rsidRPr="00CB6E91">
        <w:rPr>
          <w:szCs w:val="24"/>
        </w:rPr>
        <w:t xml:space="preserve"> in </w:t>
      </w:r>
      <w:r w:rsidR="00E40062">
        <w:rPr>
          <w:szCs w:val="24"/>
        </w:rPr>
        <w:t>older individuals</w:t>
      </w:r>
      <w:r w:rsidR="002E15EC" w:rsidRPr="00CB6E91">
        <w:rPr>
          <w:szCs w:val="24"/>
        </w:rPr>
        <w:t xml:space="preserve"> is </w:t>
      </w:r>
      <w:r w:rsidR="002E15EC">
        <w:rPr>
          <w:szCs w:val="24"/>
        </w:rPr>
        <w:t>predominantly</w:t>
      </w:r>
      <w:r w:rsidR="002E15EC" w:rsidRPr="00CB6E91">
        <w:rPr>
          <w:szCs w:val="24"/>
        </w:rPr>
        <w:t xml:space="preserve"> multifactorial</w:t>
      </w:r>
      <w:r w:rsidR="00572D11">
        <w:rPr>
          <w:szCs w:val="24"/>
        </w:rPr>
        <w:t xml:space="preserve"> in aetiology</w:t>
      </w:r>
      <w:r w:rsidR="002E15EC">
        <w:rPr>
          <w:szCs w:val="24"/>
        </w:rPr>
        <w:t>,</w:t>
      </w:r>
      <w:r w:rsidR="002E15EC" w:rsidRPr="00CB6E91">
        <w:rPr>
          <w:szCs w:val="24"/>
        </w:rPr>
        <w:t xml:space="preserve"> </w:t>
      </w:r>
      <w:r w:rsidR="00572D11">
        <w:rPr>
          <w:szCs w:val="24"/>
        </w:rPr>
        <w:t>and may</w:t>
      </w:r>
      <w:r w:rsidR="00E40062">
        <w:rPr>
          <w:szCs w:val="24"/>
        </w:rPr>
        <w:t xml:space="preserve"> therefore</w:t>
      </w:r>
      <w:r w:rsidR="00572D11">
        <w:rPr>
          <w:szCs w:val="24"/>
        </w:rPr>
        <w:t xml:space="preserve"> </w:t>
      </w:r>
      <w:r w:rsidR="002E15EC">
        <w:rPr>
          <w:szCs w:val="24"/>
        </w:rPr>
        <w:t>present</w:t>
      </w:r>
      <w:r w:rsidR="00572D11">
        <w:rPr>
          <w:szCs w:val="24"/>
        </w:rPr>
        <w:t xml:space="preserve"> </w:t>
      </w:r>
      <w:r w:rsidR="002E15EC">
        <w:rPr>
          <w:szCs w:val="24"/>
        </w:rPr>
        <w:t>with confl</w:t>
      </w:r>
      <w:r w:rsidR="00F6380A">
        <w:rPr>
          <w:szCs w:val="24"/>
        </w:rPr>
        <w:t>icting signs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F6380A">
        <w:rPr>
          <w:szCs w:val="24"/>
        </w:rPr>
        <w:t xml:space="preserve"> status</w:t>
      </w:r>
      <w:r w:rsidR="002E15EC">
        <w:rPr>
          <w:szCs w:val="24"/>
        </w:rPr>
        <w:t xml:space="preserve"> </w:t>
      </w:r>
      <w:r w:rsidR="00154582" w:rsidRPr="00CB6E91">
        <w:rPr>
          <w:szCs w:val="24"/>
        </w:rPr>
        <w:fldChar w:fldCharType="begin"/>
      </w:r>
      <w:r w:rsidR="002E15EC">
        <w:rPr>
          <w:szCs w:val="24"/>
        </w:rPr>
        <w:instrText>ADDIN RW.CITE{{243 Shapiro,D.S. 2010; 246 Clayton,J.A. 2006}}</w:instrText>
      </w:r>
      <w:r w:rsidR="00154582" w:rsidRPr="00CB6E91">
        <w:rPr>
          <w:szCs w:val="24"/>
        </w:rPr>
        <w:fldChar w:fldCharType="separate"/>
      </w:r>
      <w:r w:rsidR="00A03868">
        <w:rPr>
          <w:szCs w:val="24"/>
        </w:rPr>
        <w:t>(7,11)</w:t>
      </w:r>
      <w:r w:rsidR="00154582" w:rsidRPr="00CB6E91">
        <w:rPr>
          <w:szCs w:val="24"/>
        </w:rPr>
        <w:fldChar w:fldCharType="end"/>
      </w:r>
      <w:r w:rsidR="002E15EC">
        <w:rPr>
          <w:szCs w:val="24"/>
        </w:rPr>
        <w:t xml:space="preserve">. </w:t>
      </w:r>
      <w:r w:rsidR="00F6380A">
        <w:rPr>
          <w:szCs w:val="24"/>
        </w:rPr>
        <w:t>These factors increase the risk of</w:t>
      </w:r>
      <w:r w:rsidR="009155F9">
        <w:rPr>
          <w:szCs w:val="24"/>
        </w:rPr>
        <w:t xml:space="preserve"> misdiagnosis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9155F9">
        <w:rPr>
          <w:szCs w:val="24"/>
        </w:rPr>
        <w:t xml:space="preserve"> state and aetiology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9155F9">
        <w:rPr>
          <w:szCs w:val="24"/>
        </w:rPr>
        <w:t>. Subsequently</w:t>
      </w:r>
      <w:r w:rsidR="00B97F69">
        <w:rPr>
          <w:szCs w:val="24"/>
        </w:rPr>
        <w:t>,</w:t>
      </w:r>
      <w:r w:rsidR="009155F9">
        <w:rPr>
          <w:szCs w:val="24"/>
        </w:rPr>
        <w:t xml:space="preserve"> patients may be subject to </w:t>
      </w:r>
      <w:r w:rsidR="002E15EC" w:rsidRPr="00CB6E91">
        <w:rPr>
          <w:szCs w:val="24"/>
        </w:rPr>
        <w:t xml:space="preserve">serious </w:t>
      </w:r>
      <w:r w:rsidR="00DD5CE2">
        <w:rPr>
          <w:szCs w:val="24"/>
        </w:rPr>
        <w:t xml:space="preserve">clinical </w:t>
      </w:r>
      <w:r w:rsidR="002E15EC" w:rsidRPr="00CB6E91">
        <w:rPr>
          <w:szCs w:val="24"/>
        </w:rPr>
        <w:t>consequences</w:t>
      </w:r>
      <w:r w:rsidR="002E15EC">
        <w:rPr>
          <w:szCs w:val="24"/>
        </w:rPr>
        <w:t xml:space="preserve"> as the management of  different aetiologies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2E15EC">
        <w:rPr>
          <w:szCs w:val="24"/>
        </w:rPr>
        <w:t xml:space="preserve"> </w:t>
      </w:r>
      <w:r w:rsidR="00F6380A">
        <w:rPr>
          <w:szCs w:val="24"/>
        </w:rPr>
        <w:t xml:space="preserve">may be </w:t>
      </w:r>
      <w:r w:rsidR="002E15EC">
        <w:rPr>
          <w:szCs w:val="24"/>
        </w:rPr>
        <w:t>exact opposites (</w:t>
      </w:r>
      <w:r w:rsidR="002E15EC">
        <w:rPr>
          <w:i/>
          <w:szCs w:val="24"/>
        </w:rPr>
        <w:t xml:space="preserve">e.g. </w:t>
      </w:r>
      <w:r w:rsidR="002E15EC">
        <w:rPr>
          <w:szCs w:val="24"/>
        </w:rPr>
        <w:t xml:space="preserve">syndrome of inappropriate anti-diuretic hormone (SIADH) requires </w:t>
      </w:r>
      <w:r w:rsidR="00F6380A">
        <w:rPr>
          <w:szCs w:val="24"/>
        </w:rPr>
        <w:t xml:space="preserve">strict </w:t>
      </w:r>
      <w:r w:rsidR="002E15EC">
        <w:rPr>
          <w:szCs w:val="24"/>
        </w:rPr>
        <w:t>fluid restriction whilst dehydration requires vigorous fluid replacement)</w:t>
      </w:r>
      <w:r w:rsidR="002E15EC" w:rsidRPr="00CB6E91">
        <w:rPr>
          <w:szCs w:val="24"/>
        </w:rPr>
        <w:t xml:space="preserve">. </w:t>
      </w:r>
      <w:r w:rsidR="009155F9">
        <w:rPr>
          <w:szCs w:val="24"/>
        </w:rPr>
        <w:t xml:space="preserve">Given </w:t>
      </w:r>
      <w:r w:rsidR="002E15EC">
        <w:rPr>
          <w:szCs w:val="24"/>
        </w:rPr>
        <w:t>the probability of degenerative physiology with concomitant disease in older individuals</w:t>
      </w:r>
      <w:r w:rsidR="009155F9">
        <w:rPr>
          <w:szCs w:val="24"/>
        </w:rPr>
        <w:t>,</w:t>
      </w:r>
      <w:r w:rsidR="002E15EC" w:rsidRPr="00CB6E91">
        <w:rPr>
          <w:szCs w:val="24"/>
        </w:rPr>
        <w:t xml:space="preserve"> there is little room for treatment error</w:t>
      </w:r>
      <w:r w:rsidR="009155F9">
        <w:rPr>
          <w:szCs w:val="24"/>
        </w:rPr>
        <w:t xml:space="preserve">, particularly </w:t>
      </w:r>
      <w:r w:rsidR="00B97F69">
        <w:rPr>
          <w:szCs w:val="24"/>
        </w:rPr>
        <w:t xml:space="preserve">in </w:t>
      </w:r>
      <w:r w:rsidR="009155F9">
        <w:rPr>
          <w:szCs w:val="24"/>
        </w:rPr>
        <w:t xml:space="preserve">EPFF </w:t>
      </w:r>
      <w:r w:rsidR="00DE0384">
        <w:rPr>
          <w:szCs w:val="24"/>
        </w:rPr>
        <w:t>who endure</w:t>
      </w:r>
      <w:r w:rsidR="009155F9">
        <w:rPr>
          <w:szCs w:val="24"/>
        </w:rPr>
        <w:t xml:space="preserve"> </w:t>
      </w:r>
      <w:r w:rsidR="00D81B5C">
        <w:rPr>
          <w:szCs w:val="24"/>
        </w:rPr>
        <w:t>additional homeostatic</w:t>
      </w:r>
      <w:r w:rsidR="00B97F69">
        <w:rPr>
          <w:szCs w:val="24"/>
        </w:rPr>
        <w:t xml:space="preserve"> challenges</w:t>
      </w:r>
      <w:r w:rsidR="009155F9">
        <w:rPr>
          <w:szCs w:val="24"/>
        </w:rPr>
        <w:t xml:space="preserve"> </w:t>
      </w:r>
      <w:r w:rsidR="00B97F69">
        <w:rPr>
          <w:szCs w:val="24"/>
        </w:rPr>
        <w:t>due to the fracture and subsequent surgical intervention</w:t>
      </w:r>
      <w:r w:rsidR="00DE0384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DE0384">
        <w:rPr>
          <w:szCs w:val="24"/>
        </w:rPr>
        <w:instrText>ADDIN RW.CITE{{28 Tambe,A.A. 2003}}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(12)</w:t>
      </w:r>
      <w:r w:rsidR="00154582">
        <w:rPr>
          <w:szCs w:val="24"/>
        </w:rPr>
        <w:fldChar w:fldCharType="end"/>
      </w:r>
      <w:r w:rsidR="002E15EC" w:rsidRPr="00CB6E91">
        <w:rPr>
          <w:szCs w:val="24"/>
        </w:rPr>
        <w:t xml:space="preserve">. </w:t>
      </w:r>
      <w:r w:rsidR="00D81B5C">
        <w:rPr>
          <w:szCs w:val="24"/>
        </w:rPr>
        <w:t xml:space="preserve">In order to improve clinical management </w:t>
      </w:r>
      <w:r w:rsidR="00B97F69">
        <w:rPr>
          <w:szCs w:val="24"/>
        </w:rPr>
        <w:t>and outcome</w:t>
      </w:r>
      <w:r w:rsidR="006B3C0A">
        <w:rPr>
          <w:szCs w:val="24"/>
        </w:rPr>
        <w:t>s</w:t>
      </w:r>
      <w:r w:rsidR="00B97F69">
        <w:rPr>
          <w:szCs w:val="24"/>
        </w:rPr>
        <w:t xml:space="preserve"> </w:t>
      </w:r>
      <w:r w:rsidR="00D81B5C">
        <w:rPr>
          <w:szCs w:val="24"/>
        </w:rPr>
        <w:t>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572D11">
        <w:rPr>
          <w:szCs w:val="24"/>
        </w:rPr>
        <w:t>,</w:t>
      </w:r>
      <w:r w:rsidR="00D81B5C">
        <w:rPr>
          <w:szCs w:val="24"/>
        </w:rPr>
        <w:t xml:space="preserve"> a</w:t>
      </w:r>
      <w:r w:rsidR="002E15EC" w:rsidRPr="00CB6E91">
        <w:rPr>
          <w:szCs w:val="24"/>
        </w:rPr>
        <w:t xml:space="preserve"> reliable </w:t>
      </w:r>
      <w:r w:rsidR="00572D11">
        <w:rPr>
          <w:szCs w:val="24"/>
        </w:rPr>
        <w:t>bio</w:t>
      </w:r>
      <w:r w:rsidR="002E15EC" w:rsidRPr="00CB6E91">
        <w:rPr>
          <w:szCs w:val="24"/>
        </w:rPr>
        <w:t xml:space="preserve">marker of </w:t>
      </w:r>
      <w:r w:rsidR="002E15EC">
        <w:rPr>
          <w:szCs w:val="24"/>
        </w:rPr>
        <w:t xml:space="preserve">hydration </w:t>
      </w:r>
      <w:r w:rsidR="002E15EC" w:rsidRPr="00CB6E91">
        <w:rPr>
          <w:szCs w:val="24"/>
        </w:rPr>
        <w:t xml:space="preserve">in older individuals </w:t>
      </w:r>
      <w:r w:rsidR="002E15EC">
        <w:rPr>
          <w:szCs w:val="24"/>
        </w:rPr>
        <w:t xml:space="preserve">is </w:t>
      </w:r>
      <w:r w:rsidR="002E15EC" w:rsidRPr="00CB6E91">
        <w:rPr>
          <w:szCs w:val="24"/>
        </w:rPr>
        <w:t>urgently required</w:t>
      </w:r>
      <w:r w:rsidR="00D81B5C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D81B5C">
        <w:rPr>
          <w:szCs w:val="24"/>
        </w:rPr>
        <w:instrText>ADDIN RW.CITE{{127 Soiza,Roy L.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(3)</w:t>
      </w:r>
      <w:r w:rsidR="00154582">
        <w:rPr>
          <w:szCs w:val="24"/>
        </w:rPr>
        <w:fldChar w:fldCharType="end"/>
      </w:r>
      <w:r w:rsidR="00D81B5C">
        <w:rPr>
          <w:szCs w:val="24"/>
        </w:rPr>
        <w:t>.</w:t>
      </w:r>
      <w:r w:rsidR="009155F9">
        <w:rPr>
          <w:szCs w:val="24"/>
        </w:rPr>
        <w:t xml:space="preserve"> </w:t>
      </w:r>
      <w:r w:rsidR="00D81B5C">
        <w:rPr>
          <w:szCs w:val="24"/>
        </w:rPr>
        <w:t>P</w:t>
      </w:r>
      <w:r w:rsidR="002E15EC">
        <w:rPr>
          <w:szCs w:val="24"/>
        </w:rPr>
        <w:t>revious work suggests that knowledge of TBW may be useful</w:t>
      </w:r>
      <w:r w:rsidR="00D81B5C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D81B5C">
        <w:rPr>
          <w:szCs w:val="24"/>
        </w:rPr>
        <w:instrText>ADDIN RW.CITE{{125 Hoyle,G.E.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(8)</w:t>
      </w:r>
      <w:r w:rsidR="00154582">
        <w:rPr>
          <w:szCs w:val="24"/>
        </w:rPr>
        <w:fldChar w:fldCharType="end"/>
      </w:r>
      <w:r w:rsidR="002E15EC">
        <w:rPr>
          <w:szCs w:val="24"/>
        </w:rPr>
        <w:t>.</w:t>
      </w:r>
      <w:r w:rsidR="007C45DF">
        <w:rPr>
          <w:noProof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5DF930" wp14:editId="142D7C4F">
                <wp:simplePos x="0" y="0"/>
                <wp:positionH relativeFrom="column">
                  <wp:posOffset>8349615</wp:posOffset>
                </wp:positionH>
                <wp:positionV relativeFrom="paragraph">
                  <wp:posOffset>5034915</wp:posOffset>
                </wp:positionV>
                <wp:extent cx="744220" cy="262890"/>
                <wp:effectExtent l="0" t="0" r="17780" b="22860"/>
                <wp:wrapNone/>
                <wp:docPr id="54" name="Oval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44220" cy="26289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7553D7F" id="Oval 54" o:spid="_x0000_s1026" style="position:absolute;margin-left:657.45pt;margin-top:396.45pt;width:58.6pt;height:2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" fillcolor="white [3212]" strokecolor="white [3212]" strokeweight="2pt">
                <v:path arrowok="t"/>
              </v:oval>
            </w:pict>
          </mc:Fallback>
        </mc:AlternateContent>
      </w:r>
      <w:r w:rsidR="002E15EC">
        <w:rPr>
          <w:szCs w:val="24"/>
        </w:rPr>
        <w:t xml:space="preserve"> I</w:t>
      </w:r>
      <w:r w:rsidR="00932C44">
        <w:t xml:space="preserve">nter-person variability of </w:t>
      </w:r>
      <w:r w:rsidR="00932C44" w:rsidRPr="00CB6E91">
        <w:t xml:space="preserve">TBW </w:t>
      </w:r>
      <w:r w:rsidR="00932C44">
        <w:t xml:space="preserve">is large, </w:t>
      </w:r>
      <w:r w:rsidR="00932C44" w:rsidRPr="00CB6E91">
        <w:t xml:space="preserve">so </w:t>
      </w:r>
      <w:r w:rsidR="00932C44">
        <w:t>single reading</w:t>
      </w:r>
      <w:r w:rsidR="002E15EC">
        <w:t>s of TBW are</w:t>
      </w:r>
      <w:r w:rsidR="00932C44">
        <w:t xml:space="preserve"> unlikely to </w:t>
      </w:r>
      <w:r w:rsidR="002E15EC">
        <w:t xml:space="preserve">be of </w:t>
      </w:r>
      <w:r w:rsidR="00932C44">
        <w:t xml:space="preserve">clinically </w:t>
      </w:r>
      <w:r w:rsidR="002E15EC">
        <w:t xml:space="preserve">utility. </w:t>
      </w:r>
      <w:r w:rsidR="00932C44" w:rsidRPr="00CB6E91">
        <w:t xml:space="preserve"> </w:t>
      </w:r>
      <w:r w:rsidR="00932C44">
        <w:t>However, intra-person variability is low (</w:t>
      </w:r>
      <w:r w:rsidR="00932C44" w:rsidRPr="00802354">
        <w:rPr>
          <w:i/>
        </w:rPr>
        <w:t>i.e.</w:t>
      </w:r>
      <w:r w:rsidR="00932C44">
        <w:t xml:space="preserve"> an individual’s TBW changes little day-to-day in health)</w:t>
      </w:r>
      <w:r w:rsidR="00EC5197">
        <w:t xml:space="preserve"> </w:t>
      </w:r>
      <w:r w:rsidR="00154582">
        <w:fldChar w:fldCharType="begin"/>
      </w:r>
      <w:r w:rsidR="0008395D">
        <w:instrText>ADDIN RW.CITE{{294 Olde Rikkert,Marcel G.M. 1997}}</w:instrText>
      </w:r>
      <w:r w:rsidR="00154582">
        <w:fldChar w:fldCharType="separate"/>
      </w:r>
      <w:r w:rsidR="00A03868">
        <w:t>(13)</w:t>
      </w:r>
      <w:r w:rsidR="00154582">
        <w:fldChar w:fldCharType="end"/>
      </w:r>
      <w:r w:rsidR="00932C44">
        <w:t xml:space="preserve">. </w:t>
      </w:r>
      <w:r w:rsidR="00932C44" w:rsidRPr="00CB6E91">
        <w:t xml:space="preserve">Repeated intra-subject measures of TBW may </w:t>
      </w:r>
      <w:r w:rsidR="00932C44">
        <w:t>therefore</w:t>
      </w:r>
      <w:r w:rsidR="00932C44" w:rsidRPr="00CB6E91">
        <w:t xml:space="preserve"> </w:t>
      </w:r>
      <w:r w:rsidR="00DE0384">
        <w:t>be beneficial</w:t>
      </w:r>
      <w:r w:rsidR="00932C44" w:rsidRPr="00CB6E91">
        <w:t xml:space="preserve"> in determining v</w:t>
      </w:r>
      <w:r w:rsidR="00000148">
        <w:t>olaemi</w:t>
      </w:r>
      <w:r w:rsidR="00FF7FA5">
        <w:t>c</w:t>
      </w:r>
      <w:r w:rsidR="00932C44" w:rsidRPr="00CB6E91">
        <w:t xml:space="preserve"> state of hypon</w:t>
      </w:r>
      <w:r w:rsidR="00A219CF">
        <w:t>atraemi</w:t>
      </w:r>
      <w:r w:rsidR="00FF7FA5">
        <w:t>a</w:t>
      </w:r>
      <w:r w:rsidR="00932C44" w:rsidRPr="00CB6E91">
        <w:t xml:space="preserve"> </w:t>
      </w:r>
      <w:r w:rsidR="00932C44">
        <w:t>when accompanied by</w:t>
      </w:r>
      <w:r w:rsidR="00932C44" w:rsidRPr="00CB6E91">
        <w:t xml:space="preserve"> changes in serum sodium </w:t>
      </w:r>
      <w:r w:rsidR="00383128" w:rsidRPr="00CB6E91">
        <w:t xml:space="preserve">levels </w:t>
      </w:r>
      <w:r w:rsidR="00154582">
        <w:fldChar w:fldCharType="begin"/>
      </w:r>
      <w:r w:rsidR="0008395D">
        <w:instrText>ADDIN RW.CITE{{125 Hoyle,G.E. 2011}}</w:instrText>
      </w:r>
      <w:r w:rsidR="00154582">
        <w:fldChar w:fldCharType="separate"/>
      </w:r>
      <w:r w:rsidR="00A03868">
        <w:t>(8)</w:t>
      </w:r>
      <w:r w:rsidR="00154582">
        <w:fldChar w:fldCharType="end"/>
      </w:r>
      <w:r w:rsidR="00932C44" w:rsidRPr="00CB6E91">
        <w:t xml:space="preserve">. </w:t>
      </w:r>
      <w:r w:rsidR="00932C44">
        <w:t>The gold standard for measuring TBW</w:t>
      </w:r>
      <w:r w:rsidR="00DD5CE2">
        <w:t>,</w:t>
      </w:r>
      <w:r w:rsidR="00932C44">
        <w:t xml:space="preserve"> </w:t>
      </w:r>
      <w:r w:rsidR="00932C44" w:rsidRPr="00CB6E91">
        <w:t>isotope dilutional analysis,</w:t>
      </w:r>
      <w:r w:rsidR="00932C44">
        <w:t xml:space="preserve"> is currently too expensive</w:t>
      </w:r>
      <w:r w:rsidR="00932C44" w:rsidRPr="00CB6E91">
        <w:t xml:space="preserve"> </w:t>
      </w:r>
      <w:r w:rsidR="00932C44">
        <w:t xml:space="preserve">and difficult to obtain for routine clinical use. </w:t>
      </w:r>
      <w:r w:rsidR="00D81B5C">
        <w:t>However, b</w:t>
      </w:r>
      <w:r w:rsidR="00932C44" w:rsidRPr="00CB6E91">
        <w:t>ioelectrical impedance analysis (BIA)</w:t>
      </w:r>
      <w:r w:rsidR="00932C44">
        <w:rPr>
          <w:szCs w:val="24"/>
        </w:rPr>
        <w:t xml:space="preserve"> </w:t>
      </w:r>
      <w:r w:rsidR="00B97F69">
        <w:rPr>
          <w:szCs w:val="24"/>
        </w:rPr>
        <w:t>is a simple, non-invasive, cheap and</w:t>
      </w:r>
      <w:r w:rsidR="00932C44">
        <w:rPr>
          <w:szCs w:val="24"/>
        </w:rPr>
        <w:t xml:space="preserve"> </w:t>
      </w:r>
      <w:r w:rsidR="00932C44" w:rsidRPr="00CB6E91">
        <w:rPr>
          <w:szCs w:val="24"/>
        </w:rPr>
        <w:t>rapid measure of TBW</w:t>
      </w:r>
      <w:r w:rsidR="009155F9">
        <w:rPr>
          <w:szCs w:val="24"/>
        </w:rPr>
        <w:t xml:space="preserve"> which has been </w:t>
      </w:r>
      <w:r w:rsidR="002E15EC">
        <w:rPr>
          <w:szCs w:val="24"/>
        </w:rPr>
        <w:t>validated for use in acutely ill elderly hyonatramic patients</w:t>
      </w:r>
      <w:r w:rsidR="00EC5197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2E15EC">
        <w:rPr>
          <w:szCs w:val="24"/>
        </w:rPr>
        <w:instrText>ADDIN RW.CITE{{290 Kyle, U. G. 126 ref; 125 Hoyle,G.E. 2011}}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(8,14)</w:t>
      </w:r>
      <w:r w:rsidR="00154582">
        <w:rPr>
          <w:szCs w:val="24"/>
        </w:rPr>
        <w:fldChar w:fldCharType="end"/>
      </w:r>
      <w:r w:rsidR="00EC5197">
        <w:rPr>
          <w:szCs w:val="24"/>
        </w:rPr>
        <w:t>.</w:t>
      </w:r>
      <w:r w:rsidR="00887DDA">
        <w:rPr>
          <w:szCs w:val="24"/>
        </w:rPr>
        <w:t xml:space="preserve"> </w:t>
      </w:r>
      <w:r w:rsidR="00D81B5C">
        <w:rPr>
          <w:szCs w:val="24"/>
        </w:rPr>
        <w:t>It</w:t>
      </w:r>
      <w:r w:rsidR="002E15EC" w:rsidRPr="00CB6E91">
        <w:rPr>
          <w:szCs w:val="24"/>
        </w:rPr>
        <w:t xml:space="preserve"> relies on the principle that the reciprocal of the impedance opposed to a weak alternating current applied across the body </w:t>
      </w:r>
      <w:r w:rsidR="002E15EC">
        <w:rPr>
          <w:szCs w:val="24"/>
        </w:rPr>
        <w:t xml:space="preserve">is proportional to TBW </w:t>
      </w:r>
      <w:r w:rsidR="00154582">
        <w:rPr>
          <w:szCs w:val="24"/>
        </w:rPr>
        <w:fldChar w:fldCharType="begin"/>
      </w:r>
      <w:r w:rsidR="002E15EC">
        <w:rPr>
          <w:szCs w:val="24"/>
        </w:rPr>
        <w:instrText>ADDIN RW.CITE{{289 Kyle, U. G. 113 ref}}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(15)</w:t>
      </w:r>
      <w:r w:rsidR="00154582">
        <w:rPr>
          <w:szCs w:val="24"/>
        </w:rPr>
        <w:fldChar w:fldCharType="end"/>
      </w:r>
      <w:r w:rsidR="002E15EC">
        <w:rPr>
          <w:szCs w:val="24"/>
        </w:rPr>
        <w:t>.</w:t>
      </w:r>
      <w:r w:rsidR="002E15EC" w:rsidRPr="00CB6E91">
        <w:rPr>
          <w:szCs w:val="24"/>
        </w:rPr>
        <w:t xml:space="preserve"> Using age-sex specific calculations, TBW can be obtained from impedance measurements, height and weight</w:t>
      </w:r>
      <w:r w:rsidR="009155F9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9155F9">
        <w:rPr>
          <w:szCs w:val="24"/>
        </w:rPr>
        <w:instrText>ADDIN RW.CITE{{64 Bussolotto,M. 1999}}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(16)</w:t>
      </w:r>
      <w:r w:rsidR="00154582">
        <w:rPr>
          <w:szCs w:val="24"/>
        </w:rPr>
        <w:fldChar w:fldCharType="end"/>
      </w:r>
      <w:r w:rsidR="002E15EC">
        <w:rPr>
          <w:szCs w:val="24"/>
        </w:rPr>
        <w:t xml:space="preserve">. </w:t>
      </w:r>
      <w:r w:rsidR="002E15EC">
        <w:rPr>
          <w:szCs w:val="24"/>
        </w:rPr>
        <w:lastRenderedPageBreak/>
        <w:t>Despite its' clinical practicality</w:t>
      </w:r>
      <w:r w:rsidR="00B97F69">
        <w:rPr>
          <w:szCs w:val="24"/>
        </w:rPr>
        <w:t>,</w:t>
      </w:r>
      <w:r w:rsidR="002E15EC">
        <w:rPr>
          <w:szCs w:val="24"/>
        </w:rPr>
        <w:t xml:space="preserve"> the utility of BIA in clinical management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2E15EC">
        <w:rPr>
          <w:szCs w:val="24"/>
        </w:rPr>
        <w:t xml:space="preserve"> has never been investigated. This study is </w:t>
      </w:r>
      <w:r w:rsidR="00932C44">
        <w:rPr>
          <w:szCs w:val="24"/>
        </w:rPr>
        <w:t xml:space="preserve">the first to </w:t>
      </w:r>
      <w:r w:rsidR="00932C44" w:rsidRPr="00CB6E91">
        <w:rPr>
          <w:szCs w:val="24"/>
        </w:rPr>
        <w:t xml:space="preserve">establish </w:t>
      </w:r>
      <w:r w:rsidR="00932C44">
        <w:rPr>
          <w:szCs w:val="24"/>
        </w:rPr>
        <w:t xml:space="preserve">the potential clinical utility of </w:t>
      </w:r>
      <w:r w:rsidR="00B97F69">
        <w:rPr>
          <w:szCs w:val="24"/>
        </w:rPr>
        <w:t xml:space="preserve">BIA in EPFF as </w:t>
      </w:r>
      <w:r w:rsidR="00932C44">
        <w:rPr>
          <w:szCs w:val="24"/>
        </w:rPr>
        <w:t xml:space="preserve">a </w:t>
      </w:r>
      <w:r w:rsidR="00B97F69">
        <w:rPr>
          <w:szCs w:val="24"/>
        </w:rPr>
        <w:t>marker</w:t>
      </w:r>
      <w:r w:rsidR="00932C44" w:rsidRPr="00CB6E91">
        <w:rPr>
          <w:szCs w:val="24"/>
        </w:rPr>
        <w:t xml:space="preserve">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932C44" w:rsidRPr="00CB6E91">
        <w:rPr>
          <w:szCs w:val="24"/>
        </w:rPr>
        <w:t xml:space="preserve"> status</w:t>
      </w:r>
      <w:r w:rsidR="009F310B">
        <w:rPr>
          <w:szCs w:val="24"/>
        </w:rPr>
        <w:t>.</w:t>
      </w:r>
      <w:r w:rsidR="00572D11">
        <w:rPr>
          <w:szCs w:val="24"/>
        </w:rPr>
        <w:t xml:space="preserve"> </w:t>
      </w:r>
      <w:bookmarkStart w:id="3" w:name="_Toc355594726"/>
    </w:p>
    <w:p w:rsidR="00B721E2" w:rsidRPr="00B721E2" w:rsidRDefault="00B721E2" w:rsidP="00B721E2"/>
    <w:p w:rsidR="00F25E63" w:rsidRDefault="00F25E63" w:rsidP="00C9221A"/>
    <w:p w:rsidR="00F25E63" w:rsidRDefault="00F25E63">
      <w:pPr>
        <w:spacing w:line="240" w:lineRule="auto"/>
        <w:jc w:val="left"/>
        <w:rPr>
          <w:rFonts w:eastAsia="Calibri"/>
          <w:b/>
          <w:bCs/>
          <w:color w:val="000000"/>
          <w:sz w:val="28"/>
          <w:szCs w:val="26"/>
        </w:rPr>
      </w:pPr>
      <w:r>
        <w:br w:type="page"/>
      </w:r>
    </w:p>
    <w:p w:rsidR="001B312F" w:rsidRDefault="001B312F" w:rsidP="001B312F">
      <w:pPr>
        <w:pStyle w:val="Heading2"/>
      </w:pPr>
      <w:r>
        <w:lastRenderedPageBreak/>
        <w:t>Methods</w:t>
      </w:r>
    </w:p>
    <w:bookmarkEnd w:id="3"/>
    <w:p w:rsidR="0070559D" w:rsidRDefault="00F25E63" w:rsidP="00732F49">
      <w:pPr>
        <w:rPr>
          <w:rFonts w:cs="Calibri"/>
          <w:szCs w:val="24"/>
        </w:rPr>
      </w:pPr>
      <w:r>
        <w:rPr>
          <w:rFonts w:cs="Calibri"/>
          <w:szCs w:val="24"/>
        </w:rPr>
        <w:t xml:space="preserve">We </w:t>
      </w:r>
      <w:r w:rsidR="00572D11">
        <w:rPr>
          <w:rFonts w:cs="Calibri"/>
          <w:szCs w:val="24"/>
        </w:rPr>
        <w:t>conducted</w:t>
      </w:r>
      <w:r>
        <w:rPr>
          <w:rFonts w:cs="Calibri"/>
          <w:szCs w:val="24"/>
        </w:rPr>
        <w:t xml:space="preserve"> </w:t>
      </w:r>
      <w:r w:rsidR="00C61D7D">
        <w:rPr>
          <w:rFonts w:cs="Calibri"/>
          <w:szCs w:val="24"/>
        </w:rPr>
        <w:t>an observational study</w:t>
      </w:r>
      <w:r w:rsidR="001B312F">
        <w:rPr>
          <w:rFonts w:cs="Calibri"/>
          <w:szCs w:val="24"/>
        </w:rPr>
        <w:t xml:space="preserve"> in </w:t>
      </w:r>
      <w:r w:rsidR="004C7626">
        <w:rPr>
          <w:rFonts w:cs="Calibri"/>
          <w:szCs w:val="24"/>
        </w:rPr>
        <w:t xml:space="preserve">consenting </w:t>
      </w:r>
      <w:r>
        <w:rPr>
          <w:rFonts w:cs="Calibri"/>
          <w:szCs w:val="24"/>
        </w:rPr>
        <w:t xml:space="preserve">adults </w:t>
      </w:r>
      <w:r w:rsidR="00C61D7D">
        <w:rPr>
          <w:rFonts w:cs="Calibri"/>
          <w:szCs w:val="24"/>
        </w:rPr>
        <w:t xml:space="preserve">aged </w:t>
      </w:r>
      <w:r w:rsidR="001B312F">
        <w:rPr>
          <w:rFonts w:cs="Calibri"/>
          <w:szCs w:val="24"/>
        </w:rPr>
        <w:t xml:space="preserve">65 years </w:t>
      </w:r>
      <w:r>
        <w:rPr>
          <w:rFonts w:cs="Calibri"/>
          <w:szCs w:val="24"/>
        </w:rPr>
        <w:t xml:space="preserve">and above </w:t>
      </w:r>
      <w:r w:rsidR="001B312F">
        <w:rPr>
          <w:rFonts w:cs="Calibri"/>
          <w:szCs w:val="24"/>
        </w:rPr>
        <w:t xml:space="preserve">admitted </w:t>
      </w:r>
      <w:r>
        <w:rPr>
          <w:rFonts w:cs="Calibri"/>
          <w:szCs w:val="24"/>
        </w:rPr>
        <w:t xml:space="preserve">with a fragility fracture </w:t>
      </w:r>
      <w:r w:rsidR="001B312F">
        <w:rPr>
          <w:rFonts w:cs="Calibri"/>
          <w:szCs w:val="24"/>
        </w:rPr>
        <w:t xml:space="preserve">to </w:t>
      </w:r>
      <w:r w:rsidR="0070559D">
        <w:rPr>
          <w:rFonts w:cs="Calibri"/>
          <w:szCs w:val="24"/>
        </w:rPr>
        <w:t xml:space="preserve">Aberdeen Royal Infirmary, </w:t>
      </w:r>
      <w:r>
        <w:rPr>
          <w:rFonts w:cs="Calibri"/>
          <w:szCs w:val="24"/>
        </w:rPr>
        <w:t>a university teaching hospital</w:t>
      </w:r>
      <w:r w:rsidR="0070559D">
        <w:rPr>
          <w:rFonts w:cs="Calibri"/>
          <w:szCs w:val="24"/>
        </w:rPr>
        <w:t>,</w:t>
      </w:r>
      <w:r>
        <w:rPr>
          <w:rFonts w:cs="Calibri"/>
          <w:szCs w:val="24"/>
        </w:rPr>
        <w:t xml:space="preserve"> from 7th January - 4th April 2013.</w:t>
      </w:r>
      <w:r w:rsidR="001B312F">
        <w:rPr>
          <w:rFonts w:cs="Calibri"/>
          <w:szCs w:val="24"/>
        </w:rPr>
        <w:t xml:space="preserve"> </w:t>
      </w:r>
      <w:r w:rsidR="00932C44" w:rsidRPr="00047E86">
        <w:rPr>
          <w:rFonts w:cs="Calibri"/>
          <w:szCs w:val="24"/>
        </w:rPr>
        <w:t xml:space="preserve">Fragility fractures were defined as those occurring </w:t>
      </w:r>
      <w:r w:rsidR="00932C44">
        <w:rPr>
          <w:rFonts w:cs="Calibri"/>
          <w:szCs w:val="24"/>
        </w:rPr>
        <w:t xml:space="preserve">either without trauma or </w:t>
      </w:r>
      <w:r w:rsidR="00932C44" w:rsidRPr="00047E86">
        <w:rPr>
          <w:rFonts w:cs="Calibri"/>
          <w:szCs w:val="24"/>
        </w:rPr>
        <w:t>due</w:t>
      </w:r>
      <w:r w:rsidR="00932C44">
        <w:rPr>
          <w:rFonts w:cs="Calibri"/>
          <w:szCs w:val="24"/>
        </w:rPr>
        <w:t xml:space="preserve"> to</w:t>
      </w:r>
      <w:r w:rsidR="00932C44" w:rsidRPr="00047E86">
        <w:rPr>
          <w:rFonts w:cs="Calibri"/>
          <w:szCs w:val="24"/>
        </w:rPr>
        <w:t xml:space="preserve"> low energy </w:t>
      </w:r>
      <w:r w:rsidR="00932C44" w:rsidRPr="008A78B6">
        <w:rPr>
          <w:rFonts w:cs="Calibri"/>
          <w:szCs w:val="24"/>
        </w:rPr>
        <w:t>trauma, equivalent to a fall from standing height or less than one metre.</w:t>
      </w:r>
      <w:r w:rsidR="001B312F">
        <w:rPr>
          <w:rFonts w:cs="Calibri"/>
          <w:szCs w:val="24"/>
        </w:rPr>
        <w:t xml:space="preserve"> </w:t>
      </w:r>
      <w:r>
        <w:rPr>
          <w:szCs w:val="24"/>
        </w:rPr>
        <w:t>A</w:t>
      </w:r>
      <w:r>
        <w:rPr>
          <w:rFonts w:cs="Calibri"/>
          <w:szCs w:val="24"/>
        </w:rPr>
        <w:t xml:space="preserve">dults with incapacity were excluded from recruitment. Capacity to consent was assessed by the attending clinical team in accordance with the Adults with Incapacity (Scotland) Act 2000. </w:t>
      </w:r>
      <w:r w:rsidRPr="008A78B6">
        <w:rPr>
          <w:rFonts w:cs="Calibri"/>
          <w:szCs w:val="24"/>
        </w:rPr>
        <w:t xml:space="preserve">Participants were recruited from </w:t>
      </w:r>
      <w:r>
        <w:rPr>
          <w:rFonts w:cs="Calibri"/>
          <w:szCs w:val="24"/>
        </w:rPr>
        <w:t>acute orthopaedic trauma wards</w:t>
      </w:r>
      <w:r w:rsidRPr="008A78B6">
        <w:rPr>
          <w:rFonts w:cs="Calibri"/>
          <w:szCs w:val="24"/>
        </w:rPr>
        <w:t xml:space="preserve"> and</w:t>
      </w:r>
      <w:r>
        <w:rPr>
          <w:rFonts w:cs="Calibri"/>
          <w:szCs w:val="24"/>
        </w:rPr>
        <w:t xml:space="preserve"> a geriatric assessment unit</w:t>
      </w:r>
      <w:r w:rsidRPr="008A78B6">
        <w:rPr>
          <w:rFonts w:cs="Calibri"/>
          <w:szCs w:val="24"/>
        </w:rPr>
        <w:t>.</w:t>
      </w:r>
      <w:r>
        <w:rPr>
          <w:rFonts w:cs="Calibri"/>
          <w:szCs w:val="24"/>
        </w:rPr>
        <w:t xml:space="preserve">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c</w:t>
      </w:r>
      <w:r>
        <w:rPr>
          <w:rFonts w:cs="Calibri"/>
          <w:szCs w:val="24"/>
        </w:rPr>
        <w:t xml:space="preserve"> and normon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c</w:t>
      </w:r>
      <w:r>
        <w:rPr>
          <w:rFonts w:cs="Calibri"/>
          <w:szCs w:val="24"/>
        </w:rPr>
        <w:t xml:space="preserve"> patients alike were recruited </w:t>
      </w:r>
      <w:r w:rsidR="00572D11">
        <w:rPr>
          <w:rFonts w:cs="Calibri"/>
          <w:szCs w:val="24"/>
        </w:rPr>
        <w:t xml:space="preserve">to allow </w:t>
      </w:r>
      <w:r w:rsidR="00A93B4B">
        <w:rPr>
          <w:rFonts w:cs="Calibri"/>
          <w:szCs w:val="24"/>
        </w:rPr>
        <w:t>study</w:t>
      </w:r>
      <w:r w:rsidR="00027D83">
        <w:rPr>
          <w:rFonts w:cs="Calibri"/>
          <w:szCs w:val="24"/>
        </w:rPr>
        <w:t xml:space="preserve"> of</w:t>
      </w:r>
      <w:r>
        <w:rPr>
          <w:rFonts w:cs="Calibri"/>
          <w:szCs w:val="24"/>
        </w:rPr>
        <w:t xml:space="preserve"> </w:t>
      </w:r>
      <w:r w:rsidR="00B97F69">
        <w:rPr>
          <w:rFonts w:cs="Calibri"/>
          <w:szCs w:val="24"/>
        </w:rPr>
        <w:t xml:space="preserve">incident </w:t>
      </w:r>
      <w:r>
        <w:rPr>
          <w:rFonts w:cs="Calibri"/>
          <w:szCs w:val="24"/>
        </w:rPr>
        <w:t>cases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70559D">
        <w:rPr>
          <w:rFonts w:cs="Calibri"/>
          <w:szCs w:val="24"/>
        </w:rPr>
        <w:t xml:space="preserve"> developing in hospital.</w:t>
      </w:r>
    </w:p>
    <w:p w:rsidR="0070559D" w:rsidRDefault="0070559D" w:rsidP="00732F49">
      <w:pPr>
        <w:rPr>
          <w:rFonts w:cs="Calibri"/>
          <w:szCs w:val="24"/>
        </w:rPr>
      </w:pPr>
    </w:p>
    <w:p w:rsidR="00732F49" w:rsidRPr="0070559D" w:rsidRDefault="00F25E63" w:rsidP="00732F49">
      <w:pPr>
        <w:rPr>
          <w:rFonts w:cs="Calibri"/>
          <w:szCs w:val="24"/>
        </w:rPr>
      </w:pPr>
      <w:r>
        <w:rPr>
          <w:rFonts w:cs="Calibri"/>
          <w:szCs w:val="24"/>
        </w:rPr>
        <w:t>Clinical data were obtained from patient interview, medical and nursing notes, observation and flu</w:t>
      </w:r>
      <w:r w:rsidR="0000308A">
        <w:rPr>
          <w:rFonts w:cs="Calibri"/>
          <w:szCs w:val="24"/>
        </w:rPr>
        <w:t>id balance charts and</w:t>
      </w:r>
      <w:r>
        <w:rPr>
          <w:rFonts w:cs="Calibri"/>
          <w:szCs w:val="24"/>
        </w:rPr>
        <w:t xml:space="preserve"> laboratory computer system</w:t>
      </w:r>
      <w:r w:rsidR="0000308A">
        <w:rPr>
          <w:rFonts w:cs="Calibri"/>
          <w:szCs w:val="24"/>
        </w:rPr>
        <w:t>s. C</w:t>
      </w:r>
      <w:r>
        <w:rPr>
          <w:rFonts w:cs="Calibri"/>
          <w:szCs w:val="24"/>
        </w:rPr>
        <w:t>linical examination of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>
        <w:rPr>
          <w:rFonts w:cs="Calibri"/>
          <w:szCs w:val="24"/>
        </w:rPr>
        <w:t xml:space="preserve"> status </w:t>
      </w:r>
      <w:r w:rsidR="0000308A">
        <w:rPr>
          <w:rFonts w:cs="Calibri"/>
          <w:szCs w:val="24"/>
        </w:rPr>
        <w:t xml:space="preserve">was </w:t>
      </w:r>
      <w:r>
        <w:rPr>
          <w:rFonts w:cs="Calibri"/>
          <w:szCs w:val="24"/>
        </w:rPr>
        <w:t>perf</w:t>
      </w:r>
      <w:r w:rsidR="00F6380A">
        <w:rPr>
          <w:rFonts w:cs="Calibri"/>
          <w:szCs w:val="24"/>
        </w:rPr>
        <w:t>ormed daily by the investigator.</w:t>
      </w:r>
      <w:r>
        <w:rPr>
          <w:rFonts w:cs="Calibri"/>
          <w:szCs w:val="24"/>
        </w:rPr>
        <w:t xml:space="preserve"> </w:t>
      </w:r>
      <w:r w:rsidR="00F6380A">
        <w:rPr>
          <w:rFonts w:cs="Calibri"/>
          <w:szCs w:val="24"/>
        </w:rPr>
        <w:t>T</w:t>
      </w:r>
      <w:r>
        <w:rPr>
          <w:rFonts w:cs="Calibri"/>
          <w:szCs w:val="24"/>
        </w:rPr>
        <w:t>his included skin turgor, capillary refill time, mout</w:t>
      </w:r>
      <w:r w:rsidR="0000308A">
        <w:rPr>
          <w:rFonts w:cs="Calibri"/>
          <w:szCs w:val="24"/>
        </w:rPr>
        <w:t xml:space="preserve">h moistness, axillary moistness, </w:t>
      </w:r>
      <w:r>
        <w:rPr>
          <w:rFonts w:cs="Calibri"/>
          <w:szCs w:val="24"/>
        </w:rPr>
        <w:t>jugular venous distension</w:t>
      </w:r>
      <w:r w:rsidR="0000308A">
        <w:rPr>
          <w:rFonts w:cs="Calibri"/>
          <w:szCs w:val="24"/>
        </w:rPr>
        <w:t xml:space="preserve"> and overall impression</w:t>
      </w:r>
      <w:r w:rsidR="00EA5AFD">
        <w:rPr>
          <w:rFonts w:cs="Calibri"/>
          <w:szCs w:val="24"/>
        </w:rPr>
        <w:t xml:space="preserve"> (see table 1)</w:t>
      </w:r>
      <w:r w:rsidR="00A2459D">
        <w:rPr>
          <w:rFonts w:cs="Calibri"/>
          <w:szCs w:val="24"/>
        </w:rPr>
        <w:t xml:space="preserve">. These </w:t>
      </w:r>
      <w:r w:rsidR="00B97F69">
        <w:rPr>
          <w:rFonts w:cs="Calibri"/>
          <w:szCs w:val="24"/>
        </w:rPr>
        <w:t>signs were selected to match a</w:t>
      </w:r>
      <w:r w:rsidR="00A2459D">
        <w:rPr>
          <w:rFonts w:cs="Calibri"/>
          <w:szCs w:val="24"/>
        </w:rPr>
        <w:t xml:space="preserve"> previous study</w:t>
      </w:r>
      <w:r w:rsidR="00B97F69">
        <w:rPr>
          <w:rFonts w:cs="Calibri"/>
          <w:szCs w:val="24"/>
        </w:rPr>
        <w:t>,</w:t>
      </w:r>
      <w:r w:rsidR="00A2459D">
        <w:rPr>
          <w:rFonts w:cs="Calibri"/>
          <w:szCs w:val="24"/>
        </w:rPr>
        <w:t xml:space="preserve"> which </w:t>
      </w:r>
      <w:r w:rsidR="00B97F69">
        <w:rPr>
          <w:rFonts w:cs="Calibri"/>
          <w:szCs w:val="24"/>
        </w:rPr>
        <w:t>included only signs recommended in the medical literature</w:t>
      </w:r>
      <w:r w:rsidR="00A2459D">
        <w:rPr>
          <w:rFonts w:cs="Calibri"/>
          <w:szCs w:val="24"/>
        </w:rPr>
        <w:t xml:space="preserve"> </w:t>
      </w:r>
      <w:r w:rsidR="00154582">
        <w:rPr>
          <w:rFonts w:cs="Calibri"/>
          <w:szCs w:val="24"/>
        </w:rPr>
        <w:fldChar w:fldCharType="begin"/>
      </w:r>
      <w:r w:rsidR="00A2459D">
        <w:rPr>
          <w:rFonts w:cs="Calibri"/>
          <w:szCs w:val="24"/>
        </w:rPr>
        <w:instrText>ADDIN RW.CITE{{125 Hoyle,G.E. 2011}}</w:instrText>
      </w:r>
      <w:r w:rsidR="00154582">
        <w:rPr>
          <w:rFonts w:cs="Calibri"/>
          <w:szCs w:val="24"/>
        </w:rPr>
        <w:fldChar w:fldCharType="separate"/>
      </w:r>
      <w:r w:rsidR="00A03868">
        <w:rPr>
          <w:rFonts w:cs="Calibri"/>
          <w:szCs w:val="24"/>
        </w:rPr>
        <w:t>(8)</w:t>
      </w:r>
      <w:r w:rsidR="00154582">
        <w:rPr>
          <w:rFonts w:cs="Calibri"/>
          <w:szCs w:val="24"/>
        </w:rPr>
        <w:fldChar w:fldCharType="end"/>
      </w:r>
      <w:r>
        <w:rPr>
          <w:rFonts w:cs="Calibri"/>
          <w:szCs w:val="24"/>
        </w:rPr>
        <w:t xml:space="preserve">. </w:t>
      </w:r>
      <w:r w:rsidR="00A2459D">
        <w:rPr>
          <w:rFonts w:cs="Calibri"/>
          <w:szCs w:val="24"/>
        </w:rPr>
        <w:t>Examination was carried out by one investigator t</w:t>
      </w:r>
      <w:r w:rsidR="00B832E4">
        <w:rPr>
          <w:rFonts w:cs="Calibri"/>
          <w:szCs w:val="24"/>
        </w:rPr>
        <w:t xml:space="preserve">o </w:t>
      </w:r>
      <w:r w:rsidR="00B832E4" w:rsidRPr="00047E86">
        <w:rPr>
          <w:rFonts w:cs="Calibri"/>
          <w:szCs w:val="24"/>
        </w:rPr>
        <w:t>increase reliability of findings</w:t>
      </w:r>
      <w:r w:rsidR="00B832E4">
        <w:rPr>
          <w:rFonts w:cs="Calibri"/>
          <w:szCs w:val="24"/>
        </w:rPr>
        <w:t>, maximise consistency and exclude effects of inter-observer variability.</w:t>
      </w:r>
      <w:r w:rsidR="00B16015">
        <w:rPr>
          <w:rFonts w:cs="Calibri"/>
          <w:szCs w:val="24"/>
        </w:rPr>
        <w:t xml:space="preserve"> </w:t>
      </w:r>
      <w:r w:rsidR="002F7E3E">
        <w:rPr>
          <w:rFonts w:cs="Calibri"/>
          <w:szCs w:val="24"/>
        </w:rPr>
        <w:t>An initial two</w:t>
      </w:r>
      <w:r w:rsidR="00B832E4">
        <w:rPr>
          <w:rFonts w:cs="Calibri"/>
          <w:szCs w:val="24"/>
        </w:rPr>
        <w:t xml:space="preserve"> week training period of examination of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B832E4">
        <w:rPr>
          <w:rFonts w:cs="Calibri"/>
          <w:szCs w:val="24"/>
        </w:rPr>
        <w:t xml:space="preserve"> status, under supervision of the principal investigator, </w:t>
      </w:r>
      <w:r w:rsidR="00B832E4" w:rsidRPr="00732F49">
        <w:rPr>
          <w:szCs w:val="24"/>
        </w:rPr>
        <w:t>was</w:t>
      </w:r>
      <w:r w:rsidR="00B97F69">
        <w:rPr>
          <w:szCs w:val="24"/>
        </w:rPr>
        <w:t xml:space="preserve"> undertaken to</w:t>
      </w:r>
      <w:r w:rsidR="00B832E4" w:rsidRPr="00732F49">
        <w:rPr>
          <w:szCs w:val="24"/>
        </w:rPr>
        <w:t xml:space="preserve"> help ensure </w:t>
      </w:r>
      <w:r w:rsidR="00F6380A">
        <w:rPr>
          <w:szCs w:val="24"/>
        </w:rPr>
        <w:t xml:space="preserve">quality and </w:t>
      </w:r>
      <w:r w:rsidR="00B832E4" w:rsidRPr="00732F49">
        <w:rPr>
          <w:szCs w:val="24"/>
        </w:rPr>
        <w:t>consistency.</w:t>
      </w:r>
      <w:r w:rsidR="00572D11">
        <w:rPr>
          <w:szCs w:val="24"/>
        </w:rPr>
        <w:t xml:space="preserve"> </w:t>
      </w:r>
      <w:r w:rsidR="00932C44" w:rsidRPr="00732F49">
        <w:rPr>
          <w:szCs w:val="24"/>
        </w:rPr>
        <w:t>BIA was performed</w:t>
      </w:r>
      <w:r w:rsidR="00AD0A24">
        <w:rPr>
          <w:szCs w:val="24"/>
        </w:rPr>
        <w:t xml:space="preserve"> </w:t>
      </w:r>
      <w:r w:rsidR="00B16015" w:rsidRPr="00732F49">
        <w:rPr>
          <w:szCs w:val="24"/>
        </w:rPr>
        <w:t xml:space="preserve">daily </w:t>
      </w:r>
      <w:r w:rsidR="00932C44" w:rsidRPr="00732F49">
        <w:rPr>
          <w:szCs w:val="24"/>
        </w:rPr>
        <w:t xml:space="preserve">using the Quantum/S analyser </w:t>
      </w:r>
      <w:r w:rsidR="00B16015" w:rsidRPr="00732F49">
        <w:rPr>
          <w:szCs w:val="24"/>
        </w:rPr>
        <w:t>(Akern/RJL systems,</w:t>
      </w:r>
      <w:r w:rsidR="00A2459D">
        <w:rPr>
          <w:szCs w:val="24"/>
        </w:rPr>
        <w:t xml:space="preserve"> </w:t>
      </w:r>
      <w:r w:rsidR="00B16015" w:rsidRPr="00732F49">
        <w:rPr>
          <w:szCs w:val="24"/>
        </w:rPr>
        <w:t>Pontassieve, Italy)</w:t>
      </w:r>
      <w:r w:rsidR="00732F49" w:rsidRPr="00732F49">
        <w:rPr>
          <w:szCs w:val="24"/>
        </w:rPr>
        <w:t xml:space="preserve"> </w:t>
      </w:r>
      <w:r w:rsidR="00932C44" w:rsidRPr="00732F49">
        <w:rPr>
          <w:szCs w:val="24"/>
        </w:rPr>
        <w:t>with</w:t>
      </w:r>
      <w:r w:rsidR="00B832E4" w:rsidRPr="00732F49">
        <w:rPr>
          <w:szCs w:val="24"/>
        </w:rPr>
        <w:t xml:space="preserve"> impedance</w:t>
      </w:r>
      <w:r w:rsidR="00932C44" w:rsidRPr="00732F49">
        <w:rPr>
          <w:szCs w:val="24"/>
        </w:rPr>
        <w:t xml:space="preserve"> measured at 50kHz</w:t>
      </w:r>
      <w:r w:rsidR="00732F49" w:rsidRPr="00732F49">
        <w:rPr>
          <w:szCs w:val="24"/>
        </w:rPr>
        <w:t xml:space="preserve">. </w:t>
      </w:r>
      <w:r w:rsidR="00572D11">
        <w:rPr>
          <w:szCs w:val="24"/>
        </w:rPr>
        <w:t xml:space="preserve">In accordance with user guidelines, </w:t>
      </w:r>
      <w:r w:rsidR="006B76A3">
        <w:rPr>
          <w:szCs w:val="24"/>
        </w:rPr>
        <w:t>p</w:t>
      </w:r>
      <w:r w:rsidR="006B76A3">
        <w:rPr>
          <w:rFonts w:cs="Calibri"/>
          <w:szCs w:val="24"/>
        </w:rPr>
        <w:t>articipants were positioned</w:t>
      </w:r>
      <w:r w:rsidR="006B76A3" w:rsidRPr="008A78B6">
        <w:rPr>
          <w:rFonts w:cs="Calibri"/>
          <w:szCs w:val="24"/>
        </w:rPr>
        <w:t xml:space="preserve">, lying flat with limbs abducted </w:t>
      </w:r>
      <w:r w:rsidR="006B76A3">
        <w:rPr>
          <w:rFonts w:cs="Calibri"/>
          <w:szCs w:val="24"/>
        </w:rPr>
        <w:t xml:space="preserve">30° from the mid-sagittal plane. </w:t>
      </w:r>
      <w:r w:rsidR="006B76A3">
        <w:rPr>
          <w:szCs w:val="24"/>
        </w:rPr>
        <w:t>F</w:t>
      </w:r>
      <w:r w:rsidR="00732F49" w:rsidRPr="00732F49">
        <w:rPr>
          <w:szCs w:val="24"/>
        </w:rPr>
        <w:t xml:space="preserve">our electrodes were </w:t>
      </w:r>
      <w:r w:rsidR="00F6380A">
        <w:rPr>
          <w:szCs w:val="24"/>
        </w:rPr>
        <w:t xml:space="preserve">attached </w:t>
      </w:r>
      <w:r w:rsidR="00732F49" w:rsidRPr="00732F49">
        <w:rPr>
          <w:szCs w:val="24"/>
        </w:rPr>
        <w:t xml:space="preserve">in predetermined positions on </w:t>
      </w:r>
      <w:r w:rsidR="00732F49">
        <w:rPr>
          <w:szCs w:val="24"/>
        </w:rPr>
        <w:t>the opposite</w:t>
      </w:r>
      <w:r w:rsidR="00732F49" w:rsidRPr="00732F49">
        <w:rPr>
          <w:szCs w:val="24"/>
        </w:rPr>
        <w:t xml:space="preserve"> side of the body </w:t>
      </w:r>
      <w:r w:rsidR="00732F49">
        <w:rPr>
          <w:szCs w:val="24"/>
        </w:rPr>
        <w:t xml:space="preserve">from fracture site </w:t>
      </w:r>
      <w:r w:rsidR="00732F49" w:rsidRPr="00732F49">
        <w:rPr>
          <w:szCs w:val="24"/>
        </w:rPr>
        <w:t xml:space="preserve">(distal ends of the third metacarpal and of the second metatarsal bone, </w:t>
      </w:r>
      <w:r w:rsidR="00732F49" w:rsidRPr="00732F49">
        <w:rPr>
          <w:szCs w:val="24"/>
        </w:rPr>
        <w:lastRenderedPageBreak/>
        <w:t>between the styloid process of the radius and ulna and between</w:t>
      </w:r>
      <w:r w:rsidR="00165298">
        <w:rPr>
          <w:szCs w:val="24"/>
        </w:rPr>
        <w:t xml:space="preserve"> the two maleoli of the ankle). </w:t>
      </w:r>
      <w:r w:rsidR="00732F49">
        <w:rPr>
          <w:szCs w:val="24"/>
        </w:rPr>
        <w:t>TBW measurements were</w:t>
      </w:r>
      <w:r w:rsidR="00732F49" w:rsidRPr="00732F49">
        <w:rPr>
          <w:szCs w:val="24"/>
        </w:rPr>
        <w:t xml:space="preserve"> calculated </w:t>
      </w:r>
      <w:r w:rsidR="0000308A">
        <w:rPr>
          <w:szCs w:val="24"/>
        </w:rPr>
        <w:t>from</w:t>
      </w:r>
      <w:r w:rsidR="00732F49" w:rsidRPr="00732F49">
        <w:rPr>
          <w:szCs w:val="24"/>
        </w:rPr>
        <w:t xml:space="preserve"> impedance, height and weight using the RJL Systems formula</w:t>
      </w:r>
      <w:r w:rsidR="00732F49">
        <w:rPr>
          <w:szCs w:val="24"/>
        </w:rPr>
        <w:t>, pre</w:t>
      </w:r>
      <w:r w:rsidR="0000308A">
        <w:rPr>
          <w:szCs w:val="24"/>
        </w:rPr>
        <w:t>viously validated for use in ac</w:t>
      </w:r>
      <w:r w:rsidR="00732F49">
        <w:rPr>
          <w:szCs w:val="24"/>
        </w:rPr>
        <w:t>utely ill elderly hypon</w:t>
      </w:r>
      <w:r w:rsidR="00A219CF">
        <w:rPr>
          <w:szCs w:val="24"/>
        </w:rPr>
        <w:t>atraemi</w:t>
      </w:r>
      <w:r w:rsidR="00FF7FA5">
        <w:rPr>
          <w:szCs w:val="24"/>
        </w:rPr>
        <w:t>c</w:t>
      </w:r>
      <w:r w:rsidR="00732F49">
        <w:rPr>
          <w:szCs w:val="24"/>
        </w:rPr>
        <w:t xml:space="preserve"> patients </w:t>
      </w:r>
      <w:r w:rsidR="00154582">
        <w:rPr>
          <w:szCs w:val="24"/>
        </w:rPr>
        <w:fldChar w:fldCharType="begin"/>
      </w:r>
      <w:r w:rsidR="00732F49">
        <w:rPr>
          <w:szCs w:val="24"/>
        </w:rPr>
        <w:instrText>ADDIN RW.CITE{{64 Bussolotto,M. 1999}}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(16)</w:t>
      </w:r>
      <w:r w:rsidR="00154582">
        <w:rPr>
          <w:szCs w:val="24"/>
        </w:rPr>
        <w:fldChar w:fldCharType="end"/>
      </w:r>
      <w:r w:rsidR="00732F49" w:rsidRPr="00732F49">
        <w:rPr>
          <w:szCs w:val="24"/>
        </w:rPr>
        <w:t>.</w:t>
      </w:r>
      <w:r w:rsidR="00A93B4B">
        <w:rPr>
          <w:szCs w:val="24"/>
        </w:rPr>
        <w:t xml:space="preserve"> </w:t>
      </w:r>
      <w:r w:rsidR="00165298">
        <w:rPr>
          <w:szCs w:val="24"/>
        </w:rPr>
        <w:t>Impedance was measured daily but height and weight were measured only once during admission.</w:t>
      </w:r>
    </w:p>
    <w:p w:rsidR="00A2459D" w:rsidRDefault="00A2459D" w:rsidP="00A2459D">
      <w:pPr>
        <w:rPr>
          <w:rFonts w:cs="Calibri"/>
          <w:szCs w:val="24"/>
        </w:rPr>
      </w:pPr>
    </w:p>
    <w:p w:rsidR="00932C44" w:rsidRPr="001670FD" w:rsidRDefault="00A2459D" w:rsidP="00A12960">
      <w:pPr>
        <w:rPr>
          <w:rFonts w:cs="Calibri"/>
          <w:szCs w:val="24"/>
        </w:rPr>
      </w:pPr>
      <w:r>
        <w:rPr>
          <w:rFonts w:cs="Calibri"/>
          <w:szCs w:val="24"/>
        </w:rPr>
        <w:t>Cases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 xml:space="preserve"> were defined as any serum sodium measurement &lt;135mmol/L</w:t>
      </w:r>
      <w:r w:rsidRPr="001834CD">
        <w:rPr>
          <w:rFonts w:cs="Calibri"/>
          <w:szCs w:val="24"/>
        </w:rPr>
        <w:t>.</w:t>
      </w:r>
      <w:r>
        <w:rPr>
          <w:rFonts w:cs="Calibri"/>
          <w:szCs w:val="24"/>
        </w:rPr>
        <w:t xml:space="preserve"> An expert panel, consisting of two consultant geriatricians with special interest in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 xml:space="preserve"> and one </w:t>
      </w:r>
      <w:r w:rsidR="00E7379B">
        <w:rPr>
          <w:rFonts w:cs="Calibri"/>
          <w:szCs w:val="24"/>
        </w:rPr>
        <w:t xml:space="preserve">consultant orthopaedic surgeon </w:t>
      </w:r>
      <w:r>
        <w:rPr>
          <w:rFonts w:cs="Calibri"/>
          <w:szCs w:val="24"/>
        </w:rPr>
        <w:t>reviewed the clinical information for each case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>, blinded to daily TBW measurements.</w:t>
      </w:r>
      <w:r w:rsidRPr="000370A8">
        <w:rPr>
          <w:szCs w:val="24"/>
        </w:rPr>
        <w:t xml:space="preserve"> </w:t>
      </w:r>
      <w:r w:rsidR="000370A8" w:rsidRPr="000370A8">
        <w:rPr>
          <w:szCs w:val="24"/>
        </w:rPr>
        <w:t>The panel reviewed all cases retrospectively</w:t>
      </w:r>
      <w:r w:rsidR="000370A8" w:rsidRPr="000F23FD">
        <w:t xml:space="preserve"> relying on the detailed daily prospectively-collected data provided by</w:t>
      </w:r>
      <w:r w:rsidR="000370A8">
        <w:t xml:space="preserve"> a single </w:t>
      </w:r>
      <w:r w:rsidR="000370A8" w:rsidRPr="000F23FD">
        <w:t xml:space="preserve">investigator </w:t>
      </w:r>
      <w:r w:rsidR="000370A8">
        <w:t xml:space="preserve">(including </w:t>
      </w:r>
      <w:r w:rsidR="000370A8" w:rsidRPr="000F23FD">
        <w:t>history, medications, detailed daily examination, laboratory values, fluid intake and output charts</w:t>
      </w:r>
      <w:r w:rsidR="000370A8">
        <w:t>)</w:t>
      </w:r>
      <w:r w:rsidR="000370A8" w:rsidRPr="000F23FD">
        <w:t xml:space="preserve"> and had the </w:t>
      </w:r>
      <w:r w:rsidR="000370A8">
        <w:t xml:space="preserve">added </w:t>
      </w:r>
      <w:r w:rsidR="000370A8" w:rsidRPr="000F23FD">
        <w:t xml:space="preserve">benefit of knowing what transpired over time as the case evolved. </w:t>
      </w:r>
      <w:r w:rsidR="000370A8" w:rsidRPr="000370A8">
        <w:rPr>
          <w:szCs w:val="24"/>
        </w:rPr>
        <w:t xml:space="preserve"> </w:t>
      </w:r>
      <w:r>
        <w:rPr>
          <w:rFonts w:cs="Calibri"/>
          <w:szCs w:val="24"/>
        </w:rPr>
        <w:t>The panel used a diagnostic algorithm (figu</w:t>
      </w:r>
      <w:r w:rsidR="00BA14A0">
        <w:rPr>
          <w:rFonts w:cs="Calibri"/>
          <w:szCs w:val="24"/>
        </w:rPr>
        <w:t>re 1</w:t>
      </w:r>
      <w:r w:rsidR="00572D11">
        <w:rPr>
          <w:rFonts w:cs="Calibri"/>
          <w:szCs w:val="24"/>
        </w:rPr>
        <w:t xml:space="preserve">) to </w:t>
      </w:r>
      <w:r w:rsidR="0070559D">
        <w:rPr>
          <w:rFonts w:cs="Calibri"/>
          <w:szCs w:val="24"/>
        </w:rPr>
        <w:t xml:space="preserve">help </w:t>
      </w:r>
      <w:r w:rsidR="00572D11">
        <w:rPr>
          <w:rFonts w:cs="Calibri"/>
          <w:szCs w:val="24"/>
        </w:rPr>
        <w:t>determine the</w:t>
      </w:r>
      <w:r w:rsidR="00E7147D">
        <w:rPr>
          <w:rFonts w:cs="Calibri"/>
          <w:szCs w:val="24"/>
        </w:rPr>
        <w:t xml:space="preserve"> </w:t>
      </w:r>
      <w:r w:rsidR="00C62627">
        <w:rPr>
          <w:rFonts w:cs="Calibri"/>
          <w:szCs w:val="24"/>
        </w:rPr>
        <w:t>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C62627">
        <w:rPr>
          <w:rFonts w:cs="Calibri"/>
          <w:szCs w:val="24"/>
        </w:rPr>
        <w:t xml:space="preserve"> state and </w:t>
      </w:r>
      <w:r w:rsidR="00E7147D">
        <w:rPr>
          <w:rFonts w:cs="Calibri"/>
          <w:szCs w:val="24"/>
        </w:rPr>
        <w:t>underlying cause(s)</w:t>
      </w:r>
      <w:r w:rsidR="00A93B4B">
        <w:rPr>
          <w:rFonts w:cs="Calibri"/>
          <w:szCs w:val="24"/>
        </w:rPr>
        <w:t xml:space="preserve"> </w:t>
      </w:r>
      <w:r>
        <w:rPr>
          <w:rFonts w:cs="Calibri"/>
          <w:szCs w:val="24"/>
        </w:rPr>
        <w:t>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 xml:space="preserve">. </w:t>
      </w:r>
      <w:r w:rsidR="003F6146">
        <w:rPr>
          <w:rFonts w:cs="Calibri"/>
          <w:szCs w:val="24"/>
        </w:rPr>
        <w:t>The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3F6146">
        <w:rPr>
          <w:rFonts w:cs="Calibri"/>
          <w:szCs w:val="24"/>
        </w:rPr>
        <w:t xml:space="preserve"> state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3F6146">
        <w:rPr>
          <w:rFonts w:cs="Calibri"/>
          <w:szCs w:val="24"/>
        </w:rPr>
        <w:t xml:space="preserve"> according to individual signs and overall assessment of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3F6146">
        <w:rPr>
          <w:rFonts w:cs="Calibri"/>
          <w:szCs w:val="24"/>
        </w:rPr>
        <w:t xml:space="preserve"> status from daily clinical examination findings was </w:t>
      </w:r>
      <w:r w:rsidR="003F6146" w:rsidRPr="008A78B6">
        <w:rPr>
          <w:rFonts w:cs="Calibri"/>
          <w:szCs w:val="24"/>
        </w:rPr>
        <w:t xml:space="preserve">determined by the predominant </w:t>
      </w:r>
      <w:r w:rsidR="000370A8">
        <w:rPr>
          <w:rFonts w:cs="Calibri"/>
          <w:szCs w:val="24"/>
        </w:rPr>
        <w:t xml:space="preserve">prospectively-collected </w:t>
      </w:r>
      <w:r w:rsidR="003F6146" w:rsidRPr="008A78B6">
        <w:rPr>
          <w:rFonts w:cs="Calibri"/>
          <w:szCs w:val="24"/>
        </w:rPr>
        <w:t xml:space="preserve">recordings </w:t>
      </w:r>
      <w:r w:rsidR="000370A8">
        <w:rPr>
          <w:rFonts w:cs="Calibri"/>
          <w:szCs w:val="24"/>
        </w:rPr>
        <w:t xml:space="preserve">by the investigator </w:t>
      </w:r>
      <w:r w:rsidR="003F6146" w:rsidRPr="008A78B6">
        <w:rPr>
          <w:rFonts w:cs="Calibri"/>
          <w:szCs w:val="24"/>
        </w:rPr>
        <w:t>throughout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c</w:t>
      </w:r>
      <w:r w:rsidR="003F6146" w:rsidRPr="008A78B6">
        <w:rPr>
          <w:rFonts w:cs="Calibri"/>
          <w:szCs w:val="24"/>
        </w:rPr>
        <w:t xml:space="preserve"> episodes</w:t>
      </w:r>
      <w:r w:rsidR="00B57B52">
        <w:rPr>
          <w:rFonts w:cs="Calibri"/>
          <w:szCs w:val="24"/>
        </w:rPr>
        <w:t xml:space="preserve"> (as per table 1)</w:t>
      </w:r>
      <w:r w:rsidR="003F6146" w:rsidRPr="008A78B6">
        <w:rPr>
          <w:rFonts w:cs="Calibri"/>
          <w:szCs w:val="24"/>
        </w:rPr>
        <w:t xml:space="preserve">. </w:t>
      </w:r>
      <w:r w:rsidR="00027D83">
        <w:rPr>
          <w:rFonts w:cs="Calibri"/>
          <w:szCs w:val="24"/>
        </w:rPr>
        <w:t>T</w:t>
      </w:r>
      <w:r w:rsidR="00932C44">
        <w:rPr>
          <w:rFonts w:cs="Calibri"/>
          <w:szCs w:val="24"/>
        </w:rPr>
        <w:t>he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932C44">
        <w:rPr>
          <w:rFonts w:cs="Calibri"/>
          <w:szCs w:val="24"/>
        </w:rPr>
        <w:t xml:space="preserve"> state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932C44">
        <w:rPr>
          <w:rFonts w:cs="Calibri"/>
          <w:szCs w:val="24"/>
        </w:rPr>
        <w:t xml:space="preserve"> according </w:t>
      </w:r>
      <w:r w:rsidR="00A93B4B">
        <w:rPr>
          <w:rFonts w:cs="Calibri"/>
          <w:szCs w:val="24"/>
        </w:rPr>
        <w:t>to BIA was de</w:t>
      </w:r>
      <w:r w:rsidR="00027D83">
        <w:rPr>
          <w:rFonts w:cs="Calibri"/>
          <w:szCs w:val="24"/>
        </w:rPr>
        <w:t xml:space="preserve">rived from review of daily </w:t>
      </w:r>
      <w:r w:rsidR="00E56EAC">
        <w:rPr>
          <w:rFonts w:cs="Calibri"/>
          <w:szCs w:val="24"/>
        </w:rPr>
        <w:t>TBW</w:t>
      </w:r>
      <w:r w:rsidR="00732F49">
        <w:rPr>
          <w:rFonts w:cs="Calibri"/>
          <w:szCs w:val="24"/>
        </w:rPr>
        <w:t xml:space="preserve"> readings</w:t>
      </w:r>
      <w:r w:rsidR="001670FD">
        <w:rPr>
          <w:rFonts w:cs="Calibri"/>
          <w:szCs w:val="24"/>
        </w:rPr>
        <w:t xml:space="preserve"> and the change in serum sodium</w:t>
      </w:r>
      <w:r w:rsidR="004521F0">
        <w:rPr>
          <w:rFonts w:cs="Calibri"/>
          <w:szCs w:val="24"/>
        </w:rPr>
        <w:t xml:space="preserve"> </w:t>
      </w:r>
      <w:r w:rsidR="001670FD">
        <w:rPr>
          <w:rFonts w:cs="Calibri"/>
          <w:szCs w:val="24"/>
        </w:rPr>
        <w:t xml:space="preserve">(see </w:t>
      </w:r>
      <w:r w:rsidR="00732F49">
        <w:rPr>
          <w:rFonts w:cs="Calibri"/>
          <w:szCs w:val="24"/>
        </w:rPr>
        <w:t>t</w:t>
      </w:r>
      <w:r w:rsidR="00497166">
        <w:rPr>
          <w:rFonts w:cs="Calibri"/>
          <w:szCs w:val="24"/>
        </w:rPr>
        <w:t>able</w:t>
      </w:r>
      <w:r w:rsidR="004521F0">
        <w:rPr>
          <w:rFonts w:cs="Calibri"/>
          <w:szCs w:val="24"/>
        </w:rPr>
        <w:t xml:space="preserve"> </w:t>
      </w:r>
      <w:r w:rsidR="00EA5AFD">
        <w:rPr>
          <w:rFonts w:cs="Calibri"/>
          <w:szCs w:val="24"/>
        </w:rPr>
        <w:t>2</w:t>
      </w:r>
      <w:r w:rsidR="001670FD">
        <w:rPr>
          <w:rFonts w:cs="Calibri"/>
          <w:szCs w:val="24"/>
        </w:rPr>
        <w:t>)</w:t>
      </w:r>
      <w:r w:rsidR="00932C44">
        <w:rPr>
          <w:rFonts w:cs="Calibri"/>
          <w:szCs w:val="24"/>
        </w:rPr>
        <w:t>.</w:t>
      </w:r>
    </w:p>
    <w:p w:rsidR="0085693D" w:rsidRDefault="0085693D" w:rsidP="0085693D">
      <w:pPr>
        <w:pStyle w:val="Caption"/>
        <w:rPr>
          <w:color w:val="auto"/>
          <w:sz w:val="24"/>
        </w:rPr>
      </w:pPr>
    </w:p>
    <w:p w:rsidR="001670FD" w:rsidRPr="001670FD" w:rsidRDefault="001670FD" w:rsidP="001670FD"/>
    <w:p w:rsidR="00932C44" w:rsidRDefault="001670FD" w:rsidP="00A12960">
      <w:pPr>
        <w:rPr>
          <w:rFonts w:cs="Calibri"/>
          <w:szCs w:val="24"/>
        </w:rPr>
      </w:pPr>
      <w:r>
        <w:rPr>
          <w:rFonts w:cs="Calibri"/>
          <w:szCs w:val="24"/>
        </w:rPr>
        <w:t>T</w:t>
      </w:r>
      <w:r w:rsidR="00DB46A5">
        <w:rPr>
          <w:rFonts w:cs="Calibri"/>
          <w:szCs w:val="24"/>
        </w:rPr>
        <w:t>he study</w:t>
      </w:r>
      <w:r w:rsidR="00732F49">
        <w:rPr>
          <w:rFonts w:cs="Calibri"/>
          <w:szCs w:val="24"/>
        </w:rPr>
        <w:t xml:space="preserve"> was approved by the </w:t>
      </w:r>
      <w:r w:rsidR="00932C44">
        <w:rPr>
          <w:rFonts w:cs="Calibri"/>
          <w:szCs w:val="24"/>
        </w:rPr>
        <w:t xml:space="preserve">Scotland A Research Ethics Committee </w:t>
      </w:r>
      <w:r w:rsidR="00732F49">
        <w:rPr>
          <w:rFonts w:cs="Calibri"/>
          <w:szCs w:val="24"/>
        </w:rPr>
        <w:t>Scientific Advisor and</w:t>
      </w:r>
      <w:r w:rsidR="0070559D">
        <w:rPr>
          <w:rFonts w:cs="Calibri"/>
          <w:szCs w:val="24"/>
        </w:rPr>
        <w:t xml:space="preserve"> by </w:t>
      </w:r>
      <w:r w:rsidR="00932C44">
        <w:rPr>
          <w:rFonts w:cs="Calibri"/>
          <w:szCs w:val="24"/>
        </w:rPr>
        <w:t>NHS Grampian</w:t>
      </w:r>
      <w:r w:rsidR="0070559D">
        <w:rPr>
          <w:rFonts w:cs="Calibri"/>
          <w:szCs w:val="24"/>
        </w:rPr>
        <w:t>’s</w:t>
      </w:r>
      <w:r w:rsidR="00932C44">
        <w:rPr>
          <w:rFonts w:cs="Calibri"/>
          <w:szCs w:val="24"/>
        </w:rPr>
        <w:t xml:space="preserve"> Resear</w:t>
      </w:r>
      <w:r w:rsidR="00732F49">
        <w:rPr>
          <w:rFonts w:cs="Calibri"/>
          <w:szCs w:val="24"/>
        </w:rPr>
        <w:t>ch and Development department.</w:t>
      </w:r>
    </w:p>
    <w:p w:rsidR="00A93B4B" w:rsidRDefault="00A93B4B" w:rsidP="00A12960">
      <w:pPr>
        <w:rPr>
          <w:rFonts w:cs="Calibri"/>
          <w:szCs w:val="24"/>
        </w:rPr>
      </w:pPr>
    </w:p>
    <w:p w:rsidR="0062380C" w:rsidRDefault="00932C44" w:rsidP="00A12960">
      <w:pPr>
        <w:rPr>
          <w:rFonts w:cs="Calibri"/>
          <w:szCs w:val="24"/>
        </w:rPr>
      </w:pPr>
      <w:r>
        <w:rPr>
          <w:rFonts w:cs="Calibri"/>
          <w:szCs w:val="24"/>
        </w:rPr>
        <w:lastRenderedPageBreak/>
        <w:t>Cohen’s kappa, w</w:t>
      </w:r>
      <w:r w:rsidR="00FF6271">
        <w:rPr>
          <w:rFonts w:cs="Calibri"/>
          <w:szCs w:val="24"/>
        </w:rPr>
        <w:t>ith 95% confidence interval, was</w:t>
      </w:r>
      <w:r w:rsidR="00DB46A5">
        <w:rPr>
          <w:rFonts w:cs="Calibri"/>
          <w:szCs w:val="24"/>
        </w:rPr>
        <w:t xml:space="preserve"> calculated </w:t>
      </w:r>
      <w:r>
        <w:rPr>
          <w:rFonts w:cs="Calibri"/>
          <w:szCs w:val="24"/>
        </w:rPr>
        <w:t xml:space="preserve">to ascertain the level of agreement </w:t>
      </w:r>
      <w:r w:rsidR="00DB46A5">
        <w:rPr>
          <w:rFonts w:cs="Calibri"/>
          <w:szCs w:val="24"/>
        </w:rPr>
        <w:t>in determinating</w:t>
      </w:r>
      <w:r>
        <w:rPr>
          <w:rFonts w:cs="Calibri"/>
          <w:szCs w:val="24"/>
        </w:rPr>
        <w:t xml:space="preserve">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>
        <w:rPr>
          <w:rFonts w:cs="Calibri"/>
          <w:szCs w:val="24"/>
        </w:rPr>
        <w:t xml:space="preserve"> state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>
        <w:rPr>
          <w:rFonts w:cs="Calibri"/>
          <w:szCs w:val="24"/>
        </w:rPr>
        <w:t xml:space="preserve"> between the expert panel </w:t>
      </w:r>
      <w:r w:rsidR="0000308A">
        <w:rPr>
          <w:rFonts w:cs="Calibri"/>
          <w:szCs w:val="24"/>
        </w:rPr>
        <w:t xml:space="preserve">(gold standard) </w:t>
      </w:r>
      <w:r>
        <w:rPr>
          <w:rFonts w:cs="Calibri"/>
          <w:szCs w:val="24"/>
        </w:rPr>
        <w:t>and</w:t>
      </w:r>
      <w:r w:rsidR="001670FD">
        <w:rPr>
          <w:rFonts w:cs="Calibri"/>
          <w:szCs w:val="24"/>
        </w:rPr>
        <w:t xml:space="preserve"> i)</w:t>
      </w:r>
      <w:r w:rsidR="00DB46A5">
        <w:rPr>
          <w:rFonts w:cs="Calibri"/>
          <w:szCs w:val="24"/>
        </w:rPr>
        <w:t xml:space="preserve"> </w:t>
      </w:r>
      <w:r>
        <w:rPr>
          <w:rFonts w:cs="Calibri"/>
          <w:szCs w:val="24"/>
        </w:rPr>
        <w:t>BIA</w:t>
      </w:r>
      <w:r w:rsidR="001670FD">
        <w:rPr>
          <w:rFonts w:cs="Calibri"/>
          <w:szCs w:val="24"/>
        </w:rPr>
        <w:t>, ii)</w:t>
      </w:r>
      <w:r w:rsidR="00DB46A5">
        <w:rPr>
          <w:rFonts w:cs="Calibri"/>
          <w:szCs w:val="24"/>
        </w:rPr>
        <w:t xml:space="preserve"> </w:t>
      </w:r>
      <w:r w:rsidR="001670FD">
        <w:rPr>
          <w:rFonts w:cs="Calibri"/>
          <w:szCs w:val="24"/>
        </w:rPr>
        <w:t>individual signs of clinical assessment of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1670FD">
        <w:rPr>
          <w:rFonts w:cs="Calibri"/>
          <w:szCs w:val="24"/>
        </w:rPr>
        <w:t xml:space="preserve"> status  and iii) </w:t>
      </w:r>
      <w:r w:rsidR="00DB46A5">
        <w:rPr>
          <w:rFonts w:cs="Calibri"/>
          <w:szCs w:val="24"/>
        </w:rPr>
        <w:t>ov</w:t>
      </w:r>
      <w:r>
        <w:rPr>
          <w:rFonts w:cs="Calibri"/>
          <w:szCs w:val="24"/>
        </w:rPr>
        <w:t>erall assessment of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>
        <w:rPr>
          <w:rFonts w:cs="Calibri"/>
          <w:szCs w:val="24"/>
        </w:rPr>
        <w:t xml:space="preserve"> status </w:t>
      </w:r>
      <w:r w:rsidR="001670FD">
        <w:rPr>
          <w:rFonts w:cs="Calibri"/>
          <w:szCs w:val="24"/>
        </w:rPr>
        <w:t>based on</w:t>
      </w:r>
      <w:r>
        <w:rPr>
          <w:rFonts w:cs="Calibri"/>
          <w:szCs w:val="24"/>
        </w:rPr>
        <w:t xml:space="preserve"> clinical examination</w:t>
      </w:r>
      <w:r w:rsidR="00AE044C">
        <w:rPr>
          <w:rFonts w:cs="Calibri"/>
          <w:szCs w:val="24"/>
        </w:rPr>
        <w:t>.</w:t>
      </w:r>
      <w:r w:rsidR="00DB46A5">
        <w:rPr>
          <w:rFonts w:cs="Calibri"/>
          <w:szCs w:val="24"/>
        </w:rPr>
        <w:t xml:space="preserve"> </w:t>
      </w:r>
      <w:r w:rsidR="0062380C">
        <w:rPr>
          <w:rFonts w:cs="Calibri"/>
          <w:szCs w:val="24"/>
        </w:rPr>
        <w:t>Clinical</w:t>
      </w:r>
      <w:r w:rsidR="00027D83">
        <w:rPr>
          <w:rFonts w:cs="Calibri"/>
          <w:szCs w:val="24"/>
        </w:rPr>
        <w:t xml:space="preserve"> utility </w:t>
      </w:r>
      <w:r w:rsidR="0062380C">
        <w:rPr>
          <w:rFonts w:cs="Calibri"/>
          <w:szCs w:val="24"/>
        </w:rPr>
        <w:t>according to Cohen’s kappa values w</w:t>
      </w:r>
      <w:r w:rsidR="00B35581">
        <w:rPr>
          <w:rFonts w:cs="Calibri"/>
          <w:szCs w:val="24"/>
        </w:rPr>
        <w:t>as</w:t>
      </w:r>
      <w:r w:rsidR="004521F0">
        <w:rPr>
          <w:rFonts w:cs="Calibri"/>
          <w:szCs w:val="24"/>
        </w:rPr>
        <w:t xml:space="preserve"> </w:t>
      </w:r>
      <w:r w:rsidR="00DB46A5">
        <w:rPr>
          <w:rFonts w:cs="Calibri"/>
          <w:szCs w:val="24"/>
        </w:rPr>
        <w:t>derived</w:t>
      </w:r>
      <w:r w:rsidR="00A12960">
        <w:rPr>
          <w:rFonts w:cs="Calibri"/>
          <w:szCs w:val="24"/>
        </w:rPr>
        <w:t xml:space="preserve"> according to Landis </w:t>
      </w:r>
      <w:r w:rsidR="00A12960">
        <w:rPr>
          <w:rFonts w:cs="Calibri"/>
          <w:i/>
          <w:szCs w:val="24"/>
        </w:rPr>
        <w:t>et al</w:t>
      </w:r>
      <w:r w:rsidR="0062380C" w:rsidRPr="00383128">
        <w:rPr>
          <w:rFonts w:cs="Calibri"/>
          <w:szCs w:val="24"/>
        </w:rPr>
        <w:t>.</w:t>
      </w:r>
      <w:r w:rsidR="00F43FE0">
        <w:rPr>
          <w:rFonts w:cs="Calibri"/>
          <w:szCs w:val="24"/>
        </w:rPr>
        <w:t xml:space="preserve"> </w:t>
      </w:r>
      <w:r w:rsidR="00154582">
        <w:rPr>
          <w:rFonts w:cs="Calibri"/>
          <w:szCs w:val="24"/>
        </w:rPr>
        <w:fldChar w:fldCharType="begin"/>
      </w:r>
      <w:r w:rsidR="00A12960">
        <w:rPr>
          <w:rFonts w:cs="Calibri"/>
          <w:szCs w:val="24"/>
        </w:rPr>
        <w:instrText>ADDIN RW.CITE{{288 Landis,J.R. 1977}}</w:instrText>
      </w:r>
      <w:r w:rsidR="00154582">
        <w:rPr>
          <w:rFonts w:cs="Calibri"/>
          <w:szCs w:val="24"/>
        </w:rPr>
        <w:fldChar w:fldCharType="separate"/>
      </w:r>
      <w:r w:rsidR="00A03868">
        <w:rPr>
          <w:rFonts w:cs="Calibri"/>
          <w:szCs w:val="24"/>
        </w:rPr>
        <w:t>(17)</w:t>
      </w:r>
      <w:r w:rsidR="00154582">
        <w:rPr>
          <w:rFonts w:cs="Calibri"/>
          <w:szCs w:val="24"/>
        </w:rPr>
        <w:fldChar w:fldCharType="end"/>
      </w:r>
      <w:r w:rsidR="00035C4E">
        <w:rPr>
          <w:rFonts w:cs="Calibri"/>
          <w:szCs w:val="24"/>
        </w:rPr>
        <w:t xml:space="preserve"> (see table </w:t>
      </w:r>
      <w:r w:rsidR="00EA5AFD">
        <w:rPr>
          <w:rFonts w:cs="Calibri"/>
          <w:szCs w:val="24"/>
        </w:rPr>
        <w:t>3</w:t>
      </w:r>
      <w:r w:rsidR="00720CBB">
        <w:rPr>
          <w:rFonts w:cs="Calibri"/>
          <w:szCs w:val="24"/>
        </w:rPr>
        <w:t>)</w:t>
      </w:r>
      <w:r w:rsidR="00F43FE0">
        <w:rPr>
          <w:rFonts w:cs="Calibri"/>
          <w:szCs w:val="24"/>
        </w:rPr>
        <w:t>.</w:t>
      </w:r>
      <w:r w:rsidR="000370A8">
        <w:rPr>
          <w:rFonts w:cs="Calibri"/>
          <w:szCs w:val="24"/>
        </w:rPr>
        <w:t xml:space="preserve"> For inclusion in analyses involving BIA, cases had to have BIA and  serum sodium readings on at least two days around the onset of hyponatraemia.</w:t>
      </w:r>
    </w:p>
    <w:p w:rsidR="002E62FB" w:rsidRDefault="002E62FB" w:rsidP="00A12960"/>
    <w:p w:rsidR="005E2826" w:rsidRPr="005E2826" w:rsidRDefault="005E2826" w:rsidP="00A12960">
      <w:pPr>
        <w:rPr>
          <w:rFonts w:cs="Calibri"/>
          <w:szCs w:val="24"/>
        </w:rPr>
      </w:pPr>
      <w:r>
        <w:t xml:space="preserve">We calculated that, assuming </w:t>
      </w:r>
      <w:r w:rsidRPr="00C2355B">
        <w:t>agreement between the T</w:t>
      </w:r>
      <w:r>
        <w:t>BW method using BIA and the expert panel wa</w:t>
      </w:r>
      <w:r w:rsidRPr="00C2355B">
        <w:t xml:space="preserve">s 60% or more, </w:t>
      </w:r>
      <w:r>
        <w:t>then 31 cases of hypon</w:t>
      </w:r>
      <w:r w:rsidR="00A219CF">
        <w:t>atraemi</w:t>
      </w:r>
      <w:r w:rsidR="00FF7FA5">
        <w:t>a</w:t>
      </w:r>
      <w:r>
        <w:t xml:space="preserve"> had to be recruited</w:t>
      </w:r>
      <w:r w:rsidRPr="00C2355B">
        <w:t xml:space="preserve"> </w:t>
      </w:r>
      <w:r>
        <w:t xml:space="preserve">for </w:t>
      </w:r>
      <w:r w:rsidRPr="00C2355B">
        <w:t xml:space="preserve">the </w:t>
      </w:r>
      <w:r w:rsidRPr="008A78B6">
        <w:rPr>
          <w:szCs w:val="24"/>
        </w:rPr>
        <w:t>relative error of the kappa coefficient to be no more than 30% (</w:t>
      </w:r>
      <w:r w:rsidRPr="00CE0C42">
        <w:rPr>
          <w:i/>
          <w:szCs w:val="24"/>
        </w:rPr>
        <w:t>i.e.</w:t>
      </w:r>
      <w:r w:rsidRPr="008A78B6">
        <w:rPr>
          <w:szCs w:val="24"/>
        </w:rPr>
        <w:t xml:space="preserve"> the ‘true’ kappa would be within 30% of the value o</w:t>
      </w:r>
      <w:r w:rsidR="00F43FE0">
        <w:rPr>
          <w:szCs w:val="24"/>
        </w:rPr>
        <w:t>f kappa obtained in this study)</w:t>
      </w:r>
      <w:r w:rsidRPr="008A78B6">
        <w:rPr>
          <w:szCs w:val="24"/>
        </w:rPr>
        <w:t xml:space="preserve"> </w:t>
      </w:r>
      <w:r w:rsidR="00154582" w:rsidRPr="008A78B6">
        <w:rPr>
          <w:szCs w:val="24"/>
        </w:rPr>
        <w:fldChar w:fldCharType="begin"/>
      </w:r>
      <w:r w:rsidRPr="008A78B6">
        <w:rPr>
          <w:szCs w:val="24"/>
        </w:rPr>
        <w:instrText>ADDIN RW.CITE{{258 Gwet 2008}}</w:instrText>
      </w:r>
      <w:r w:rsidR="00154582" w:rsidRPr="008A78B6">
        <w:rPr>
          <w:szCs w:val="24"/>
        </w:rPr>
        <w:fldChar w:fldCharType="separate"/>
      </w:r>
      <w:r w:rsidR="00A03868">
        <w:rPr>
          <w:szCs w:val="24"/>
        </w:rPr>
        <w:t>(18)</w:t>
      </w:r>
      <w:r w:rsidR="00154582" w:rsidRPr="008A78B6">
        <w:rPr>
          <w:szCs w:val="24"/>
        </w:rPr>
        <w:fldChar w:fldCharType="end"/>
      </w:r>
      <w:r w:rsidR="00F43FE0">
        <w:rPr>
          <w:szCs w:val="24"/>
        </w:rPr>
        <w:t>.</w:t>
      </w:r>
      <w:r w:rsidRPr="008A78B6">
        <w:rPr>
          <w:szCs w:val="24"/>
        </w:rPr>
        <w:t xml:space="preserve"> Since the most recent study in a similar population reported a </w:t>
      </w:r>
      <w:r w:rsidR="00937A98">
        <w:rPr>
          <w:szCs w:val="24"/>
        </w:rPr>
        <w:t xml:space="preserve">16.9% </w:t>
      </w:r>
      <w:r w:rsidRPr="008A78B6">
        <w:rPr>
          <w:szCs w:val="24"/>
        </w:rPr>
        <w:t>point prevalence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Pr="008A78B6">
        <w:rPr>
          <w:szCs w:val="24"/>
        </w:rPr>
        <w:t xml:space="preserve"> </w:t>
      </w:r>
      <w:r w:rsidR="00937A98">
        <w:rPr>
          <w:szCs w:val="24"/>
        </w:rPr>
        <w:t>on admission after hip fracture</w:t>
      </w:r>
      <w:r w:rsidRPr="008A78B6">
        <w:rPr>
          <w:szCs w:val="24"/>
        </w:rPr>
        <w:t xml:space="preserve">, we anticipated needing to recruit 100 </w:t>
      </w:r>
      <w:r w:rsidR="00937A98">
        <w:rPr>
          <w:szCs w:val="24"/>
        </w:rPr>
        <w:t xml:space="preserve">- </w:t>
      </w:r>
      <w:r w:rsidRPr="008A78B6">
        <w:rPr>
          <w:szCs w:val="24"/>
        </w:rPr>
        <w:t>150 participants in order to count with the require</w:t>
      </w:r>
      <w:r w:rsidR="002E7AC0">
        <w:rPr>
          <w:szCs w:val="24"/>
        </w:rPr>
        <w:t>d number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2E7AC0">
        <w:rPr>
          <w:szCs w:val="24"/>
        </w:rPr>
        <w:t xml:space="preserve"> cases</w:t>
      </w:r>
      <w:r w:rsidR="0070559D">
        <w:rPr>
          <w:szCs w:val="24"/>
        </w:rPr>
        <w:t xml:space="preserve"> once incident cases were included</w:t>
      </w:r>
      <w:r w:rsidRPr="008A78B6">
        <w:rPr>
          <w:szCs w:val="24"/>
        </w:rPr>
        <w:t xml:space="preserve"> </w:t>
      </w:r>
      <w:r w:rsidR="00154582" w:rsidRPr="008A78B6">
        <w:rPr>
          <w:szCs w:val="24"/>
        </w:rPr>
        <w:fldChar w:fldCharType="begin"/>
      </w:r>
      <w:r w:rsidRPr="008A78B6">
        <w:rPr>
          <w:szCs w:val="24"/>
        </w:rPr>
        <w:instrText>ADDIN RW.CITE{{121 Tolouian,R. 2012}}</w:instrText>
      </w:r>
      <w:r w:rsidR="00154582" w:rsidRPr="008A78B6">
        <w:rPr>
          <w:szCs w:val="24"/>
        </w:rPr>
        <w:fldChar w:fldCharType="separate"/>
      </w:r>
      <w:r w:rsidR="00A03868">
        <w:rPr>
          <w:szCs w:val="24"/>
        </w:rPr>
        <w:t>(5)</w:t>
      </w:r>
      <w:r w:rsidR="00154582" w:rsidRPr="008A78B6">
        <w:rPr>
          <w:szCs w:val="24"/>
        </w:rPr>
        <w:fldChar w:fldCharType="end"/>
      </w:r>
      <w:r w:rsidR="002E7AC0">
        <w:rPr>
          <w:szCs w:val="24"/>
        </w:rPr>
        <w:t xml:space="preserve">. </w:t>
      </w:r>
    </w:p>
    <w:p w:rsidR="00DB46A5" w:rsidRDefault="00DB46A5" w:rsidP="00A12960">
      <w:pPr>
        <w:rPr>
          <w:rFonts w:cs="Calibri"/>
          <w:szCs w:val="24"/>
        </w:rPr>
      </w:pPr>
    </w:p>
    <w:p w:rsidR="008874C3" w:rsidRPr="008874C3" w:rsidRDefault="00932C44" w:rsidP="00A12960">
      <w:pPr>
        <w:rPr>
          <w:rFonts w:cs="Calibri"/>
          <w:szCs w:val="24"/>
        </w:rPr>
      </w:pPr>
      <w:r>
        <w:rPr>
          <w:rFonts w:cs="Calibri"/>
          <w:szCs w:val="24"/>
        </w:rPr>
        <w:t>Statis</w:t>
      </w:r>
      <w:r w:rsidR="00026891">
        <w:rPr>
          <w:rFonts w:cs="Calibri"/>
          <w:szCs w:val="24"/>
        </w:rPr>
        <w:t>t</w:t>
      </w:r>
      <w:r>
        <w:rPr>
          <w:rFonts w:cs="Calibri"/>
          <w:szCs w:val="24"/>
        </w:rPr>
        <w:t>ical Package for Social Sciences (SPSS) version 20.0 was used to perform all the analysis</w:t>
      </w:r>
      <w:r w:rsidRPr="00047E86">
        <w:rPr>
          <w:rFonts w:cs="Calibri"/>
          <w:szCs w:val="24"/>
        </w:rPr>
        <w:t>. Si</w:t>
      </w:r>
      <w:r w:rsidR="00E71492">
        <w:rPr>
          <w:rFonts w:cs="Calibri"/>
          <w:szCs w:val="24"/>
        </w:rPr>
        <w:t>gnificance was assumed where p&lt;</w:t>
      </w:r>
      <w:r w:rsidRPr="00047E86">
        <w:rPr>
          <w:rFonts w:cs="Calibri"/>
          <w:szCs w:val="24"/>
        </w:rPr>
        <w:t>.05.</w:t>
      </w:r>
    </w:p>
    <w:p w:rsidR="007301F6" w:rsidRPr="00E7379B" w:rsidRDefault="0062380C" w:rsidP="00400A79">
      <w:pPr>
        <w:pStyle w:val="Heading2"/>
      </w:pPr>
      <w:r>
        <w:br w:type="page"/>
      </w:r>
      <w:bookmarkStart w:id="4" w:name="_Toc355594748"/>
      <w:r w:rsidR="00932C44" w:rsidRPr="00E7379B">
        <w:lastRenderedPageBreak/>
        <w:t>Results</w:t>
      </w:r>
      <w:bookmarkStart w:id="5" w:name="_Toc355594749"/>
      <w:bookmarkEnd w:id="4"/>
    </w:p>
    <w:bookmarkEnd w:id="5"/>
    <w:p w:rsidR="000979E9" w:rsidRDefault="00C61D7D" w:rsidP="00A12960">
      <w:pPr>
        <w:rPr>
          <w:szCs w:val="24"/>
        </w:rPr>
      </w:pPr>
      <w:r>
        <w:rPr>
          <w:szCs w:val="24"/>
        </w:rPr>
        <w:t xml:space="preserve">Out of 214 EPFF </w:t>
      </w:r>
      <w:r w:rsidR="000804B9">
        <w:rPr>
          <w:szCs w:val="24"/>
        </w:rPr>
        <w:t>identified</w:t>
      </w:r>
      <w:r>
        <w:rPr>
          <w:szCs w:val="24"/>
        </w:rPr>
        <w:t>,</w:t>
      </w:r>
      <w:r w:rsidR="000804B9">
        <w:rPr>
          <w:szCs w:val="24"/>
        </w:rPr>
        <w:t xml:space="preserve"> </w:t>
      </w:r>
      <w:r>
        <w:rPr>
          <w:szCs w:val="24"/>
        </w:rPr>
        <w:t>1</w:t>
      </w:r>
      <w:r w:rsidR="000804B9">
        <w:rPr>
          <w:szCs w:val="24"/>
        </w:rPr>
        <w:t>27</w:t>
      </w:r>
      <w:r>
        <w:rPr>
          <w:szCs w:val="24"/>
        </w:rPr>
        <w:t xml:space="preserve"> (59%)</w:t>
      </w:r>
      <w:r w:rsidR="000804B9">
        <w:rPr>
          <w:szCs w:val="24"/>
        </w:rPr>
        <w:t xml:space="preserve"> </w:t>
      </w:r>
      <w:r>
        <w:rPr>
          <w:szCs w:val="24"/>
        </w:rPr>
        <w:t xml:space="preserve">were </w:t>
      </w:r>
      <w:r w:rsidR="00C9404D">
        <w:rPr>
          <w:szCs w:val="24"/>
        </w:rPr>
        <w:t>recruited</w:t>
      </w:r>
      <w:r>
        <w:rPr>
          <w:szCs w:val="24"/>
        </w:rPr>
        <w:t xml:space="preserve"> in</w:t>
      </w:r>
      <w:r w:rsidR="00C9404D">
        <w:rPr>
          <w:szCs w:val="24"/>
        </w:rPr>
        <w:t>to</w:t>
      </w:r>
      <w:r>
        <w:rPr>
          <w:szCs w:val="24"/>
        </w:rPr>
        <w:t xml:space="preserve"> the study</w:t>
      </w:r>
      <w:r w:rsidR="000804B9">
        <w:rPr>
          <w:szCs w:val="24"/>
        </w:rPr>
        <w:t xml:space="preserve">. Those not recruited had incapacity to consent (N=66), declined to participate (N=19), or agreed but were later excluded when the original diagnosis of fragility fracture was </w:t>
      </w:r>
      <w:r w:rsidR="0070559D">
        <w:rPr>
          <w:szCs w:val="24"/>
        </w:rPr>
        <w:t>refut</w:t>
      </w:r>
      <w:r w:rsidR="000804B9">
        <w:rPr>
          <w:szCs w:val="24"/>
        </w:rPr>
        <w:t>ed (N=2).</w:t>
      </w:r>
      <w:r w:rsidR="00A12B07">
        <w:rPr>
          <w:szCs w:val="24"/>
        </w:rPr>
        <w:t xml:space="preserve"> </w:t>
      </w:r>
      <w:r w:rsidR="00C9404D">
        <w:rPr>
          <w:szCs w:val="24"/>
        </w:rPr>
        <w:t xml:space="preserve">Participant study completion was &gt;98% (N=125). Two (1.6%) participants voluntarily withdrew mid-study, but all others completed the study. One </w:t>
      </w:r>
      <w:r w:rsidR="00C62627">
        <w:rPr>
          <w:szCs w:val="24"/>
        </w:rPr>
        <w:t>(normon</w:t>
      </w:r>
      <w:r w:rsidR="00A219CF">
        <w:rPr>
          <w:szCs w:val="24"/>
        </w:rPr>
        <w:t>atraemi</w:t>
      </w:r>
      <w:r w:rsidR="00FF7FA5">
        <w:rPr>
          <w:szCs w:val="24"/>
        </w:rPr>
        <w:t>c</w:t>
      </w:r>
      <w:r w:rsidR="00C62627">
        <w:rPr>
          <w:szCs w:val="24"/>
        </w:rPr>
        <w:t xml:space="preserve">) </w:t>
      </w:r>
      <w:r w:rsidR="00C9404D">
        <w:rPr>
          <w:szCs w:val="24"/>
        </w:rPr>
        <w:t>participant, found BIA intolerable after 12 days and refused further BIA assessments but otherwise continued participation. A serum sodium measurement was obtained in 44% of all patient-days in hospital.</w:t>
      </w:r>
      <w:r w:rsidR="00C9404D">
        <w:t xml:space="preserve"> </w:t>
      </w:r>
      <w:r w:rsidR="00C9404D">
        <w:rPr>
          <w:szCs w:val="24"/>
        </w:rPr>
        <w:t>Point prevalence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C9404D">
        <w:rPr>
          <w:szCs w:val="24"/>
        </w:rPr>
        <w:t xml:space="preserve"> on admission was 13.4% (N=17) and the incidence of cases developing in hospital was 12.6% (N=16). Therefore, 33 cases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C9404D">
        <w:rPr>
          <w:szCs w:val="24"/>
        </w:rPr>
        <w:t xml:space="preserve"> were identified</w:t>
      </w:r>
      <w:r w:rsidR="00720CBB">
        <w:rPr>
          <w:szCs w:val="24"/>
        </w:rPr>
        <w:t xml:space="preserve"> (</w:t>
      </w:r>
      <w:r w:rsidR="00B53514">
        <w:rPr>
          <w:szCs w:val="24"/>
        </w:rPr>
        <w:t xml:space="preserve">see table </w:t>
      </w:r>
      <w:r w:rsidR="00EA5AFD">
        <w:rPr>
          <w:szCs w:val="24"/>
        </w:rPr>
        <w:t>4</w:t>
      </w:r>
      <w:r w:rsidR="00720CBB">
        <w:rPr>
          <w:szCs w:val="24"/>
        </w:rPr>
        <w:t>)</w:t>
      </w:r>
      <w:r w:rsidR="001D5612">
        <w:rPr>
          <w:szCs w:val="24"/>
        </w:rPr>
        <w:t xml:space="preserve">. </w:t>
      </w:r>
      <w:r w:rsidR="00AB0F9A">
        <w:rPr>
          <w:szCs w:val="24"/>
        </w:rPr>
        <w:t xml:space="preserve">Data completion for daily </w:t>
      </w:r>
      <w:r w:rsidR="00B35581">
        <w:rPr>
          <w:szCs w:val="24"/>
        </w:rPr>
        <w:t xml:space="preserve">clinical </w:t>
      </w:r>
      <w:r w:rsidR="00AB0F9A">
        <w:rPr>
          <w:szCs w:val="24"/>
        </w:rPr>
        <w:t xml:space="preserve">assessment </w:t>
      </w:r>
      <w:r w:rsidR="00B35581">
        <w:rPr>
          <w:szCs w:val="24"/>
        </w:rPr>
        <w:t xml:space="preserve">variables </w:t>
      </w:r>
      <w:r w:rsidR="00AB0F9A">
        <w:rPr>
          <w:szCs w:val="24"/>
        </w:rPr>
        <w:t>was 86%</w:t>
      </w:r>
      <w:r w:rsidR="00B35581">
        <w:rPr>
          <w:szCs w:val="24"/>
        </w:rPr>
        <w:t xml:space="preserve"> overall</w:t>
      </w:r>
      <w:r w:rsidR="00B35581" w:rsidRPr="00B35581">
        <w:rPr>
          <w:szCs w:val="24"/>
        </w:rPr>
        <w:t xml:space="preserve"> </w:t>
      </w:r>
      <w:r w:rsidR="00B35581">
        <w:rPr>
          <w:szCs w:val="24"/>
        </w:rPr>
        <w:t>as d</w:t>
      </w:r>
      <w:r w:rsidR="00B35581" w:rsidRPr="0024158E">
        <w:rPr>
          <w:szCs w:val="24"/>
        </w:rPr>
        <w:t xml:space="preserve">aily </w:t>
      </w:r>
      <w:r w:rsidR="00B35581">
        <w:rPr>
          <w:szCs w:val="24"/>
        </w:rPr>
        <w:t xml:space="preserve">clinical examination </w:t>
      </w:r>
      <w:r w:rsidR="00C62627">
        <w:rPr>
          <w:szCs w:val="24"/>
        </w:rPr>
        <w:t xml:space="preserve">and BIA </w:t>
      </w:r>
      <w:r w:rsidR="00B35581" w:rsidRPr="0024158E">
        <w:rPr>
          <w:szCs w:val="24"/>
        </w:rPr>
        <w:t xml:space="preserve">was not always appropriate </w:t>
      </w:r>
      <w:r w:rsidR="00B35581">
        <w:rPr>
          <w:szCs w:val="24"/>
        </w:rPr>
        <w:t xml:space="preserve">or possible (e.g. when a patient was </w:t>
      </w:r>
      <w:r w:rsidR="00C2241F">
        <w:rPr>
          <w:szCs w:val="24"/>
        </w:rPr>
        <w:t>dying</w:t>
      </w:r>
      <w:r w:rsidR="00B35581">
        <w:rPr>
          <w:szCs w:val="24"/>
        </w:rPr>
        <w:t>)</w:t>
      </w:r>
      <w:r w:rsidR="00AB0F9A">
        <w:rPr>
          <w:szCs w:val="24"/>
        </w:rPr>
        <w:t xml:space="preserve">. </w:t>
      </w:r>
      <w:r w:rsidR="00C9404D">
        <w:rPr>
          <w:szCs w:val="24"/>
        </w:rPr>
        <w:t>However, c</w:t>
      </w:r>
      <w:r w:rsidR="005B22ED">
        <w:rPr>
          <w:rFonts w:cs="Calibri"/>
        </w:rPr>
        <w:t xml:space="preserve">ompletion rate of daily fluid balance </w:t>
      </w:r>
      <w:r w:rsidR="00C9404D">
        <w:rPr>
          <w:rFonts w:cs="Calibri"/>
        </w:rPr>
        <w:t>charts for participants was 50% and n</w:t>
      </w:r>
      <w:r w:rsidR="005B22ED">
        <w:rPr>
          <w:rFonts w:cs="Calibri"/>
        </w:rPr>
        <w:t>one of the hypon</w:t>
      </w:r>
      <w:r w:rsidR="00A219CF">
        <w:rPr>
          <w:rFonts w:cs="Calibri"/>
        </w:rPr>
        <w:t>atraemi</w:t>
      </w:r>
      <w:r w:rsidR="00FF7FA5">
        <w:rPr>
          <w:rFonts w:cs="Calibri"/>
        </w:rPr>
        <w:t>c</w:t>
      </w:r>
      <w:r w:rsidR="005B22ED">
        <w:rPr>
          <w:rFonts w:cs="Calibri"/>
        </w:rPr>
        <w:t xml:space="preserve"> participants had urine sodium concentration measured. </w:t>
      </w:r>
      <w:r w:rsidR="00932C44" w:rsidRPr="003D4395">
        <w:rPr>
          <w:szCs w:val="24"/>
        </w:rPr>
        <w:t>The prevalence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932C44" w:rsidRPr="003D4395">
        <w:rPr>
          <w:szCs w:val="24"/>
        </w:rPr>
        <w:t xml:space="preserve"> </w:t>
      </w:r>
      <w:r w:rsidR="00932C44">
        <w:rPr>
          <w:szCs w:val="24"/>
        </w:rPr>
        <w:t>at</w:t>
      </w:r>
      <w:r w:rsidR="00932C44" w:rsidRPr="003D4395">
        <w:rPr>
          <w:szCs w:val="24"/>
        </w:rPr>
        <w:t xml:space="preserve"> discharge, </w:t>
      </w:r>
      <w:r w:rsidR="00932C44">
        <w:rPr>
          <w:szCs w:val="24"/>
        </w:rPr>
        <w:t xml:space="preserve">according to </w:t>
      </w:r>
      <w:r w:rsidR="00932C44" w:rsidRPr="003D4395">
        <w:rPr>
          <w:szCs w:val="24"/>
        </w:rPr>
        <w:t xml:space="preserve">last </w:t>
      </w:r>
      <w:r w:rsidR="00A42962">
        <w:rPr>
          <w:szCs w:val="24"/>
        </w:rPr>
        <w:t>in-</w:t>
      </w:r>
      <w:r w:rsidR="00932C44">
        <w:rPr>
          <w:szCs w:val="24"/>
        </w:rPr>
        <w:t xml:space="preserve">hospital </w:t>
      </w:r>
      <w:r w:rsidR="00932C44" w:rsidRPr="003D4395">
        <w:rPr>
          <w:szCs w:val="24"/>
        </w:rPr>
        <w:t>serum sodium, was 19%</w:t>
      </w:r>
      <w:r w:rsidR="00B35581">
        <w:rPr>
          <w:szCs w:val="24"/>
        </w:rPr>
        <w:t xml:space="preserve"> (N=</w:t>
      </w:r>
      <w:r w:rsidR="00A42962">
        <w:rPr>
          <w:szCs w:val="24"/>
        </w:rPr>
        <w:t>24</w:t>
      </w:r>
      <w:r w:rsidR="00B35581">
        <w:rPr>
          <w:szCs w:val="24"/>
        </w:rPr>
        <w:t>)</w:t>
      </w:r>
      <w:r w:rsidR="00932C44" w:rsidRPr="003D4395">
        <w:rPr>
          <w:szCs w:val="24"/>
        </w:rPr>
        <w:t xml:space="preserve">. </w:t>
      </w:r>
    </w:p>
    <w:p w:rsidR="006064FC" w:rsidRDefault="006064FC" w:rsidP="00262851">
      <w:pPr>
        <w:rPr>
          <w:szCs w:val="24"/>
        </w:rPr>
      </w:pPr>
    </w:p>
    <w:p w:rsidR="00262851" w:rsidRDefault="00A42962" w:rsidP="00A93B4B">
      <w:pPr>
        <w:spacing w:before="240"/>
        <w:rPr>
          <w:szCs w:val="24"/>
        </w:rPr>
      </w:pPr>
      <w:r>
        <w:rPr>
          <w:szCs w:val="24"/>
        </w:rPr>
        <w:t xml:space="preserve">Of the </w:t>
      </w:r>
      <w:r w:rsidR="00932C44" w:rsidRPr="000342CB">
        <w:rPr>
          <w:szCs w:val="24"/>
        </w:rPr>
        <w:t>33 cases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720CBB">
        <w:rPr>
          <w:szCs w:val="24"/>
        </w:rPr>
        <w:t xml:space="preserve">, 26 </w:t>
      </w:r>
      <w:r w:rsidR="00932C44" w:rsidRPr="000342CB">
        <w:rPr>
          <w:szCs w:val="24"/>
        </w:rPr>
        <w:t xml:space="preserve">had sufficient clinical information to allow </w:t>
      </w:r>
      <w:r w:rsidR="001D5612">
        <w:rPr>
          <w:szCs w:val="24"/>
        </w:rPr>
        <w:t>classific</w:t>
      </w:r>
      <w:r w:rsidR="00932C44">
        <w:rPr>
          <w:szCs w:val="24"/>
        </w:rPr>
        <w:t>ation of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932C44">
        <w:rPr>
          <w:szCs w:val="24"/>
        </w:rPr>
        <w:t xml:space="preserve"> status</w:t>
      </w:r>
      <w:r w:rsidR="00841623">
        <w:rPr>
          <w:szCs w:val="24"/>
        </w:rPr>
        <w:t xml:space="preserve"> according to BIA</w:t>
      </w:r>
      <w:r w:rsidR="00932C44">
        <w:rPr>
          <w:szCs w:val="24"/>
        </w:rPr>
        <w:t xml:space="preserve">. </w:t>
      </w:r>
      <w:r w:rsidR="001D5612">
        <w:rPr>
          <w:szCs w:val="24"/>
        </w:rPr>
        <w:t>Five cases could not be classified</w:t>
      </w:r>
      <w:r w:rsidR="00932C44" w:rsidRPr="003D4395">
        <w:rPr>
          <w:szCs w:val="24"/>
        </w:rPr>
        <w:t xml:space="preserve"> </w:t>
      </w:r>
      <w:r w:rsidR="00932C44">
        <w:rPr>
          <w:szCs w:val="24"/>
        </w:rPr>
        <w:t>because</w:t>
      </w:r>
      <w:r w:rsidR="00932C44" w:rsidRPr="003D4395">
        <w:rPr>
          <w:szCs w:val="24"/>
        </w:rPr>
        <w:t xml:space="preserve"> participants had only one serum sodium measurement and one </w:t>
      </w:r>
      <w:r w:rsidR="00932C44">
        <w:rPr>
          <w:szCs w:val="24"/>
        </w:rPr>
        <w:t>case as</w:t>
      </w:r>
      <w:r w:rsidR="00932C44" w:rsidRPr="003D4395">
        <w:rPr>
          <w:szCs w:val="24"/>
        </w:rPr>
        <w:t xml:space="preserve"> the participant was only hospitalised for one day</w:t>
      </w:r>
      <w:r w:rsidR="00932C44">
        <w:rPr>
          <w:szCs w:val="24"/>
        </w:rPr>
        <w:t>.</w:t>
      </w:r>
      <w:r w:rsidR="00932C44" w:rsidRPr="008F04B1">
        <w:rPr>
          <w:szCs w:val="24"/>
        </w:rPr>
        <w:t xml:space="preserve"> </w:t>
      </w:r>
      <w:r w:rsidR="00932C44" w:rsidRPr="003D4395">
        <w:rPr>
          <w:szCs w:val="24"/>
        </w:rPr>
        <w:t xml:space="preserve">The final case </w:t>
      </w:r>
      <w:r w:rsidR="001D5612">
        <w:rPr>
          <w:szCs w:val="24"/>
        </w:rPr>
        <w:t>could not be classified</w:t>
      </w:r>
      <w:r w:rsidR="00932C44" w:rsidRPr="003D4395">
        <w:rPr>
          <w:szCs w:val="24"/>
        </w:rPr>
        <w:t xml:space="preserve"> as the patient became critically ill</w:t>
      </w:r>
      <w:r w:rsidR="001D5612">
        <w:rPr>
          <w:szCs w:val="24"/>
        </w:rPr>
        <w:t xml:space="preserve"> so BIA was felt clinically</w:t>
      </w:r>
      <w:r w:rsidR="00932C44" w:rsidRPr="003D4395">
        <w:rPr>
          <w:szCs w:val="24"/>
        </w:rPr>
        <w:t xml:space="preserve"> inappropriate</w:t>
      </w:r>
      <w:r w:rsidR="00932C44">
        <w:rPr>
          <w:szCs w:val="24"/>
        </w:rPr>
        <w:t>,</w:t>
      </w:r>
      <w:r w:rsidR="00932C44" w:rsidRPr="003D4395">
        <w:rPr>
          <w:szCs w:val="24"/>
        </w:rPr>
        <w:t xml:space="preserve"> and </w:t>
      </w:r>
      <w:r w:rsidR="001D5612">
        <w:rPr>
          <w:szCs w:val="24"/>
        </w:rPr>
        <w:t xml:space="preserve">the </w:t>
      </w:r>
      <w:r w:rsidR="00932C44" w:rsidRPr="003D4395">
        <w:rPr>
          <w:szCs w:val="24"/>
        </w:rPr>
        <w:t>readings obtained were insufficient to determine utility of BIA.</w:t>
      </w:r>
      <w:r w:rsidR="00932C44">
        <w:rPr>
          <w:szCs w:val="24"/>
        </w:rPr>
        <w:t xml:space="preserve"> </w:t>
      </w:r>
      <w:r w:rsidR="00BA14A0">
        <w:rPr>
          <w:szCs w:val="24"/>
        </w:rPr>
        <w:t xml:space="preserve">According to the expert panel, there were </w:t>
      </w:r>
      <w:r w:rsidR="00B53514">
        <w:rPr>
          <w:szCs w:val="24"/>
        </w:rPr>
        <w:t>23 hypov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cases, 9 euv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cases and 1 hyperv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case.</w:t>
      </w:r>
      <w:r w:rsidR="00F91476">
        <w:rPr>
          <w:szCs w:val="24"/>
        </w:rPr>
        <w:t xml:space="preserve"> The expert panel and </w:t>
      </w:r>
      <w:r w:rsidR="00F91476">
        <w:rPr>
          <w:szCs w:val="24"/>
        </w:rPr>
        <w:lastRenderedPageBreak/>
        <w:t>BIA methods agreed on the 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F91476">
        <w:rPr>
          <w:szCs w:val="24"/>
        </w:rPr>
        <w:t xml:space="preserve"> state of the patient in 21 out of 26 cases</w:t>
      </w:r>
      <w:r w:rsidR="00B53514">
        <w:rPr>
          <w:szCs w:val="24"/>
        </w:rPr>
        <w:t>. According to the BIA metho</w:t>
      </w:r>
      <w:r w:rsidR="00F91476">
        <w:rPr>
          <w:szCs w:val="24"/>
        </w:rPr>
        <w:t>d, t</w:t>
      </w:r>
      <w:r w:rsidR="00B53514">
        <w:rPr>
          <w:szCs w:val="24"/>
        </w:rPr>
        <w:t>here were 15 hypov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cases, 8 euv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cases and 3 hyperv</w:t>
      </w:r>
      <w:r w:rsidR="00000148">
        <w:rPr>
          <w:szCs w:val="24"/>
        </w:rPr>
        <w:t>olaemi</w:t>
      </w:r>
      <w:r w:rsidR="00FF7FA5">
        <w:rPr>
          <w:szCs w:val="24"/>
        </w:rPr>
        <w:t>c</w:t>
      </w:r>
      <w:r w:rsidR="00B53514">
        <w:rPr>
          <w:szCs w:val="24"/>
        </w:rPr>
        <w:t xml:space="preserve"> cases. </w:t>
      </w:r>
      <w:r w:rsidR="00D06AA2">
        <w:rPr>
          <w:rFonts w:cs="Calibri"/>
          <w:szCs w:val="24"/>
        </w:rPr>
        <w:t>Regarding aetiology,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A93B4B">
        <w:rPr>
          <w:rFonts w:cs="Calibri"/>
          <w:szCs w:val="24"/>
        </w:rPr>
        <w:t xml:space="preserve"> was multi-factorial in 24</w:t>
      </w:r>
      <w:r w:rsidR="00720CBB">
        <w:rPr>
          <w:rFonts w:cs="Calibri"/>
          <w:szCs w:val="24"/>
        </w:rPr>
        <w:t>/33</w:t>
      </w:r>
      <w:r w:rsidR="00D06AA2">
        <w:rPr>
          <w:rFonts w:cs="Calibri"/>
          <w:szCs w:val="24"/>
        </w:rPr>
        <w:t xml:space="preserve"> cases with the most common causative </w:t>
      </w:r>
      <w:r w:rsidR="00F91476">
        <w:rPr>
          <w:rFonts w:cs="Calibri"/>
          <w:szCs w:val="24"/>
        </w:rPr>
        <w:t xml:space="preserve">or contributory </w:t>
      </w:r>
      <w:r w:rsidR="00D06AA2">
        <w:rPr>
          <w:rFonts w:cs="Calibri"/>
          <w:szCs w:val="24"/>
        </w:rPr>
        <w:t>factors bei</w:t>
      </w:r>
      <w:r w:rsidR="00FF6271">
        <w:rPr>
          <w:rFonts w:cs="Calibri"/>
          <w:szCs w:val="24"/>
        </w:rPr>
        <w:t xml:space="preserve">ng thiazide diuretics </w:t>
      </w:r>
      <w:r w:rsidR="00F91476">
        <w:rPr>
          <w:rFonts w:cs="Calibri"/>
          <w:szCs w:val="24"/>
        </w:rPr>
        <w:t>(24/33)</w:t>
      </w:r>
      <w:r w:rsidR="00D06AA2">
        <w:rPr>
          <w:rFonts w:cs="Calibri"/>
          <w:szCs w:val="24"/>
        </w:rPr>
        <w:t>, dehydration (</w:t>
      </w:r>
      <w:r w:rsidR="00A93B4B">
        <w:rPr>
          <w:rFonts w:cs="Calibri"/>
          <w:szCs w:val="24"/>
        </w:rPr>
        <w:t>23/33</w:t>
      </w:r>
      <w:r w:rsidR="00D06AA2">
        <w:rPr>
          <w:rFonts w:cs="Calibri"/>
          <w:szCs w:val="24"/>
        </w:rPr>
        <w:t>), proton pump inhibitor</w:t>
      </w:r>
      <w:r w:rsidR="00F91476">
        <w:rPr>
          <w:rFonts w:cs="Calibri"/>
          <w:szCs w:val="24"/>
        </w:rPr>
        <w:t>s</w:t>
      </w:r>
      <w:r w:rsidR="00D06AA2">
        <w:rPr>
          <w:rFonts w:cs="Calibri"/>
          <w:szCs w:val="24"/>
        </w:rPr>
        <w:t xml:space="preserve"> (</w:t>
      </w:r>
      <w:r w:rsidR="00A93B4B">
        <w:rPr>
          <w:rFonts w:cs="Calibri"/>
          <w:szCs w:val="24"/>
        </w:rPr>
        <w:t>23/33), SIADH (9/33) and mirtazapine (5/33</w:t>
      </w:r>
      <w:r w:rsidR="00D06AA2">
        <w:rPr>
          <w:rFonts w:cs="Calibri"/>
          <w:szCs w:val="24"/>
        </w:rPr>
        <w:t>).</w:t>
      </w:r>
    </w:p>
    <w:p w:rsidR="00B53514" w:rsidRDefault="00B53514" w:rsidP="00A12960"/>
    <w:p w:rsidR="00932C44" w:rsidRDefault="00932C44" w:rsidP="00A12960">
      <w:r w:rsidRPr="004E2DED">
        <w:t>Cohen's kappa values for the level of agreement between the expert panel and BIA, overall assessment of v</w:t>
      </w:r>
      <w:r w:rsidR="00000148">
        <w:t>olaemi</w:t>
      </w:r>
      <w:r w:rsidR="00FF7FA5">
        <w:t>c</w:t>
      </w:r>
      <w:r w:rsidRPr="004E2DED">
        <w:t xml:space="preserve"> status and individual signs of v</w:t>
      </w:r>
      <w:r w:rsidR="00000148">
        <w:t>olaemi</w:t>
      </w:r>
      <w:r w:rsidR="00FF7FA5">
        <w:t>c</w:t>
      </w:r>
      <w:r w:rsidR="005D6B32">
        <w:t xml:space="preserve"> status are presented in </w:t>
      </w:r>
      <w:r w:rsidR="00262851">
        <w:t>t</w:t>
      </w:r>
      <w:r w:rsidR="00497166">
        <w:t>able</w:t>
      </w:r>
      <w:r w:rsidR="005201ED">
        <w:t xml:space="preserve"> </w:t>
      </w:r>
      <w:r w:rsidR="00EA5AFD">
        <w:t>5</w:t>
      </w:r>
      <w:r w:rsidRPr="004E2DED">
        <w:t xml:space="preserve">. </w:t>
      </w:r>
      <w:r w:rsidR="00C67183">
        <w:t>J</w:t>
      </w:r>
      <w:r w:rsidR="00C84E70">
        <w:t>ugular venous distension was</w:t>
      </w:r>
      <w:r w:rsidRPr="004E2DED">
        <w:t xml:space="preserve"> </w:t>
      </w:r>
      <w:r w:rsidR="00841623">
        <w:t xml:space="preserve">not </w:t>
      </w:r>
      <w:r w:rsidRPr="004E2DED">
        <w:t xml:space="preserve">always </w:t>
      </w:r>
      <w:r>
        <w:t>visualised</w:t>
      </w:r>
      <w:r w:rsidRPr="004E2DED">
        <w:t xml:space="preserve"> </w:t>
      </w:r>
      <w:r w:rsidR="00035C4E">
        <w:t>so</w:t>
      </w:r>
      <w:r w:rsidR="00424C01">
        <w:t xml:space="preserve"> i</w:t>
      </w:r>
      <w:r w:rsidR="005D6B32">
        <w:t xml:space="preserve">t was </w:t>
      </w:r>
      <w:r w:rsidR="00424C01">
        <w:t xml:space="preserve">only </w:t>
      </w:r>
      <w:r w:rsidRPr="004E2DED">
        <w:t xml:space="preserve">possible to assess utility in 29 cases. </w:t>
      </w:r>
    </w:p>
    <w:p w:rsidR="007D31DB" w:rsidRDefault="007D31DB" w:rsidP="007724F4">
      <w:pPr>
        <w:pStyle w:val="Caption"/>
        <w:rPr>
          <w:color w:val="auto"/>
          <w:sz w:val="24"/>
        </w:rPr>
      </w:pPr>
    </w:p>
    <w:p w:rsidR="007D31DB" w:rsidRDefault="007D31DB" w:rsidP="007D31DB">
      <w:pPr>
        <w:pStyle w:val="Caption"/>
        <w:rPr>
          <w:color w:val="auto"/>
          <w:sz w:val="24"/>
        </w:rPr>
      </w:pPr>
      <w:r>
        <w:rPr>
          <w:color w:val="auto"/>
          <w:sz w:val="24"/>
        </w:rPr>
        <w:br w:type="page"/>
      </w:r>
    </w:p>
    <w:p w:rsidR="00932C44" w:rsidRPr="00921508" w:rsidRDefault="00932C44" w:rsidP="00C9221A">
      <w:pPr>
        <w:pStyle w:val="Heading2"/>
        <w:rPr>
          <w:u w:val="single"/>
        </w:rPr>
      </w:pPr>
      <w:bookmarkStart w:id="6" w:name="_Toc355594770"/>
      <w:r w:rsidRPr="00921508">
        <w:lastRenderedPageBreak/>
        <w:t>Discussion</w:t>
      </w:r>
      <w:bookmarkEnd w:id="6"/>
    </w:p>
    <w:p w:rsidR="006B76A3" w:rsidRDefault="00560A09" w:rsidP="006B76A3">
      <w:pPr>
        <w:rPr>
          <w:rFonts w:cs="Calibri"/>
          <w:szCs w:val="24"/>
        </w:rPr>
      </w:pPr>
      <w:r>
        <w:rPr>
          <w:rFonts w:cs="Calibri"/>
          <w:szCs w:val="24"/>
        </w:rPr>
        <w:t>This study is the frst to find that BIA is</w:t>
      </w:r>
      <w:r w:rsidR="00400A79">
        <w:rPr>
          <w:rFonts w:cs="Calibri"/>
          <w:szCs w:val="24"/>
        </w:rPr>
        <w:t xml:space="preserve"> more </w:t>
      </w:r>
      <w:r w:rsidR="0070559D">
        <w:rPr>
          <w:rFonts w:cs="Calibri"/>
          <w:szCs w:val="24"/>
        </w:rPr>
        <w:t>accurate</w:t>
      </w:r>
      <w:r w:rsidR="00400A79">
        <w:rPr>
          <w:rFonts w:cs="Calibri"/>
          <w:szCs w:val="24"/>
        </w:rPr>
        <w:t xml:space="preserve"> than standard clinical examination in determining the v</w:t>
      </w:r>
      <w:r w:rsidR="00000148">
        <w:rPr>
          <w:rFonts w:cs="Calibri"/>
          <w:szCs w:val="24"/>
        </w:rPr>
        <w:t>olaemi</w:t>
      </w:r>
      <w:r w:rsidR="00FF7FA5">
        <w:rPr>
          <w:rFonts w:cs="Calibri"/>
          <w:szCs w:val="24"/>
        </w:rPr>
        <w:t>c</w:t>
      </w:r>
      <w:r w:rsidR="00400A79">
        <w:rPr>
          <w:rFonts w:cs="Calibri"/>
          <w:szCs w:val="24"/>
        </w:rPr>
        <w:t xml:space="preserve"> state of </w:t>
      </w:r>
      <w:r w:rsidR="00623E68">
        <w:rPr>
          <w:rFonts w:cs="Calibri"/>
          <w:szCs w:val="24"/>
        </w:rPr>
        <w:t>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623E68">
        <w:rPr>
          <w:rFonts w:cs="Calibri"/>
          <w:szCs w:val="24"/>
        </w:rPr>
        <w:t xml:space="preserve"> in</w:t>
      </w:r>
      <w:r w:rsidR="004A3BC0">
        <w:rPr>
          <w:rFonts w:cs="Calibri"/>
          <w:szCs w:val="24"/>
        </w:rPr>
        <w:t xml:space="preserve"> EPFF. This suggests </w:t>
      </w:r>
      <w:r w:rsidR="00F324D6">
        <w:rPr>
          <w:rFonts w:cs="Calibri"/>
          <w:szCs w:val="24"/>
        </w:rPr>
        <w:t xml:space="preserve">that </w:t>
      </w:r>
      <w:r>
        <w:rPr>
          <w:rFonts w:cs="Calibri"/>
          <w:szCs w:val="24"/>
        </w:rPr>
        <w:t xml:space="preserve">BIA has </w:t>
      </w:r>
      <w:r w:rsidR="004A3BC0">
        <w:rPr>
          <w:rFonts w:cs="Calibri"/>
          <w:szCs w:val="24"/>
        </w:rPr>
        <w:t>potential to improve clinical management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4A3BC0">
        <w:rPr>
          <w:rFonts w:cs="Calibri"/>
          <w:szCs w:val="24"/>
        </w:rPr>
        <w:t>.</w:t>
      </w:r>
      <w:r w:rsidR="000849FD">
        <w:rPr>
          <w:rFonts w:cs="Calibri"/>
          <w:szCs w:val="24"/>
        </w:rPr>
        <w:t xml:space="preserve"> </w:t>
      </w:r>
    </w:p>
    <w:p w:rsidR="007B5018" w:rsidRDefault="007B5018" w:rsidP="006B76A3"/>
    <w:p w:rsidR="00623E68" w:rsidRDefault="006B76A3" w:rsidP="00623E68">
      <w:r>
        <w:t>T</w:t>
      </w:r>
      <w:r w:rsidR="00F324D6">
        <w:t xml:space="preserve">here was </w:t>
      </w:r>
      <w:r>
        <w:t>moderate</w:t>
      </w:r>
      <w:r w:rsidRPr="002E7D0A">
        <w:t xml:space="preserve"> level of agreement between </w:t>
      </w:r>
      <w:r w:rsidR="004A3BC0">
        <w:t xml:space="preserve">the expert panel and </w:t>
      </w:r>
      <w:r w:rsidRPr="002E7D0A">
        <w:t xml:space="preserve">BIA in determining </w:t>
      </w:r>
      <w:r>
        <w:t>the v</w:t>
      </w:r>
      <w:r w:rsidR="00000148">
        <w:t>olaemi</w:t>
      </w:r>
      <w:r w:rsidR="00FF7FA5">
        <w:t>c</w:t>
      </w:r>
      <w:r>
        <w:t xml:space="preserve"> state of hypon</w:t>
      </w:r>
      <w:r w:rsidR="00A219CF">
        <w:t>atraemi</w:t>
      </w:r>
      <w:r w:rsidR="00FF7FA5">
        <w:t>a</w:t>
      </w:r>
      <w:r w:rsidR="00F324D6">
        <w:t>. L</w:t>
      </w:r>
      <w:r>
        <w:t xml:space="preserve">evel of agreement between the expert panel and standard </w:t>
      </w:r>
      <w:r w:rsidR="00560A09">
        <w:t xml:space="preserve">clinical </w:t>
      </w:r>
      <w:r>
        <w:t>assessment</w:t>
      </w:r>
      <w:r w:rsidR="00560A09">
        <w:t>s</w:t>
      </w:r>
      <w:r>
        <w:t xml:space="preserve"> w</w:t>
      </w:r>
      <w:r w:rsidR="00560A09">
        <w:t xml:space="preserve">as either nil or </w:t>
      </w:r>
      <w:r>
        <w:t xml:space="preserve">slight. </w:t>
      </w:r>
      <w:r w:rsidRPr="002E7D0A">
        <w:t>The significantly higher level of agreement between the expert panel and BIA</w:t>
      </w:r>
      <w:r w:rsidR="0070559D">
        <w:t xml:space="preserve"> (kappa </w:t>
      </w:r>
      <w:r>
        <w:t>0.52)</w:t>
      </w:r>
      <w:r w:rsidRPr="002E7D0A">
        <w:t xml:space="preserve"> compared to </w:t>
      </w:r>
      <w:r>
        <w:t xml:space="preserve">all domains of standard clinical assessment (kappa values </w:t>
      </w:r>
      <w:r w:rsidR="0070559D">
        <w:t>-</w:t>
      </w:r>
      <w:r>
        <w:t>0.167 – 0.136) implies</w:t>
      </w:r>
      <w:r w:rsidRPr="002E7D0A">
        <w:t xml:space="preserve"> that </w:t>
      </w:r>
      <w:r>
        <w:t xml:space="preserve">being aware of serial TBW readings is more useful than knowing </w:t>
      </w:r>
      <w:r w:rsidR="00330946">
        <w:t xml:space="preserve">the </w:t>
      </w:r>
      <w:r>
        <w:t xml:space="preserve">patient’s clinical signs. </w:t>
      </w:r>
      <w:r w:rsidR="00330946">
        <w:t xml:space="preserve">BIA </w:t>
      </w:r>
      <w:r w:rsidR="00720CBB">
        <w:t xml:space="preserve">was </w:t>
      </w:r>
      <w:r w:rsidR="00330946">
        <w:t>feasible</w:t>
      </w:r>
      <w:r w:rsidR="00623E68">
        <w:t xml:space="preserve"> and </w:t>
      </w:r>
      <w:r w:rsidR="00623E68" w:rsidRPr="002E7D0A">
        <w:t>tolerat</w:t>
      </w:r>
      <w:r w:rsidR="00623E68">
        <w:t>ed in &gt;</w:t>
      </w:r>
      <w:r w:rsidR="004A3BC0">
        <w:t>99% of participants.</w:t>
      </w:r>
      <w:r w:rsidR="00623E68" w:rsidRPr="002E7D0A">
        <w:t xml:space="preserve"> </w:t>
      </w:r>
      <w:r w:rsidR="00DA37CB">
        <w:t>It may therefore provide a practical alternative to</w:t>
      </w:r>
      <w:r w:rsidR="00623E68" w:rsidRPr="002E7D0A">
        <w:t xml:space="preserve"> </w:t>
      </w:r>
      <w:r w:rsidR="00330946">
        <w:t xml:space="preserve">the </w:t>
      </w:r>
      <w:r w:rsidR="00623E68">
        <w:t xml:space="preserve">‘gold </w:t>
      </w:r>
      <w:r w:rsidR="00623E68" w:rsidRPr="002E7D0A">
        <w:t>standard</w:t>
      </w:r>
      <w:r w:rsidR="00623E68">
        <w:t>’</w:t>
      </w:r>
      <w:r w:rsidR="00330946">
        <w:t xml:space="preserve"> method</w:t>
      </w:r>
      <w:r w:rsidR="00623E68" w:rsidRPr="002E7D0A">
        <w:t xml:space="preserve"> of </w:t>
      </w:r>
      <w:r w:rsidR="00623E68">
        <w:t>TBW measurement, by isotope dilutional analysis</w:t>
      </w:r>
      <w:r w:rsidR="00DA37CB">
        <w:t>, which is unsuitable for routine clinical use</w:t>
      </w:r>
      <w:r w:rsidR="00623E68">
        <w:t xml:space="preserve"> </w:t>
      </w:r>
      <w:r w:rsidR="00154582">
        <w:fldChar w:fldCharType="begin"/>
      </w:r>
      <w:r w:rsidR="00376351">
        <w:instrText>ADDIN RW.CITE{{125 Hoyle,G.E. 2011}}</w:instrText>
      </w:r>
      <w:r w:rsidR="00154582">
        <w:fldChar w:fldCharType="separate"/>
      </w:r>
      <w:r w:rsidR="00A03868">
        <w:t>(8)</w:t>
      </w:r>
      <w:r w:rsidR="00154582">
        <w:fldChar w:fldCharType="end"/>
      </w:r>
      <w:r w:rsidR="00623E68" w:rsidRPr="002E7D0A">
        <w:t>.</w:t>
      </w:r>
      <w:r w:rsidR="00623E68">
        <w:t xml:space="preserve"> Only one participant,</w:t>
      </w:r>
      <w:r w:rsidR="004A3BC0">
        <w:t xml:space="preserve"> after twelve days, found BIA</w:t>
      </w:r>
      <w:r w:rsidR="00623E68">
        <w:t xml:space="preserve"> intolerable, finding removal of electrodes painful owing to pre-existing dermatological problems. Positioning patients with upper limb fractur</w:t>
      </w:r>
      <w:r w:rsidR="00330946">
        <w:t>es was sometimes challenging</w:t>
      </w:r>
      <w:r w:rsidR="00623E68">
        <w:t xml:space="preserve"> but was manageable</w:t>
      </w:r>
      <w:r w:rsidR="00330946">
        <w:t xml:space="preserve"> in all</w:t>
      </w:r>
      <w:r w:rsidR="00623E68">
        <w:t xml:space="preserve"> instances.</w:t>
      </w:r>
      <w:r w:rsidR="00623E68" w:rsidRPr="00623E68">
        <w:t xml:space="preserve"> </w:t>
      </w:r>
      <w:r w:rsidR="000849FD">
        <w:t>Although it was only possible to determine v</w:t>
      </w:r>
      <w:r w:rsidR="00000148">
        <w:t>olaemi</w:t>
      </w:r>
      <w:r w:rsidR="00FF7FA5">
        <w:t>c</w:t>
      </w:r>
      <w:r w:rsidR="000849FD">
        <w:t xml:space="preserve"> status in 26 of the 33 cases of hypon</w:t>
      </w:r>
      <w:r w:rsidR="00A219CF">
        <w:t>atraemi</w:t>
      </w:r>
      <w:r w:rsidR="00FF7FA5">
        <w:t>a</w:t>
      </w:r>
      <w:r w:rsidR="000849FD">
        <w:t xml:space="preserve">, this was due to methodology constraints </w:t>
      </w:r>
      <w:r w:rsidR="00720CBB">
        <w:t xml:space="preserve">of the study </w:t>
      </w:r>
      <w:r w:rsidR="000849FD">
        <w:t>(</w:t>
      </w:r>
      <w:r w:rsidR="000849FD" w:rsidRPr="00DC48F5">
        <w:rPr>
          <w:i/>
        </w:rPr>
        <w:t>i.e.</w:t>
      </w:r>
      <w:r w:rsidR="000849FD">
        <w:t xml:space="preserve"> lack of serum sodium measurements precluded classifica</w:t>
      </w:r>
      <w:r w:rsidR="00720CBB">
        <w:t>tion using BIA), rather than any limitation or failure</w:t>
      </w:r>
      <w:r w:rsidR="000849FD">
        <w:t xml:space="preserve"> of BIA itself. </w:t>
      </w:r>
      <w:r w:rsidR="00623E68">
        <w:t xml:space="preserve">We therefore suggest that BIA has </w:t>
      </w:r>
      <w:r w:rsidR="004A3BC0">
        <w:t>practical</w:t>
      </w:r>
      <w:r w:rsidR="00623E68" w:rsidRPr="002E7D0A">
        <w:t xml:space="preserve"> utility</w:t>
      </w:r>
      <w:r w:rsidR="00623E68">
        <w:t xml:space="preserve"> and </w:t>
      </w:r>
      <w:r w:rsidR="00623E68">
        <w:rPr>
          <w:rFonts w:cs="Calibri"/>
          <w:szCs w:val="24"/>
        </w:rPr>
        <w:t xml:space="preserve">potential to improve clinical </w:t>
      </w:r>
      <w:r w:rsidR="00330946">
        <w:rPr>
          <w:rFonts w:cs="Calibri"/>
          <w:szCs w:val="24"/>
        </w:rPr>
        <w:t>both diagnosis and treatment</w:t>
      </w:r>
      <w:r w:rsidR="00623E68">
        <w:rPr>
          <w:rFonts w:cs="Calibri"/>
          <w:szCs w:val="24"/>
        </w:rPr>
        <w:t xml:space="preserve"> of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623E68">
        <w:rPr>
          <w:rFonts w:cs="Calibri"/>
          <w:szCs w:val="24"/>
        </w:rPr>
        <w:t>.</w:t>
      </w:r>
      <w:r w:rsidR="00330946">
        <w:rPr>
          <w:rFonts w:cs="Calibri"/>
          <w:szCs w:val="24"/>
        </w:rPr>
        <w:t xml:space="preserve"> Although it remains unclear if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330946">
        <w:rPr>
          <w:rFonts w:cs="Calibri"/>
          <w:szCs w:val="24"/>
        </w:rPr>
        <w:t xml:space="preserve"> is a marker of poor prognosis or truly pathological in its own right, </w:t>
      </w:r>
      <w:r w:rsidR="00465C4B">
        <w:rPr>
          <w:rFonts w:cs="Calibri"/>
          <w:szCs w:val="24"/>
        </w:rPr>
        <w:t xml:space="preserve">daily </w:t>
      </w:r>
      <w:r w:rsidR="00330946">
        <w:rPr>
          <w:rFonts w:cs="Calibri"/>
          <w:szCs w:val="24"/>
        </w:rPr>
        <w:t xml:space="preserve">BIA </w:t>
      </w:r>
      <w:r w:rsidR="00465C4B">
        <w:rPr>
          <w:rFonts w:cs="Calibri"/>
          <w:szCs w:val="24"/>
        </w:rPr>
        <w:t xml:space="preserve">in EPFF </w:t>
      </w:r>
      <w:r w:rsidR="00330946">
        <w:rPr>
          <w:rFonts w:cs="Calibri"/>
          <w:szCs w:val="24"/>
        </w:rPr>
        <w:t>has potential to improve patient prognosis</w:t>
      </w:r>
      <w:r w:rsidR="00465C4B">
        <w:rPr>
          <w:rFonts w:cs="Calibri"/>
          <w:szCs w:val="24"/>
        </w:rPr>
        <w:t>.</w:t>
      </w:r>
      <w:r w:rsidR="00330946">
        <w:rPr>
          <w:rFonts w:cs="Calibri"/>
          <w:szCs w:val="24"/>
        </w:rPr>
        <w:t xml:space="preserve"> </w:t>
      </w:r>
      <w:r w:rsidR="00623E68">
        <w:rPr>
          <w:rFonts w:cs="Calibri"/>
          <w:szCs w:val="24"/>
        </w:rPr>
        <w:t xml:space="preserve"> </w:t>
      </w:r>
    </w:p>
    <w:p w:rsidR="00C2241F" w:rsidRDefault="00C2241F" w:rsidP="006B76A3"/>
    <w:p w:rsidR="008138EA" w:rsidRDefault="00623E68" w:rsidP="006B76A3">
      <w:pPr>
        <w:rPr>
          <w:szCs w:val="24"/>
        </w:rPr>
      </w:pPr>
      <w:r>
        <w:lastRenderedPageBreak/>
        <w:t xml:space="preserve">This study also </w:t>
      </w:r>
      <w:r w:rsidR="00932C44">
        <w:t>confirm</w:t>
      </w:r>
      <w:r w:rsidR="005C7904">
        <w:t>ed</w:t>
      </w:r>
      <w:r w:rsidR="006B76A3">
        <w:t xml:space="preserve"> </w:t>
      </w:r>
      <w:r w:rsidR="00932C44">
        <w:t xml:space="preserve">that standard </w:t>
      </w:r>
      <w:r w:rsidR="006B76A3">
        <w:t xml:space="preserve">assessment </w:t>
      </w:r>
      <w:r w:rsidR="00932C44">
        <w:t>of v</w:t>
      </w:r>
      <w:r w:rsidR="00000148">
        <w:t>olaemi</w:t>
      </w:r>
      <w:r w:rsidR="00FF7FA5">
        <w:t>c</w:t>
      </w:r>
      <w:r w:rsidR="00932C44">
        <w:t xml:space="preserve"> status is inadequate</w:t>
      </w:r>
      <w:r w:rsidR="006B76A3">
        <w:t xml:space="preserve"> </w:t>
      </w:r>
      <w:r w:rsidR="00154582">
        <w:fldChar w:fldCharType="begin"/>
      </w:r>
      <w:r w:rsidR="00376351">
        <w:instrText>ADDIN RW.CITE{{125 Hoyle,G.E. 2011}}</w:instrText>
      </w:r>
      <w:r w:rsidR="00154582">
        <w:fldChar w:fldCharType="separate"/>
      </w:r>
      <w:r w:rsidR="00A03868">
        <w:t>(8)</w:t>
      </w:r>
      <w:r w:rsidR="00154582">
        <w:fldChar w:fldCharType="end"/>
      </w:r>
      <w:r w:rsidR="006B76A3">
        <w:t>. We previously reported it has poor reliability, with only moderate inter-observer agreement between two consultant geri</w:t>
      </w:r>
      <w:r w:rsidR="00720CBB">
        <w:t>atricians with special interest</w:t>
      </w:r>
      <w:r w:rsidR="006B76A3">
        <w:t xml:space="preserve"> in hypon</w:t>
      </w:r>
      <w:r w:rsidR="00A219CF">
        <w:t>atraemi</w:t>
      </w:r>
      <w:r w:rsidR="00FF7FA5">
        <w:t>a</w:t>
      </w:r>
      <w:r w:rsidR="006B76A3">
        <w:t xml:space="preserve"> </w:t>
      </w:r>
      <w:r w:rsidR="00154582">
        <w:fldChar w:fldCharType="begin"/>
      </w:r>
      <w:r w:rsidR="00376351">
        <w:instrText>ADDIN RW.CITE{{125 Hoyle,G.E. 2011}}</w:instrText>
      </w:r>
      <w:r w:rsidR="00154582">
        <w:fldChar w:fldCharType="separate"/>
      </w:r>
      <w:r w:rsidR="00A03868">
        <w:t>(8)</w:t>
      </w:r>
      <w:r w:rsidR="00154582">
        <w:fldChar w:fldCharType="end"/>
      </w:r>
      <w:r w:rsidR="006B76A3">
        <w:t>. In the present study, a</w:t>
      </w:r>
      <w:r w:rsidR="00932C44">
        <w:t>ll k</w:t>
      </w:r>
      <w:r w:rsidR="00932C44" w:rsidRPr="002E7D0A">
        <w:t xml:space="preserve">appa values </w:t>
      </w:r>
      <w:r w:rsidR="00932C44">
        <w:t xml:space="preserve">assessing validity of individual </w:t>
      </w:r>
      <w:r w:rsidR="001B68A2">
        <w:t xml:space="preserve">signs </w:t>
      </w:r>
      <w:r w:rsidR="00932C44">
        <w:t xml:space="preserve">and overall </w:t>
      </w:r>
      <w:r w:rsidR="001B68A2">
        <w:t xml:space="preserve">assessment </w:t>
      </w:r>
      <w:r w:rsidR="00F324D6">
        <w:t>of hydration</w:t>
      </w:r>
      <w:r w:rsidR="006B76A3">
        <w:t xml:space="preserve"> neared zero. Therefore</w:t>
      </w:r>
      <w:r w:rsidR="00932C44">
        <w:t xml:space="preserve"> no clinical </w:t>
      </w:r>
      <w:r w:rsidR="00465C4B">
        <w:t>utility or validity of these methods</w:t>
      </w:r>
      <w:r w:rsidR="00932C44">
        <w:t xml:space="preserve"> can be inferred</w:t>
      </w:r>
      <w:r w:rsidR="00465C4B">
        <w:t>,</w:t>
      </w:r>
      <w:r w:rsidR="00932C44">
        <w:t xml:space="preserve"> other than for overall v</w:t>
      </w:r>
      <w:r w:rsidR="00000148">
        <w:t>olaemi</w:t>
      </w:r>
      <w:r w:rsidR="00932C44">
        <w:t xml:space="preserve">c status and skin turgor which </w:t>
      </w:r>
      <w:r w:rsidR="001B465E">
        <w:t>only</w:t>
      </w:r>
      <w:r w:rsidR="00932C44">
        <w:t xml:space="preserve"> achieved slight clinical utility. </w:t>
      </w:r>
      <w:r w:rsidR="006B76A3">
        <w:t xml:space="preserve">Given </w:t>
      </w:r>
      <w:r w:rsidR="00F324D6">
        <w:t>the</w:t>
      </w:r>
      <w:r w:rsidR="006B76A3">
        <w:t xml:space="preserve"> low accuracy</w:t>
      </w:r>
      <w:r w:rsidR="00F324D6">
        <w:t xml:space="preserve"> reported here</w:t>
      </w:r>
      <w:r w:rsidR="006B76A3">
        <w:t>, clinical examination should not be utilised as the sole discriminant of v</w:t>
      </w:r>
      <w:r w:rsidR="00000148">
        <w:t>olaemi</w:t>
      </w:r>
      <w:r w:rsidR="00FF7FA5">
        <w:t>c</w:t>
      </w:r>
      <w:r w:rsidR="006B76A3">
        <w:t xml:space="preserve"> state of hypon</w:t>
      </w:r>
      <w:r w:rsidR="00A219CF">
        <w:t>atraemi</w:t>
      </w:r>
      <w:r w:rsidR="00FF7FA5">
        <w:t>a</w:t>
      </w:r>
      <w:r w:rsidR="006B76A3">
        <w:t xml:space="preserve">. </w:t>
      </w:r>
      <w:r w:rsidR="00465C4B">
        <w:t xml:space="preserve">Although </w:t>
      </w:r>
      <w:r w:rsidR="00335720">
        <w:t>t</w:t>
      </w:r>
      <w:r w:rsidR="00932C44">
        <w:t xml:space="preserve">his is </w:t>
      </w:r>
      <w:r w:rsidR="00720CBB">
        <w:t xml:space="preserve">perhaps </w:t>
      </w:r>
      <w:r w:rsidR="00165298">
        <w:t>unsurprising</w:t>
      </w:r>
      <w:r w:rsidR="00DE6313">
        <w:t>,</w:t>
      </w:r>
      <w:r w:rsidR="00465C4B">
        <w:t xml:space="preserve"> </w:t>
      </w:r>
      <w:r w:rsidR="00932C44">
        <w:t>the level of agreement between an expert panel and standard assessment in determining v</w:t>
      </w:r>
      <w:r w:rsidR="00000148">
        <w:t>olaemi</w:t>
      </w:r>
      <w:r w:rsidR="00FF7FA5">
        <w:t>c</w:t>
      </w:r>
      <w:r w:rsidR="00932C44">
        <w:t xml:space="preserve"> state of hypon</w:t>
      </w:r>
      <w:r w:rsidR="00A219CF">
        <w:t>atraemi</w:t>
      </w:r>
      <w:r w:rsidR="00FF7FA5">
        <w:t>a</w:t>
      </w:r>
      <w:r w:rsidR="00932C44">
        <w:t xml:space="preserve"> </w:t>
      </w:r>
      <w:r w:rsidR="00165298">
        <w:t>has</w:t>
      </w:r>
      <w:r w:rsidR="00DA37CB">
        <w:t xml:space="preserve"> </w:t>
      </w:r>
      <w:r w:rsidR="00932C44">
        <w:t xml:space="preserve">never been </w:t>
      </w:r>
      <w:r w:rsidR="00465C4B">
        <w:t xml:space="preserve">previously </w:t>
      </w:r>
      <w:r w:rsidR="00932C44">
        <w:t>reported</w:t>
      </w:r>
      <w:r w:rsidR="00CF5A94">
        <w:t>.</w:t>
      </w:r>
      <w:r w:rsidR="00932C44">
        <w:t xml:space="preserve"> The exceptionally low kappa values we present may in part reflect limitations of our methodology as the </w:t>
      </w:r>
      <w:r w:rsidR="00400A79">
        <w:t>investigator</w:t>
      </w:r>
      <w:r w:rsidR="00932C44">
        <w:t xml:space="preserve"> had limited experience. However, </w:t>
      </w:r>
      <w:r w:rsidR="001B465E">
        <w:t xml:space="preserve">the </w:t>
      </w:r>
      <w:r w:rsidR="00932C44">
        <w:t xml:space="preserve">training and supervision </w:t>
      </w:r>
      <w:r w:rsidR="00465C4B">
        <w:t>provided for</w:t>
      </w:r>
      <w:r w:rsidR="00932C44">
        <w:t xml:space="preserve"> </w:t>
      </w:r>
      <w:r w:rsidR="00465C4B">
        <w:t xml:space="preserve">the </w:t>
      </w:r>
      <w:r w:rsidR="00932C44">
        <w:t>clinical examination of hydration status</w:t>
      </w:r>
      <w:r w:rsidR="00465C4B">
        <w:t xml:space="preserve"> </w:t>
      </w:r>
      <w:r w:rsidR="00932C44">
        <w:t>was arguably more thorough than that usually provided to most medical staff at any</w:t>
      </w:r>
      <w:r w:rsidR="0001446C">
        <w:t xml:space="preserve"> stage in their training. </w:t>
      </w:r>
      <w:r w:rsidR="004A3BC0">
        <w:t xml:space="preserve">Nevertheless, </w:t>
      </w:r>
      <w:r w:rsidR="0001446C">
        <w:t>the majority of cases of hypon</w:t>
      </w:r>
      <w:r w:rsidR="00A219CF">
        <w:t>atraemi</w:t>
      </w:r>
      <w:r w:rsidR="00FF7FA5">
        <w:t>a</w:t>
      </w:r>
      <w:r w:rsidR="00DA37CB">
        <w:t xml:space="preserve"> are managed</w:t>
      </w:r>
      <w:r w:rsidR="004A3BC0">
        <w:t xml:space="preserve"> by non-expert clinicians and so </w:t>
      </w:r>
      <w:r w:rsidR="001B465E">
        <w:t>our report</w:t>
      </w:r>
      <w:r w:rsidR="00932C44">
        <w:t xml:space="preserve"> </w:t>
      </w:r>
      <w:r w:rsidR="004A3BC0">
        <w:t>is</w:t>
      </w:r>
      <w:r>
        <w:t xml:space="preserve"> </w:t>
      </w:r>
      <w:r w:rsidR="004A3BC0">
        <w:t xml:space="preserve">likely </w:t>
      </w:r>
      <w:r w:rsidR="00465C4B">
        <w:t xml:space="preserve">to be a true </w:t>
      </w:r>
      <w:r w:rsidR="004A3BC0">
        <w:t>reflection of standard assessment</w:t>
      </w:r>
      <w:r w:rsidR="00932C44">
        <w:t xml:space="preserve">. Whilst apparently simple to undertake, </w:t>
      </w:r>
      <w:r w:rsidR="00465C4B">
        <w:t>these standard clinical assessments are subject to numerous challenges and confounders</w:t>
      </w:r>
      <w:r w:rsidR="00F324D6">
        <w:t xml:space="preserve">. </w:t>
      </w:r>
      <w:r w:rsidR="00465C4B">
        <w:t xml:space="preserve">Examples include variations in posture and </w:t>
      </w:r>
      <w:r w:rsidR="00932C44">
        <w:t>use of compression stockings</w:t>
      </w:r>
      <w:r w:rsidR="00465C4B">
        <w:t xml:space="preserve"> affecting peripheral odema</w:t>
      </w:r>
      <w:r w:rsidR="00932C44">
        <w:t xml:space="preserve">, </w:t>
      </w:r>
      <w:r w:rsidR="00465C4B">
        <w:t xml:space="preserve">peripheral vascular disease affecting capillary refill time </w:t>
      </w:r>
      <w:r w:rsidR="00932C44">
        <w:t xml:space="preserve">and mouth and axillary moistness </w:t>
      </w:r>
      <w:r w:rsidR="001B2293">
        <w:t>being</w:t>
      </w:r>
      <w:r w:rsidR="00932C44">
        <w:t xml:space="preserve"> affected by the timing of the assessment in relation to drinks and washing, rather than being indicative of patients’ v</w:t>
      </w:r>
      <w:r w:rsidR="00000148">
        <w:t>olaemi</w:t>
      </w:r>
      <w:r w:rsidR="00FF7FA5">
        <w:t>c</w:t>
      </w:r>
      <w:r w:rsidR="00932C44">
        <w:t xml:space="preserve"> state. </w:t>
      </w:r>
      <w:r w:rsidR="00AD23FA">
        <w:t xml:space="preserve">We found numerous examples where individual components of the examination varied day to day, or were inconsistent with each other (e.g. a patient with a dry mouth and normal skin turgor one day might have te reverse patern the next day, even without treatment.  </w:t>
      </w:r>
      <w:r w:rsidR="006B76A3">
        <w:t xml:space="preserve">Moreover, </w:t>
      </w:r>
      <w:r w:rsidR="00A14EF5">
        <w:t xml:space="preserve">we found that </w:t>
      </w:r>
      <w:r w:rsidR="00DA37CB">
        <w:t>most</w:t>
      </w:r>
      <w:r>
        <w:t xml:space="preserve"> cases of hypon</w:t>
      </w:r>
      <w:r w:rsidR="00A219CF">
        <w:t>atraemi</w:t>
      </w:r>
      <w:r w:rsidR="00FF7FA5">
        <w:t>a</w:t>
      </w:r>
      <w:r>
        <w:t xml:space="preserve"> were multifactorial in ae</w:t>
      </w:r>
      <w:r w:rsidR="00DA37CB">
        <w:t xml:space="preserve">tiology and the majority of </w:t>
      </w:r>
      <w:r>
        <w:t xml:space="preserve">cases presented with conflicting </w:t>
      </w:r>
      <w:r w:rsidR="00DA37CB">
        <w:t xml:space="preserve">clinical </w:t>
      </w:r>
      <w:r>
        <w:lastRenderedPageBreak/>
        <w:t>signs of hydration</w:t>
      </w:r>
      <w:r w:rsidR="004A3BC0">
        <w:t xml:space="preserve">, </w:t>
      </w:r>
      <w:r>
        <w:t>af</w:t>
      </w:r>
      <w:r w:rsidR="004A3BC0">
        <w:t>firming</w:t>
      </w:r>
      <w:r>
        <w:t xml:space="preserve"> the need for an accurate biomarker of hydration in older </w:t>
      </w:r>
      <w:r w:rsidR="004A3BC0">
        <w:t>people</w:t>
      </w:r>
      <w:r>
        <w:t xml:space="preserve">. </w:t>
      </w:r>
      <w:r w:rsidR="00DA37CB">
        <w:t>As a result</w:t>
      </w:r>
      <w:r w:rsidR="00F324D6">
        <w:t>, d</w:t>
      </w:r>
      <w:r w:rsidR="00932C44" w:rsidRPr="005533A9">
        <w:t xml:space="preserve">etermining overall </w:t>
      </w:r>
      <w:r w:rsidR="006B76A3">
        <w:t xml:space="preserve">impression of </w:t>
      </w:r>
      <w:r w:rsidR="00932C44" w:rsidRPr="005533A9">
        <w:t>v</w:t>
      </w:r>
      <w:r w:rsidR="00000148">
        <w:t>olaemi</w:t>
      </w:r>
      <w:r w:rsidR="00FF7FA5">
        <w:t>c</w:t>
      </w:r>
      <w:r w:rsidR="00932C44" w:rsidRPr="005533A9">
        <w:t xml:space="preserve"> state was </w:t>
      </w:r>
      <w:r w:rsidR="006B76A3" w:rsidRPr="005533A9">
        <w:t>difficult</w:t>
      </w:r>
      <w:r w:rsidR="00932C44" w:rsidRPr="005533A9">
        <w:t xml:space="preserve"> in </w:t>
      </w:r>
      <w:r w:rsidR="00A14EF5">
        <w:t xml:space="preserve">most </w:t>
      </w:r>
      <w:r>
        <w:t>instances</w:t>
      </w:r>
      <w:r w:rsidR="00932C44" w:rsidRPr="005533A9">
        <w:t xml:space="preserve">, particularly </w:t>
      </w:r>
      <w:r w:rsidR="004A3BC0">
        <w:t>when interpreting</w:t>
      </w:r>
      <w:r w:rsidR="00932C44" w:rsidRPr="005533A9">
        <w:t xml:space="preserve"> signs that </w:t>
      </w:r>
      <w:r w:rsidR="004A3BC0">
        <w:t>only differentiate</w:t>
      </w:r>
      <w:r w:rsidR="00932C44" w:rsidRPr="005533A9">
        <w:t xml:space="preserve"> </w:t>
      </w:r>
      <w:r w:rsidR="004A3BC0">
        <w:t xml:space="preserve">between </w:t>
      </w:r>
      <w:r w:rsidR="001B2293">
        <w:t>two rather than</w:t>
      </w:r>
      <w:r w:rsidR="00932C44" w:rsidRPr="005533A9">
        <w:t xml:space="preserve"> three v</w:t>
      </w:r>
      <w:r w:rsidR="00000148">
        <w:t>olaemi</w:t>
      </w:r>
      <w:r w:rsidR="00FF7FA5">
        <w:t>c</w:t>
      </w:r>
      <w:r w:rsidR="00932C44" w:rsidRPr="005533A9">
        <w:t xml:space="preserve"> states (</w:t>
      </w:r>
      <w:r w:rsidR="00932C44" w:rsidRPr="00E71DD1">
        <w:rPr>
          <w:i/>
        </w:rPr>
        <w:t>e</w:t>
      </w:r>
      <w:r w:rsidR="004A2E84" w:rsidRPr="00E71DD1">
        <w:rPr>
          <w:i/>
        </w:rPr>
        <w:t>.</w:t>
      </w:r>
      <w:r w:rsidR="00932C44" w:rsidRPr="00E71DD1">
        <w:rPr>
          <w:i/>
        </w:rPr>
        <w:t>g</w:t>
      </w:r>
      <w:r w:rsidR="00932C44" w:rsidRPr="005533A9">
        <w:t xml:space="preserve">. </w:t>
      </w:r>
      <w:r w:rsidR="004A2E84" w:rsidRPr="005533A9">
        <w:t>a</w:t>
      </w:r>
      <w:r>
        <w:t>bsence of oedema indicates</w:t>
      </w:r>
      <w:r w:rsidR="00932C44" w:rsidRPr="005533A9">
        <w:t xml:space="preserve"> non-hyperv</w:t>
      </w:r>
      <w:r w:rsidR="00000148">
        <w:t>olaemi</w:t>
      </w:r>
      <w:r w:rsidR="00FF7FA5">
        <w:t>a</w:t>
      </w:r>
      <w:r w:rsidR="00932C44" w:rsidRPr="005533A9">
        <w:t xml:space="preserve"> but </w:t>
      </w:r>
      <w:r>
        <w:t>does not differentiate between hypov</w:t>
      </w:r>
      <w:r w:rsidR="00000148">
        <w:t>olaemi</w:t>
      </w:r>
      <w:r w:rsidR="00FF7FA5">
        <w:t>a</w:t>
      </w:r>
      <w:r w:rsidR="00932C44" w:rsidRPr="005533A9">
        <w:t xml:space="preserve"> and euv</w:t>
      </w:r>
      <w:r w:rsidR="00000148">
        <w:t>olaemi</w:t>
      </w:r>
      <w:r w:rsidR="00FF7FA5">
        <w:t>a</w:t>
      </w:r>
      <w:r w:rsidR="00932C44" w:rsidRPr="005533A9">
        <w:t>).</w:t>
      </w:r>
      <w:r w:rsidR="006B76A3">
        <w:t xml:space="preserve"> All these </w:t>
      </w:r>
      <w:r w:rsidR="007B5018">
        <w:t>challenges</w:t>
      </w:r>
      <w:r w:rsidR="00932C44">
        <w:t xml:space="preserve"> </w:t>
      </w:r>
      <w:r w:rsidR="006B76A3">
        <w:t xml:space="preserve">are encountered </w:t>
      </w:r>
      <w:r w:rsidR="00932C44">
        <w:t>in clinical practice</w:t>
      </w:r>
      <w:r w:rsidR="00465C4B">
        <w:t>, as well as our study.</w:t>
      </w:r>
    </w:p>
    <w:p w:rsidR="00623E68" w:rsidRDefault="00623E68" w:rsidP="007B5018">
      <w:pPr>
        <w:rPr>
          <w:rFonts w:cs="Calibri"/>
          <w:szCs w:val="24"/>
        </w:rPr>
      </w:pPr>
    </w:p>
    <w:p w:rsidR="00932C44" w:rsidRDefault="000849FD" w:rsidP="00E149D5">
      <w:r>
        <w:t xml:space="preserve">Despite the encouraging results, </w:t>
      </w:r>
      <w:r w:rsidR="006B76A3">
        <w:t xml:space="preserve">some </w:t>
      </w:r>
      <w:r w:rsidR="005C7904">
        <w:t xml:space="preserve">other </w:t>
      </w:r>
      <w:r w:rsidR="006B76A3">
        <w:t>limitations of this study</w:t>
      </w:r>
      <w:r>
        <w:t xml:space="preserve"> must be acknowledged</w:t>
      </w:r>
      <w:r w:rsidR="00932C44">
        <w:t xml:space="preserve">. </w:t>
      </w:r>
      <w:r w:rsidR="001B2293">
        <w:t>Firstly, identification and</w:t>
      </w:r>
      <w:r w:rsidR="004A3BC0">
        <w:t xml:space="preserve"> </w:t>
      </w:r>
      <w:r w:rsidR="005C7904">
        <w:t xml:space="preserve">clinical </w:t>
      </w:r>
      <w:r w:rsidR="004A3BC0">
        <w:t>management of hypon</w:t>
      </w:r>
      <w:r w:rsidR="00A219CF">
        <w:t>atraemi</w:t>
      </w:r>
      <w:r w:rsidR="00FF7FA5">
        <w:t>a</w:t>
      </w:r>
      <w:r>
        <w:t xml:space="preserve"> was sub-optimal</w:t>
      </w:r>
      <w:r w:rsidR="004A3BC0">
        <w:t xml:space="preserve">, </w:t>
      </w:r>
      <w:r>
        <w:t>so</w:t>
      </w:r>
      <w:r w:rsidR="004A3BC0">
        <w:t xml:space="preserve"> </w:t>
      </w:r>
      <w:r>
        <w:t xml:space="preserve">useful diagnostic </w:t>
      </w:r>
      <w:r w:rsidR="004A3BC0">
        <w:t>data were missing in some cases</w:t>
      </w:r>
      <w:r>
        <w:t xml:space="preserve"> (</w:t>
      </w:r>
      <w:r w:rsidR="00EC5E2B" w:rsidRPr="00EC5E2B">
        <w:rPr>
          <w:i/>
        </w:rPr>
        <w:t xml:space="preserve">e.g. </w:t>
      </w:r>
      <w:r>
        <w:t>no patients had urinary sodium measured)</w:t>
      </w:r>
      <w:r w:rsidR="004A3BC0">
        <w:t>. Consequently, the expert panel determination of v</w:t>
      </w:r>
      <w:r w:rsidR="00000148">
        <w:t>olaemi</w:t>
      </w:r>
      <w:r w:rsidR="00FF7FA5">
        <w:t>c</w:t>
      </w:r>
      <w:r w:rsidR="004A3BC0">
        <w:t xml:space="preserve"> state and interpretation of comparative changes in serum sodium and TBW was challenging, so</w:t>
      </w:r>
      <w:r w:rsidR="004A3BC0" w:rsidRPr="005533A9">
        <w:t xml:space="preserve"> some uncertainty surrounds </w:t>
      </w:r>
      <w:r w:rsidR="004A3BC0">
        <w:t>our</w:t>
      </w:r>
      <w:r w:rsidR="004A3BC0" w:rsidRPr="005533A9">
        <w:t xml:space="preserve"> report.</w:t>
      </w:r>
      <w:r w:rsidR="004A3BC0">
        <w:t xml:space="preserve"> </w:t>
      </w:r>
      <w:r>
        <w:t xml:space="preserve">This limitation is consistent </w:t>
      </w:r>
      <w:r>
        <w:rPr>
          <w:szCs w:val="24"/>
        </w:rPr>
        <w:t xml:space="preserve">with that found in other studies and </w:t>
      </w:r>
      <w:r w:rsidR="00E2313C">
        <w:rPr>
          <w:szCs w:val="24"/>
        </w:rPr>
        <w:t xml:space="preserve">adds weight to concerns </w:t>
      </w:r>
      <w:r w:rsidR="004A3BC0">
        <w:rPr>
          <w:szCs w:val="24"/>
        </w:rPr>
        <w:t xml:space="preserve">that </w:t>
      </w:r>
      <w:r>
        <w:rPr>
          <w:szCs w:val="24"/>
        </w:rPr>
        <w:t xml:space="preserve">current </w:t>
      </w:r>
      <w:r w:rsidR="004A3BC0">
        <w:rPr>
          <w:szCs w:val="24"/>
        </w:rPr>
        <w:t>clinical mangement of hypon</w:t>
      </w:r>
      <w:r w:rsidR="00A219CF">
        <w:rPr>
          <w:szCs w:val="24"/>
        </w:rPr>
        <w:t>atraemi</w:t>
      </w:r>
      <w:r w:rsidR="00FF7FA5">
        <w:rPr>
          <w:szCs w:val="24"/>
        </w:rPr>
        <w:t>a</w:t>
      </w:r>
      <w:r w:rsidR="004A3BC0">
        <w:rPr>
          <w:szCs w:val="24"/>
        </w:rPr>
        <w:t xml:space="preserve"> is </w:t>
      </w:r>
      <w:r>
        <w:rPr>
          <w:szCs w:val="24"/>
        </w:rPr>
        <w:t xml:space="preserve">frequently </w:t>
      </w:r>
      <w:r w:rsidR="004A3BC0">
        <w:rPr>
          <w:szCs w:val="24"/>
        </w:rPr>
        <w:t>inadequate and warrants improvement</w:t>
      </w:r>
      <w:r w:rsidR="00E2313C">
        <w:rPr>
          <w:szCs w:val="24"/>
        </w:rPr>
        <w:t xml:space="preserve"> </w:t>
      </w:r>
      <w:r w:rsidR="00154582">
        <w:rPr>
          <w:szCs w:val="24"/>
        </w:rPr>
        <w:fldChar w:fldCharType="begin"/>
      </w:r>
      <w:r w:rsidR="00110015">
        <w:rPr>
          <w:szCs w:val="24"/>
        </w:rPr>
        <w:instrText>ADDIN RW.CITE{{296 Thompson,C J. 2010}}</w:instrText>
      </w:r>
      <w:r w:rsidR="00154582">
        <w:rPr>
          <w:szCs w:val="24"/>
        </w:rPr>
        <w:fldChar w:fldCharType="separate"/>
      </w:r>
      <w:r w:rsidR="00A03868">
        <w:rPr>
          <w:szCs w:val="24"/>
        </w:rPr>
        <w:t>(26)</w:t>
      </w:r>
      <w:r w:rsidR="00154582">
        <w:rPr>
          <w:szCs w:val="24"/>
        </w:rPr>
        <w:fldChar w:fldCharType="end"/>
      </w:r>
      <w:r w:rsidR="004A3BC0">
        <w:rPr>
          <w:szCs w:val="24"/>
        </w:rPr>
        <w:t>.</w:t>
      </w:r>
      <w:r w:rsidR="00932C44" w:rsidRPr="005533A9">
        <w:t xml:space="preserve"> Had hypon</w:t>
      </w:r>
      <w:r w:rsidR="00A219CF">
        <w:t>atraemi</w:t>
      </w:r>
      <w:r w:rsidR="00FF7FA5">
        <w:t>a</w:t>
      </w:r>
      <w:r w:rsidR="00932C44" w:rsidRPr="005533A9">
        <w:t xml:space="preserve"> been </w:t>
      </w:r>
      <w:r w:rsidR="00686103">
        <w:t xml:space="preserve">more </w:t>
      </w:r>
      <w:r w:rsidR="00932C44" w:rsidRPr="005533A9">
        <w:t>actively managed</w:t>
      </w:r>
      <w:r w:rsidR="00C51C60">
        <w:t>,</w:t>
      </w:r>
      <w:r w:rsidR="009D62F9">
        <w:t xml:space="preserve"> </w:t>
      </w:r>
      <w:r w:rsidR="00E2313C">
        <w:t>t</w:t>
      </w:r>
      <w:r w:rsidR="00932C44" w:rsidRPr="005533A9">
        <w:t>he expert panel would have found establishing v</w:t>
      </w:r>
      <w:r w:rsidR="00000148">
        <w:t>olaemi</w:t>
      </w:r>
      <w:r w:rsidR="00FF7FA5">
        <w:t>c</w:t>
      </w:r>
      <w:r w:rsidR="00932C44" w:rsidRPr="005533A9">
        <w:t xml:space="preserve"> state according to TBW much simpler</w:t>
      </w:r>
      <w:r w:rsidR="00686103">
        <w:t xml:space="preserve">. </w:t>
      </w:r>
    </w:p>
    <w:p w:rsidR="00587BE7" w:rsidRDefault="00587BE7" w:rsidP="00E149D5"/>
    <w:p w:rsidR="00932C44" w:rsidRDefault="00623E68" w:rsidP="005C411E">
      <w:r>
        <w:t xml:space="preserve">Secondly, </w:t>
      </w:r>
      <w:r w:rsidR="001B2293">
        <w:t>l</w:t>
      </w:r>
      <w:r w:rsidR="00932C44" w:rsidRPr="002E7D0A">
        <w:t xml:space="preserve">ack of daily weights resulted in deviation from recommended BIA user guidelines and </w:t>
      </w:r>
      <w:r w:rsidR="00932C44">
        <w:t>may</w:t>
      </w:r>
      <w:r w:rsidR="00932C44" w:rsidRPr="002E7D0A">
        <w:t xml:space="preserve"> have a</w:t>
      </w:r>
      <w:r w:rsidR="00932C44">
        <w:t>ffected the accuracy of</w:t>
      </w:r>
      <w:r w:rsidR="00932C44" w:rsidRPr="002E7D0A">
        <w:t xml:space="preserve"> TBW readings</w:t>
      </w:r>
      <w:r w:rsidR="00932C44">
        <w:t>.</w:t>
      </w:r>
      <w:r w:rsidR="00932C44" w:rsidRPr="002E7D0A">
        <w:t xml:space="preserve"> </w:t>
      </w:r>
      <w:r w:rsidR="00932C44">
        <w:t>H</w:t>
      </w:r>
      <w:r w:rsidR="00932C44" w:rsidRPr="002E7D0A">
        <w:t>owever</w:t>
      </w:r>
      <w:r w:rsidR="005C7904">
        <w:t>,</w:t>
      </w:r>
      <w:r w:rsidR="00932C44" w:rsidRPr="002E7D0A">
        <w:t xml:space="preserve"> </w:t>
      </w:r>
      <w:r w:rsidR="004A3BC0">
        <w:t>from our</w:t>
      </w:r>
      <w:r>
        <w:t xml:space="preserve"> experience of BIA</w:t>
      </w:r>
      <w:r w:rsidR="005C7904">
        <w:t>,</w:t>
      </w:r>
      <w:r>
        <w:t xml:space="preserve"> we </w:t>
      </w:r>
      <w:r w:rsidR="00932C44" w:rsidRPr="002E7D0A">
        <w:t xml:space="preserve">hypothesized </w:t>
      </w:r>
      <w:r w:rsidR="00932C44">
        <w:t>that daily weighing</w:t>
      </w:r>
      <w:r w:rsidR="00932C44" w:rsidRPr="002E7D0A">
        <w:t xml:space="preserve"> </w:t>
      </w:r>
      <w:r w:rsidR="001B2293">
        <w:t>may be</w:t>
      </w:r>
      <w:r>
        <w:t xml:space="preserve"> </w:t>
      </w:r>
      <w:r w:rsidR="00932C44" w:rsidRPr="002E7D0A">
        <w:t>unnecessar</w:t>
      </w:r>
      <w:r w:rsidR="00E71DD1">
        <w:t xml:space="preserve">y </w:t>
      </w:r>
      <w:r w:rsidR="00154582">
        <w:fldChar w:fldCharType="begin"/>
      </w:r>
      <w:r w:rsidR="0008395D">
        <w:instrText>ADDIN RW.CITE{{125 Hoyle,G.E. 2011}}</w:instrText>
      </w:r>
      <w:r w:rsidR="00154582">
        <w:fldChar w:fldCharType="separate"/>
      </w:r>
      <w:r w:rsidR="00A03868">
        <w:t>(8)</w:t>
      </w:r>
      <w:r w:rsidR="00154582">
        <w:fldChar w:fldCharType="end"/>
      </w:r>
      <w:r w:rsidR="00E71DD1">
        <w:t>.</w:t>
      </w:r>
      <w:r w:rsidR="00932C44">
        <w:t xml:space="preserve"> T</w:t>
      </w:r>
      <w:r>
        <w:t xml:space="preserve">his is because </w:t>
      </w:r>
      <w:r w:rsidR="001B2293">
        <w:t xml:space="preserve">patient weight in this setting is expected to change little day to day and, in any case, </w:t>
      </w:r>
      <w:r>
        <w:t xml:space="preserve">BIA </w:t>
      </w:r>
      <w:r w:rsidR="00932C44">
        <w:t>provide</w:t>
      </w:r>
      <w:r>
        <w:t>s</w:t>
      </w:r>
      <w:r w:rsidR="00932C44">
        <w:t xml:space="preserve"> </w:t>
      </w:r>
      <w:r>
        <w:t>measurement</w:t>
      </w:r>
      <w:r w:rsidR="00932C44">
        <w:t xml:space="preserve"> of extra-cellular water </w:t>
      </w:r>
      <w:r w:rsidR="005C7904">
        <w:t xml:space="preserve">that is </w:t>
      </w:r>
      <w:r>
        <w:t>independent of weight.</w:t>
      </w:r>
      <w:r w:rsidR="00932C44">
        <w:t xml:space="preserve"> </w:t>
      </w:r>
      <w:r w:rsidR="001B2293">
        <w:t>Nevertheless, t</w:t>
      </w:r>
      <w:r w:rsidR="00932C44" w:rsidRPr="002E7D0A">
        <w:t xml:space="preserve">his limitation will have </w:t>
      </w:r>
      <w:r w:rsidR="00932C44">
        <w:t>had some effect on</w:t>
      </w:r>
      <w:r w:rsidR="00932C44" w:rsidRPr="002E7D0A">
        <w:t xml:space="preserve"> TBW readings and </w:t>
      </w:r>
      <w:r w:rsidR="001B2293">
        <w:t xml:space="preserve">probably </w:t>
      </w:r>
      <w:r w:rsidR="00932C44">
        <w:t>a</w:t>
      </w:r>
      <w:r w:rsidR="001B2293">
        <w:t>dversely affected the accurac</w:t>
      </w:r>
      <w:r w:rsidR="00932C44">
        <w:t>y of BIA</w:t>
      </w:r>
      <w:r w:rsidR="001B2293">
        <w:t xml:space="preserve">, </w:t>
      </w:r>
      <w:r w:rsidR="00932C44">
        <w:t xml:space="preserve">so as to arguably underestimate the level of agreement </w:t>
      </w:r>
      <w:r w:rsidR="005C7904">
        <w:t xml:space="preserve">with the expert </w:t>
      </w:r>
      <w:r w:rsidR="005C7904">
        <w:lastRenderedPageBreak/>
        <w:t>panel</w:t>
      </w:r>
      <w:r w:rsidR="00932C44">
        <w:t xml:space="preserve">. Therefore, the </w:t>
      </w:r>
      <w:r w:rsidR="005C7904">
        <w:t xml:space="preserve">main finding about the </w:t>
      </w:r>
      <w:r w:rsidR="00932C44">
        <w:t xml:space="preserve">clinical utility </w:t>
      </w:r>
      <w:r w:rsidR="004A2E84">
        <w:t xml:space="preserve">of BIA </w:t>
      </w:r>
      <w:r w:rsidR="005C7904">
        <w:t xml:space="preserve">is likely to </w:t>
      </w:r>
      <w:r w:rsidR="00932C44">
        <w:t xml:space="preserve">remain valid. </w:t>
      </w:r>
      <w:r w:rsidR="001B2293">
        <w:t xml:space="preserve">Other factors may also have resulted in underestimating </w:t>
      </w:r>
      <w:r w:rsidR="005C7904">
        <w:t>the true clinical utility of BIA</w:t>
      </w:r>
      <w:r w:rsidR="001B2293">
        <w:t>.</w:t>
      </w:r>
      <w:r w:rsidR="00932C44">
        <w:t xml:space="preserve"> </w:t>
      </w:r>
      <w:r w:rsidR="001B2293">
        <w:t>The Cohen’s k</w:t>
      </w:r>
      <w:r w:rsidR="001B2293" w:rsidRPr="002E7D0A">
        <w:t>appa value</w:t>
      </w:r>
      <w:r w:rsidR="001B2293">
        <w:t xml:space="preserve"> which we report</w:t>
      </w:r>
      <w:r w:rsidR="001B2293" w:rsidRPr="002E7D0A">
        <w:t xml:space="preserve">, </w:t>
      </w:r>
      <w:r w:rsidR="001B2293">
        <w:t>0.</w:t>
      </w:r>
      <w:r w:rsidR="001B2293" w:rsidRPr="002E7D0A">
        <w:t xml:space="preserve">52, represents agreement </w:t>
      </w:r>
      <w:r w:rsidR="001B2293">
        <w:t>with the expert panel in 21 out of</w:t>
      </w:r>
      <w:r w:rsidR="001B2293" w:rsidRPr="002E7D0A">
        <w:t xml:space="preserve"> </w:t>
      </w:r>
      <w:r w:rsidR="001B2293">
        <w:t xml:space="preserve">26 </w:t>
      </w:r>
      <w:r w:rsidR="001B2293" w:rsidRPr="002E7D0A">
        <w:t>cases</w:t>
      </w:r>
      <w:r w:rsidR="001B2293">
        <w:t xml:space="preserve">, </w:t>
      </w:r>
      <w:r w:rsidR="00592AF7">
        <w:t xml:space="preserve">but the modest figure reflects </w:t>
      </w:r>
      <w:r w:rsidR="001B2293">
        <w:t xml:space="preserve">the high weighting of errors in Cohen’s kappa calculations </w:t>
      </w:r>
      <w:r w:rsidR="00154582">
        <w:fldChar w:fldCharType="begin"/>
      </w:r>
      <w:r w:rsidR="0023773E">
        <w:instrText>ADDIN RW.CITE{{258 Gwet 2008}}</w:instrText>
      </w:r>
      <w:r w:rsidR="00154582">
        <w:fldChar w:fldCharType="separate"/>
      </w:r>
      <w:r w:rsidR="001B2293">
        <w:t>(18)</w:t>
      </w:r>
      <w:r w:rsidR="00154582">
        <w:fldChar w:fldCharType="end"/>
      </w:r>
      <w:r w:rsidR="001B2293">
        <w:t xml:space="preserve">. </w:t>
      </w:r>
      <w:r w:rsidR="005C7904">
        <w:t>Also</w:t>
      </w:r>
      <w:r w:rsidR="00592AF7">
        <w:t>, it is possible that the expert panel's determination of v</w:t>
      </w:r>
      <w:r w:rsidR="00000148">
        <w:t>olaemi</w:t>
      </w:r>
      <w:r w:rsidR="00FF7FA5">
        <w:t>c</w:t>
      </w:r>
      <w:r w:rsidR="00592AF7">
        <w:t xml:space="preserve"> state may have been erronous, owing to incomplete data or ascertainment bias, and that BIA may have provided the more accurate assessment, but there is presently no better ‘gold standard’. </w:t>
      </w:r>
    </w:p>
    <w:p w:rsidR="00623E68" w:rsidRDefault="00623E68" w:rsidP="005C411E"/>
    <w:p w:rsidR="004A3BC0" w:rsidRDefault="00F91476" w:rsidP="004A3BC0">
      <w:r>
        <w:rPr>
          <w:rFonts w:cs="Calibri"/>
          <w:szCs w:val="24"/>
        </w:rPr>
        <w:t>Lastly, this single-</w:t>
      </w:r>
      <w:r w:rsidR="004A3BC0">
        <w:rPr>
          <w:rFonts w:cs="Calibri"/>
          <w:szCs w:val="24"/>
        </w:rPr>
        <w:t xml:space="preserve">centre study with a small sample of cases (N=33) may be subject to selection and sampling bias. Furthermore, adults with incapacity who comprise a significant proportion </w:t>
      </w:r>
      <w:r w:rsidR="005C7904">
        <w:rPr>
          <w:rFonts w:cs="Calibri"/>
          <w:szCs w:val="24"/>
        </w:rPr>
        <w:t>of EPFF had to be</w:t>
      </w:r>
      <w:r w:rsidR="004A3BC0">
        <w:rPr>
          <w:rFonts w:cs="Calibri"/>
          <w:szCs w:val="24"/>
        </w:rPr>
        <w:t xml:space="preserve"> excluded on advice from the research ethics committee. Arguably</w:t>
      </w:r>
      <w:r w:rsidR="00165298">
        <w:rPr>
          <w:rFonts w:cs="Calibri"/>
          <w:szCs w:val="24"/>
        </w:rPr>
        <w:t>,</w:t>
      </w:r>
      <w:r w:rsidR="004A3BC0">
        <w:rPr>
          <w:rFonts w:cs="Calibri"/>
          <w:szCs w:val="24"/>
        </w:rPr>
        <w:t xml:space="preserve"> these patients may benefit most from improved clinical management of hyponat</w:t>
      </w:r>
      <w:r w:rsidR="00FF7FA5">
        <w:rPr>
          <w:rFonts w:cs="Calibri"/>
          <w:szCs w:val="24"/>
        </w:rPr>
        <w:t>emia</w:t>
      </w:r>
      <w:r w:rsidR="004A3BC0">
        <w:rPr>
          <w:rFonts w:cs="Calibri"/>
          <w:szCs w:val="24"/>
        </w:rPr>
        <w:t xml:space="preserve">, </w:t>
      </w:r>
      <w:r w:rsidR="00165298">
        <w:rPr>
          <w:rFonts w:cs="Calibri"/>
          <w:szCs w:val="24"/>
        </w:rPr>
        <w:t>and hypon</w:t>
      </w:r>
      <w:r w:rsidR="00A219CF">
        <w:rPr>
          <w:rFonts w:cs="Calibri"/>
          <w:szCs w:val="24"/>
        </w:rPr>
        <w:t>atraemi</w:t>
      </w:r>
      <w:r w:rsidR="00FF7FA5">
        <w:rPr>
          <w:rFonts w:cs="Calibri"/>
          <w:szCs w:val="24"/>
        </w:rPr>
        <w:t>a</w:t>
      </w:r>
      <w:r w:rsidR="004A3BC0">
        <w:rPr>
          <w:rFonts w:cs="Calibri"/>
          <w:szCs w:val="24"/>
        </w:rPr>
        <w:t xml:space="preserve"> </w:t>
      </w:r>
      <w:r w:rsidR="00165298">
        <w:rPr>
          <w:rFonts w:cs="Calibri"/>
          <w:szCs w:val="24"/>
        </w:rPr>
        <w:t xml:space="preserve">itself </w:t>
      </w:r>
      <w:r w:rsidR="004A3BC0">
        <w:rPr>
          <w:rFonts w:cs="Calibri"/>
          <w:szCs w:val="24"/>
        </w:rPr>
        <w:t>may be the cause of cognitive impairment</w:t>
      </w:r>
      <w:r w:rsidR="00165298">
        <w:rPr>
          <w:rFonts w:cs="Calibri"/>
          <w:szCs w:val="24"/>
        </w:rPr>
        <w:t xml:space="preserve"> in some cases</w:t>
      </w:r>
      <w:r w:rsidR="004A3BC0">
        <w:rPr>
          <w:rFonts w:cs="Calibri"/>
          <w:szCs w:val="24"/>
        </w:rPr>
        <w:t>. Their inclusion in this area of research should therefore be routine</w:t>
      </w:r>
      <w:r w:rsidR="00FA0350">
        <w:rPr>
          <w:rFonts w:cs="Calibri"/>
          <w:szCs w:val="24"/>
        </w:rPr>
        <w:t xml:space="preserve"> and we would like to see our findings confirmed in a larger </w:t>
      </w:r>
      <w:r w:rsidR="00A14EF5">
        <w:rPr>
          <w:rFonts w:cs="Calibri"/>
          <w:szCs w:val="24"/>
        </w:rPr>
        <w:t xml:space="preserve">multi-centre </w:t>
      </w:r>
      <w:r w:rsidR="00FA0350">
        <w:rPr>
          <w:rFonts w:cs="Calibri"/>
          <w:szCs w:val="24"/>
        </w:rPr>
        <w:t>study that included adults with incapacity</w:t>
      </w:r>
      <w:r w:rsidR="004A3BC0">
        <w:rPr>
          <w:rFonts w:cs="Calibri"/>
          <w:szCs w:val="24"/>
        </w:rPr>
        <w:t xml:space="preserve">.  </w:t>
      </w:r>
    </w:p>
    <w:p w:rsidR="008D3FBF" w:rsidRDefault="008D3FBF" w:rsidP="005C411E"/>
    <w:p w:rsidR="00F40826" w:rsidRDefault="000C7F4E" w:rsidP="00B300AD">
      <w:pPr>
        <w:divId w:val="1331567491"/>
        <w:rPr>
          <w:rFonts w:cs="Calibri"/>
        </w:rPr>
      </w:pPr>
      <w:r>
        <w:t>Despite these limitations</w:t>
      </w:r>
      <w:r w:rsidR="008D3FBF">
        <w:t>, this study is is the first to determine the level of agreement between an expert panel and both BIA and standard</w:t>
      </w:r>
      <w:r w:rsidR="00592AF7">
        <w:t xml:space="preserve"> clinical</w:t>
      </w:r>
      <w:r w:rsidR="008D3FBF">
        <w:t xml:space="preserve"> assessment of hydration. The expertise of our panel not only </w:t>
      </w:r>
      <w:r>
        <w:t xml:space="preserve">provided </w:t>
      </w:r>
      <w:r w:rsidR="005C7904">
        <w:t xml:space="preserve">the highest possible degree of </w:t>
      </w:r>
      <w:r w:rsidR="008D3FBF">
        <w:t>quality assurance in</w:t>
      </w:r>
      <w:r w:rsidR="005C7904">
        <w:t xml:space="preserve"> the </w:t>
      </w:r>
      <w:r w:rsidR="00FA0350">
        <w:t>determination</w:t>
      </w:r>
      <w:r w:rsidR="008D3FBF">
        <w:t xml:space="preserve"> of </w:t>
      </w:r>
      <w:r w:rsidR="00FA0350">
        <w:t xml:space="preserve">the </w:t>
      </w:r>
      <w:r w:rsidR="008D3FBF">
        <w:t>v</w:t>
      </w:r>
      <w:r w:rsidR="00000148">
        <w:t>olaemi</w:t>
      </w:r>
      <w:r w:rsidR="00FF7FA5">
        <w:t>c</w:t>
      </w:r>
      <w:r w:rsidR="008D3FBF">
        <w:t xml:space="preserve"> state of hypon</w:t>
      </w:r>
      <w:r w:rsidR="00A219CF">
        <w:t>atraemi</w:t>
      </w:r>
      <w:r w:rsidR="00FF7FA5">
        <w:t>a</w:t>
      </w:r>
      <w:r w:rsidR="005C7904">
        <w:t>,</w:t>
      </w:r>
      <w:r w:rsidR="008D3FBF">
        <w:t xml:space="preserve"> but </w:t>
      </w:r>
      <w:r w:rsidR="005C7904">
        <w:t xml:space="preserve">also </w:t>
      </w:r>
      <w:r w:rsidR="008D3FBF">
        <w:t xml:space="preserve">allowed </w:t>
      </w:r>
      <w:r w:rsidR="00FA0350">
        <w:t xml:space="preserve">the best possible </w:t>
      </w:r>
      <w:r w:rsidR="008D3FBF">
        <w:t xml:space="preserve">assessment in cases lacking all data. </w:t>
      </w:r>
      <w:r w:rsidR="005C7904">
        <w:t>Our results show</w:t>
      </w:r>
      <w:r w:rsidR="008D3FBF">
        <w:t xml:space="preserve"> that BIA holds great potential to improve clinical management of hypon</w:t>
      </w:r>
      <w:r w:rsidR="00A219CF">
        <w:t>atraemi</w:t>
      </w:r>
      <w:r w:rsidR="00FF7FA5">
        <w:t>a</w:t>
      </w:r>
      <w:r w:rsidR="008D3FBF">
        <w:t>. Further research with improved data avaliability</w:t>
      </w:r>
      <w:r>
        <w:t xml:space="preserve"> </w:t>
      </w:r>
      <w:r w:rsidR="00FA0350">
        <w:t xml:space="preserve">and </w:t>
      </w:r>
      <w:r>
        <w:t>a larger sample size</w:t>
      </w:r>
      <w:r w:rsidR="00FA0350">
        <w:t xml:space="preserve"> including adults with incapacity to consent is needed</w:t>
      </w:r>
      <w:r w:rsidR="008D3FBF">
        <w:t xml:space="preserve"> to </w:t>
      </w:r>
      <w:r w:rsidR="00FA0350">
        <w:t xml:space="preserve">confirm </w:t>
      </w:r>
      <w:r w:rsidR="008D3FBF">
        <w:t xml:space="preserve">the </w:t>
      </w:r>
      <w:r w:rsidR="00FA0350">
        <w:t>clinical valid</w:t>
      </w:r>
      <w:r w:rsidR="008D3FBF">
        <w:t>ity</w:t>
      </w:r>
      <w:r w:rsidR="005C7904">
        <w:t xml:space="preserve"> implied in our study</w:t>
      </w:r>
      <w:r w:rsidR="008D3FBF">
        <w:t>.</w:t>
      </w:r>
      <w:r w:rsidR="005C7904">
        <w:t xml:space="preserve"> </w:t>
      </w:r>
      <w:r w:rsidR="00FA0350">
        <w:t xml:space="preserve">The utility of BIA for managing </w:t>
      </w:r>
      <w:r w:rsidR="00FA0350">
        <w:lastRenderedPageBreak/>
        <w:t>hypon</w:t>
      </w:r>
      <w:r w:rsidR="00A219CF">
        <w:t>atraemi</w:t>
      </w:r>
      <w:r w:rsidR="00FF7FA5">
        <w:t>a</w:t>
      </w:r>
      <w:r w:rsidR="00FA0350">
        <w:t xml:space="preserve"> in other settings should also be investigated. Meanwhile, w</w:t>
      </w:r>
      <w:r w:rsidR="00330946">
        <w:t>e suggest</w:t>
      </w:r>
      <w:r w:rsidR="00932C44">
        <w:t xml:space="preserve"> that </w:t>
      </w:r>
      <w:r w:rsidR="00FA0350">
        <w:t>BIA c</w:t>
      </w:r>
      <w:r w:rsidR="00330946">
        <w:t>ould be used as an</w:t>
      </w:r>
      <w:r w:rsidR="00932C44" w:rsidRPr="002E7D0A">
        <w:t xml:space="preserve"> adjunct to </w:t>
      </w:r>
      <w:r w:rsidR="00330946">
        <w:t>current</w:t>
      </w:r>
      <w:r w:rsidR="00932C44" w:rsidRPr="002E7D0A">
        <w:t xml:space="preserve"> clinical and laboratory methods</w:t>
      </w:r>
      <w:r w:rsidR="00330946">
        <w:t xml:space="preserve"> in the management of hypon</w:t>
      </w:r>
      <w:r w:rsidR="00A219CF">
        <w:t>atraemi</w:t>
      </w:r>
      <w:r w:rsidR="00FF7FA5">
        <w:t>a</w:t>
      </w:r>
      <w:r w:rsidR="00FA0350">
        <w:t xml:space="preserve"> in EPFF</w:t>
      </w:r>
      <w:r w:rsidR="00932C44">
        <w:t>.</w:t>
      </w:r>
      <w:r w:rsidR="008D3FBF">
        <w:t xml:space="preserve"> </w:t>
      </w:r>
    </w:p>
    <w:p w:rsidR="00B300AD" w:rsidRDefault="00A219CF">
      <w:pPr>
        <w:spacing w:line="240" w:lineRule="auto"/>
        <w:jc w:val="left"/>
        <w:rPr>
          <w:rFonts w:cs="Calibri"/>
          <w:b/>
          <w:szCs w:val="24"/>
        </w:rPr>
      </w:pPr>
      <w:r>
        <w:rPr>
          <w:rFonts w:cs="Calibri"/>
          <w:b/>
          <w:szCs w:val="24"/>
        </w:rPr>
        <w:t>Funding</w:t>
      </w:r>
    </w:p>
    <w:p w:rsidR="00A219CF" w:rsidRDefault="00A219CF">
      <w:pPr>
        <w:spacing w:line="240" w:lineRule="auto"/>
        <w:jc w:val="left"/>
        <w:rPr>
          <w:rFonts w:cs="Calibri"/>
          <w:b/>
          <w:szCs w:val="24"/>
        </w:rPr>
      </w:pPr>
    </w:p>
    <w:p w:rsidR="00A219CF" w:rsidRPr="00A219CF" w:rsidRDefault="00A219CF" w:rsidP="0010658F">
      <w:pPr>
        <w:jc w:val="left"/>
      </w:pPr>
      <w:r w:rsidRPr="00A219CF">
        <w:rPr>
          <w:rFonts w:cs="Calibri"/>
          <w:szCs w:val="24"/>
        </w:rPr>
        <w:t xml:space="preserve">This work is supported by </w:t>
      </w:r>
      <w:r w:rsidRPr="00A219CF">
        <w:t xml:space="preserve">an NHS Research Scotland (NRS) Career Research Fellowship </w:t>
      </w:r>
      <w:r>
        <w:t xml:space="preserve">to </w:t>
      </w:r>
      <w:r w:rsidRPr="00A219CF">
        <w:t xml:space="preserve"> </w:t>
      </w:r>
      <w:r>
        <w:t>RLS.</w:t>
      </w:r>
      <w:r w:rsidR="002D067A">
        <w:t xml:space="preserve"> </w:t>
      </w:r>
    </w:p>
    <w:p w:rsidR="00A219CF" w:rsidRDefault="00A219CF" w:rsidP="0010658F">
      <w:pPr>
        <w:jc w:val="left"/>
        <w:rPr>
          <w:rFonts w:cs="Calibri"/>
          <w:b/>
          <w:szCs w:val="24"/>
        </w:rPr>
      </w:pPr>
    </w:p>
    <w:p w:rsidR="00720A1B" w:rsidRPr="002D067A" w:rsidRDefault="002D067A" w:rsidP="00720A1B">
      <w:pPr>
        <w:rPr>
          <w:b/>
        </w:rPr>
      </w:pPr>
      <w:r w:rsidRPr="002D067A">
        <w:rPr>
          <w:b/>
        </w:rPr>
        <w:t>Ethical Standards</w:t>
      </w:r>
    </w:p>
    <w:p w:rsidR="002D067A" w:rsidRDefault="002D067A" w:rsidP="00720A1B">
      <w:r>
        <w:t xml:space="preserve">This study conforms with the ethical standards in the United Kingdom and has been reviewed by Scotland ‘A’ Research Ethics Committee. </w:t>
      </w:r>
    </w:p>
    <w:p w:rsidR="002D067A" w:rsidRDefault="002D067A" w:rsidP="00720A1B">
      <w:pPr>
        <w:sectPr w:rsidR="002D067A" w:rsidSect="00B02E4C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:rsidR="00F40826" w:rsidRPr="00720A1B" w:rsidRDefault="00F40826" w:rsidP="00720A1B">
      <w:pPr>
        <w:divId w:val="1331567491"/>
        <w:rPr>
          <w:b/>
        </w:rPr>
      </w:pPr>
      <w:r w:rsidRPr="00720A1B">
        <w:rPr>
          <w:b/>
        </w:rPr>
        <w:lastRenderedPageBreak/>
        <w:t>References</w:t>
      </w:r>
    </w:p>
    <w:p w:rsidR="00B02E4C" w:rsidRDefault="00154582" w:rsidP="00B02E4C">
      <w:pPr>
        <w:pStyle w:val="NormalWeb"/>
      </w:pPr>
      <w:r>
        <w:fldChar w:fldCharType="begin"/>
      </w:r>
      <w:r w:rsidR="00B02E4C">
        <w:instrText>ADDIN RW.BIB</w:instrText>
      </w:r>
      <w:r>
        <w:fldChar w:fldCharType="separate"/>
      </w:r>
      <w:r w:rsidR="00B02E4C">
        <w:t xml:space="preserve">(1) Soiza RL, Hoyle GE, Chua MPW. Electrolyte and salt disturbances in older people: causes, management and implications. Reviews in Clinical Gerontology 2008 May;18(2):143-158. </w:t>
      </w:r>
    </w:p>
    <w:p w:rsidR="00B02E4C" w:rsidRDefault="00B02E4C" w:rsidP="00B02E4C">
      <w:pPr>
        <w:pStyle w:val="NormalWeb"/>
      </w:pPr>
      <w:r>
        <w:t xml:space="preserve">(2) Gankam Kengne F, Andres C, Sattar L, Melot C, Decaux G. Mild hyponatremia and risk of fracture in the ambulatory elderly. QJM 2008 Jul;101(7):583-588. </w:t>
      </w:r>
    </w:p>
    <w:p w:rsidR="00B02E4C" w:rsidRDefault="00B02E4C" w:rsidP="00B02E4C">
      <w:pPr>
        <w:pStyle w:val="NormalWeb"/>
      </w:pPr>
      <w:r>
        <w:t xml:space="preserve">(3) Soiza RL, Talbot HSC. Management of hyponatraemia in older people: old threats and new opportunities. Therapeutic Advances in Drug Safety 2011 February 01;2(1):9-17. </w:t>
      </w:r>
    </w:p>
    <w:p w:rsidR="00B02E4C" w:rsidRDefault="00B02E4C" w:rsidP="00B02E4C">
      <w:pPr>
        <w:pStyle w:val="NormalWeb"/>
      </w:pPr>
      <w:r>
        <w:t xml:space="preserve">(4) Ayus JC, Moritz ML. Bone disease as a new complication of hyponatremia: moving beyond brain injury. Clinical Journal of The American Society of Nephrology: CJASN 2010 Feb;5(2):167-168. </w:t>
      </w:r>
    </w:p>
    <w:p w:rsidR="00B02E4C" w:rsidRDefault="00B02E4C" w:rsidP="00B02E4C">
      <w:pPr>
        <w:pStyle w:val="NormalWeb"/>
      </w:pPr>
      <w:r>
        <w:t xml:space="preserve">(5) Tolouian R, Alhamad T, Farazmand M, Mulla ZD. The correlation of hip fracture and hyponatremia in the elderly. J Nephrol 2012 Sep-Oct;25(5):789-793. </w:t>
      </w:r>
    </w:p>
    <w:p w:rsidR="00B02E4C" w:rsidRDefault="00B02E4C" w:rsidP="00B02E4C">
      <w:pPr>
        <w:pStyle w:val="NormalWeb"/>
      </w:pPr>
      <w:r>
        <w:t xml:space="preserve">(6) Chua M, Hoyle GE, Soiza RL. Prognostic implications of hyponatremia in elderly hospitalized patients. Archives of Gerontology and Geriatrics; 2007 45: 3, 253-258. </w:t>
      </w:r>
    </w:p>
    <w:p w:rsidR="00B02E4C" w:rsidRDefault="00B02E4C" w:rsidP="00B02E4C">
      <w:pPr>
        <w:pStyle w:val="NormalWeb"/>
      </w:pPr>
      <w:r>
        <w:t xml:space="preserve">(7) Shapiro DS, Sonnenblick M, Galperin I, Melkonyan L, Munter G. Severe hyponatraemia in elderly hospitalized patients: Prevalence, aetiology and outcome. Intern Med J 2010 August 2010;40(8):574-580. </w:t>
      </w:r>
    </w:p>
    <w:p w:rsidR="00B02E4C" w:rsidRDefault="00B02E4C" w:rsidP="00B02E4C">
      <w:pPr>
        <w:pStyle w:val="NormalWeb"/>
      </w:pPr>
      <w:r>
        <w:t xml:space="preserve">(8) Hoyle GE, Chua M, Soiza RL. Volaemic assessment of the elderly hyponatraemic patient: reliability of clinical assessment and validation of bioelectrical impedance analysis. QJM 2011 Jan;104(1):35-39. </w:t>
      </w:r>
    </w:p>
    <w:p w:rsidR="00B02E4C" w:rsidRDefault="00B02E4C" w:rsidP="00B02E4C">
      <w:pPr>
        <w:pStyle w:val="NormalWeb"/>
      </w:pPr>
      <w:r>
        <w:t xml:space="preserve">(9) Soiza RL, Hoyle GE. Syndrome of appropriate antidiuretic hormone: difficulties with diagnosing syndrome of inappropriate antidiuretic hormone in older people. Intern Med J 2011 March;41(3):295. </w:t>
      </w:r>
    </w:p>
    <w:p w:rsidR="00B02E4C" w:rsidRDefault="00B02E4C" w:rsidP="00B02E4C">
      <w:pPr>
        <w:pStyle w:val="NormalWeb"/>
      </w:pPr>
      <w:r>
        <w:t xml:space="preserve">(10) Fenske W, Maier SKG, Blechschmidt A, Allolio B, Störk S. Utility and Limitations of the Traditional Diagnostic Approach to Hyponatremia: A Diagnostic Study. Am J Med 2010 7;123(7):652-657. </w:t>
      </w:r>
    </w:p>
    <w:p w:rsidR="00B02E4C" w:rsidRDefault="00B02E4C" w:rsidP="00B02E4C">
      <w:pPr>
        <w:pStyle w:val="NormalWeb"/>
      </w:pPr>
      <w:r>
        <w:t xml:space="preserve">(11) Clayton JA, Le Jeune IR, Hall IP. Severe hyponatraemia in medical in-patients: aetiology, assessment and outcome. QJM 2006 August;99(8):505-511. </w:t>
      </w:r>
    </w:p>
    <w:p w:rsidR="00B02E4C" w:rsidRDefault="00B02E4C" w:rsidP="00B02E4C">
      <w:pPr>
        <w:pStyle w:val="NormalWeb"/>
      </w:pPr>
      <w:r>
        <w:t xml:space="preserve">(12) Tambe AA, Hill R, Livesley PJ. Post-operative hyponatraemia in orthopaedic injury. Injury 2003 May;34(4):253-255. </w:t>
      </w:r>
    </w:p>
    <w:p w:rsidR="00B02E4C" w:rsidRDefault="00B02E4C" w:rsidP="00B02E4C">
      <w:pPr>
        <w:pStyle w:val="NormalWeb"/>
      </w:pPr>
      <w:r>
        <w:t xml:space="preserve">(13) Olde Rikkert MGM, Deurenberg P, Jansen RWMM, van't Hof MA, Hoefnagels WHL. Validation of Multi-Frequency Bioelectrical Impedance Analysis in Detecting Changes in Fluid Balance of Geriatric Patients. J Am Geriatr Soc 1997 November;45(11):1345-1351. </w:t>
      </w:r>
    </w:p>
    <w:p w:rsidR="00B02E4C" w:rsidRDefault="00B02E4C" w:rsidP="00B02E4C">
      <w:pPr>
        <w:pStyle w:val="NormalWeb"/>
      </w:pPr>
      <w:r>
        <w:lastRenderedPageBreak/>
        <w:t xml:space="preserve">(14) Kyle UG, Bosaeus I, Lorenzo ADd, Deurenberg P, Elia M, Gomez JM, et al. Bioelectrical impedance analysis - Part II: Utilization in clinical practice. Clinical Nutrition; 2004.23: 6, 1430-1453 126 ref. </w:t>
      </w:r>
    </w:p>
    <w:p w:rsidR="00B02E4C" w:rsidRDefault="00B02E4C" w:rsidP="00B02E4C">
      <w:pPr>
        <w:pStyle w:val="NormalWeb"/>
      </w:pPr>
      <w:r>
        <w:t xml:space="preserve">(15) Kyle UG, Bosaeus I, Lorenzo ADd, Deurenberg P, Elia M, Gomez JM, et al. Bioelectrical impedance analysis - Part I: Review of principles and methods. Clinical Nutrition; 2004.23: 5, 1226-1243 113 ref. </w:t>
      </w:r>
    </w:p>
    <w:p w:rsidR="00B02E4C" w:rsidRDefault="00B02E4C" w:rsidP="00B02E4C">
      <w:pPr>
        <w:pStyle w:val="NormalWeb"/>
      </w:pPr>
      <w:r>
        <w:t xml:space="preserve">(16) Bussolotto M, Ceccon A, Sergi G, Giantin V, Beninca P, Enzi G. Assessment of body composition in elderly: accuracy of bioelectrical impedance analysis. Gerontology 1999 Jan-Feb;45(1):39-43. </w:t>
      </w:r>
    </w:p>
    <w:p w:rsidR="00B02E4C" w:rsidRDefault="00B02E4C" w:rsidP="00B02E4C">
      <w:pPr>
        <w:pStyle w:val="NormalWeb"/>
      </w:pPr>
      <w:r>
        <w:t xml:space="preserve">(17) Landis JR, Koch GG. The measurement of observer agreement for categorical data. Biometrics 1977 1977;33(1):159-174. </w:t>
      </w:r>
    </w:p>
    <w:p w:rsidR="00B02E4C" w:rsidRDefault="00B02E4C" w:rsidP="00B02E4C">
      <w:pPr>
        <w:pStyle w:val="NormalWeb"/>
      </w:pPr>
      <w:r>
        <w:t xml:space="preserve">(18) Gwet, Kilem L. Computing inter-rater reliability and its variance in the presence of high agreement. British Journal of Mathematical &amp; Statistical Psychology 2008 May;61(1):29-48. </w:t>
      </w:r>
    </w:p>
    <w:p w:rsidR="00B02E4C" w:rsidRDefault="00B02E4C" w:rsidP="00B02E4C">
      <w:pPr>
        <w:pStyle w:val="NormalWeb"/>
      </w:pPr>
      <w:r>
        <w:t xml:space="preserve">(19) Verbalis JG, Goldsmith SR, Greenberg A, Schrier RW, Sterns RH. Hyponatremia Treatment Guidelines 2007: Expert Panel Recommendations. Am J Med 2007 11;120(11, Supplement 1):S1-S21. </w:t>
      </w:r>
    </w:p>
    <w:p w:rsidR="00B02E4C" w:rsidRDefault="00B02E4C" w:rsidP="00B02E4C">
      <w:pPr>
        <w:pStyle w:val="NormalWeb"/>
      </w:pPr>
      <w:r>
        <w:t xml:space="preserve">(20) Hoorn EJ, Halperin ML, Zietse R. Diagnostic approach to a patient with hyponatraemia: traditional versus physiology-based options. QJM 2005 July;98(7):529-540. </w:t>
      </w:r>
    </w:p>
    <w:p w:rsidR="00B02E4C" w:rsidRDefault="00B02E4C" w:rsidP="00B02E4C">
      <w:pPr>
        <w:pStyle w:val="NormalWeb"/>
      </w:pPr>
      <w:r>
        <w:t xml:space="preserve">(21) Verbalis JG, Barsony J, Sugimura Y, Tian Y, Adams DJ, Carter EA, et al. Hyponatremia-induced osteoporosis. Journal of Bone &amp; Mineral Research 2010 Mar;25(3):554-563. </w:t>
      </w:r>
    </w:p>
    <w:p w:rsidR="00B02E4C" w:rsidRDefault="00B02E4C" w:rsidP="00B02E4C">
      <w:pPr>
        <w:pStyle w:val="NormalWeb"/>
      </w:pPr>
      <w:r>
        <w:t xml:space="preserve">(22) Hoorn EJ, Rivadeneira F, van Meurs JB, Ziere G, Stricker BH, Hofman A, et al. Mild hyponatremia as a risk factor for fractures: the Rotterdam Study. Journal of Bone &amp; Mineral Research 2011 Aug;26(8):1822-1828. </w:t>
      </w:r>
    </w:p>
    <w:p w:rsidR="00B02E4C" w:rsidRDefault="00B02E4C" w:rsidP="00B02E4C">
      <w:pPr>
        <w:pStyle w:val="NormalWeb"/>
      </w:pPr>
      <w:r>
        <w:t xml:space="preserve">(23) Sandhu HS, Gilles E, DeVita MV, Panagopoulos G, Michelis MF. Hyponatremia associated with large-bone fracture in elderly patients. International Urology &amp; Nephrology 2009;41(3):733-737. </w:t>
      </w:r>
    </w:p>
    <w:p w:rsidR="00B02E4C" w:rsidRDefault="00B02E4C" w:rsidP="00B02E4C">
      <w:pPr>
        <w:pStyle w:val="NormalWeb"/>
      </w:pPr>
      <w:r>
        <w:t xml:space="preserve">(24) Gosch M, Joosten-Gstrein B, Heppner HJ, Lechleitner M. Hyponatremia in geriatric inhospital patients: effects on results of a comprehensive geriatric assessment. Gerontology 2012;58(5):430-440. </w:t>
      </w:r>
    </w:p>
    <w:p w:rsidR="00B02E4C" w:rsidRDefault="00B02E4C" w:rsidP="00B02E4C">
      <w:pPr>
        <w:pStyle w:val="NormalWeb"/>
      </w:pPr>
      <w:r>
        <w:t xml:space="preserve">(25) Saeed BO, Beaumont D, Handley GH, Weaver JU. Severe hyponatraemia: investigation and management in a district general hospital. J Clin Pathol 2002 December;55(12):893-896. </w:t>
      </w:r>
    </w:p>
    <w:p w:rsidR="00B02E4C" w:rsidRDefault="00B02E4C" w:rsidP="00B02E4C">
      <w:pPr>
        <w:pStyle w:val="NormalWeb"/>
      </w:pPr>
      <w:r>
        <w:t xml:space="preserve">(26) Thompson CJ. Hyponatraemia: new associations and new treatments. European Journal of Endocrinology 2010 June 01;162(Suppl1):S1-S3. </w:t>
      </w:r>
    </w:p>
    <w:p w:rsidR="00E638B6" w:rsidRDefault="00154582" w:rsidP="00B02E4C">
      <w:r>
        <w:fldChar w:fldCharType="end"/>
      </w:r>
    </w:p>
    <w:p w:rsidR="00B73325" w:rsidRDefault="00E638B6" w:rsidP="000625CF">
      <w:pPr>
        <w:jc w:val="left"/>
      </w:pPr>
      <w:r>
        <w:br w:type="page"/>
      </w:r>
      <w:r w:rsidR="000625CF">
        <w:lastRenderedPageBreak/>
        <w:t>Figure Legend</w:t>
      </w:r>
    </w:p>
    <w:p w:rsidR="00B73325" w:rsidRDefault="00B73325" w:rsidP="000625CF">
      <w:pPr>
        <w:jc w:val="left"/>
      </w:pPr>
    </w:p>
    <w:p w:rsidR="00B73325" w:rsidRPr="001C671A" w:rsidRDefault="00B73325" w:rsidP="000625CF">
      <w:pPr>
        <w:pStyle w:val="Caption"/>
        <w:spacing w:line="480" w:lineRule="auto"/>
      </w:pPr>
      <w:bookmarkStart w:id="7" w:name="_Toc355594800"/>
      <w:r w:rsidRPr="001C671A">
        <w:rPr>
          <w:color w:val="auto"/>
          <w:sz w:val="24"/>
        </w:rPr>
        <w:t>Figure</w:t>
      </w:r>
      <w:r>
        <w:rPr>
          <w:color w:val="auto"/>
          <w:sz w:val="24"/>
        </w:rPr>
        <w:t xml:space="preserve"> 1:</w:t>
      </w:r>
      <w:r w:rsidRPr="001C671A">
        <w:rPr>
          <w:color w:val="auto"/>
          <w:sz w:val="24"/>
        </w:rPr>
        <w:t xml:space="preserve"> Hyponatraemia diagnostic algorithm</w:t>
      </w:r>
      <w:bookmarkEnd w:id="7"/>
      <w:r>
        <w:rPr>
          <w:color w:val="auto"/>
          <w:sz w:val="24"/>
        </w:rPr>
        <w:t xml:space="preserve">. </w:t>
      </w:r>
      <w:r w:rsidRPr="00B73325">
        <w:rPr>
          <w:color w:val="auto"/>
        </w:rPr>
        <w:t xml:space="preserve">Adapted from Soiza </w:t>
      </w:r>
      <w:r w:rsidRPr="00B73325">
        <w:rPr>
          <w:i/>
          <w:color w:val="auto"/>
        </w:rPr>
        <w:t>et al.</w:t>
      </w:r>
      <w:r w:rsidRPr="00B73325">
        <w:rPr>
          <w:color w:val="auto"/>
        </w:rPr>
        <w:t xml:space="preserve"> (1)</w:t>
      </w:r>
    </w:p>
    <w:p w:rsidR="00B73325" w:rsidRDefault="00B73325" w:rsidP="000625CF">
      <w:pPr>
        <w:jc w:val="left"/>
      </w:pPr>
      <w:r>
        <w:br w:type="page"/>
      </w:r>
    </w:p>
    <w:p w:rsidR="000625CF" w:rsidRDefault="000625CF" w:rsidP="00E638B6">
      <w:pPr>
        <w:spacing w:line="240" w:lineRule="auto"/>
        <w:jc w:val="left"/>
        <w:sectPr w:rsidR="000625CF" w:rsidSect="00B7332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E638B6" w:rsidRDefault="00E638B6" w:rsidP="00E638B6">
      <w:pPr>
        <w:spacing w:line="240" w:lineRule="auto"/>
        <w:jc w:val="left"/>
      </w:pPr>
      <w:r>
        <w:lastRenderedPageBreak/>
        <w:t>Figure 1</w:t>
      </w:r>
    </w:p>
    <w:p w:rsidR="00E638B6" w:rsidRDefault="00E638B6" w:rsidP="00E638B6">
      <w:pPr>
        <w:spacing w:line="240" w:lineRule="auto"/>
        <w:jc w:val="left"/>
      </w:pPr>
    </w:p>
    <w:p w:rsidR="00E638B6" w:rsidRDefault="00E638B6">
      <w:pPr>
        <w:spacing w:line="240" w:lineRule="auto"/>
        <w:jc w:val="left"/>
      </w:pPr>
      <w:r w:rsidRPr="00E638B6">
        <w:rPr>
          <w:noProof/>
        </w:rPr>
        <w:drawing>
          <wp:inline distT="0" distB="0" distL="0" distR="0" wp14:anchorId="7DCE5A3B" wp14:editId="706871E2">
            <wp:extent cx="8094392" cy="4385037"/>
            <wp:effectExtent l="0" t="0" r="1858" b="0"/>
            <wp:docPr id="3" name="Picture 1" descr="1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55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4392" cy="43850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0625CF" w:rsidRDefault="000625CF" w:rsidP="00B73325">
      <w:pPr>
        <w:jc w:val="left"/>
        <w:sectPr w:rsidR="000625CF" w:rsidSect="000625CF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:rsidR="00B73325" w:rsidRDefault="00B73325" w:rsidP="00B73325">
      <w:pPr>
        <w:jc w:val="left"/>
      </w:pPr>
      <w:r>
        <w:lastRenderedPageBreak/>
        <w:t>Table Legends</w:t>
      </w:r>
    </w:p>
    <w:p w:rsidR="00B73325" w:rsidRDefault="00B73325" w:rsidP="00B73325">
      <w:pPr>
        <w:jc w:val="left"/>
      </w:pPr>
    </w:p>
    <w:p w:rsidR="00B73325" w:rsidRDefault="00B73325" w:rsidP="00B73325">
      <w:pPr>
        <w:jc w:val="left"/>
      </w:pPr>
    </w:p>
    <w:p w:rsidR="007C45DF" w:rsidRDefault="007C45DF" w:rsidP="00B73325">
      <w:pPr>
        <w:pStyle w:val="Caption"/>
        <w:spacing w:line="480" w:lineRule="auto"/>
        <w:rPr>
          <w:color w:val="auto"/>
          <w:sz w:val="24"/>
        </w:rPr>
      </w:pPr>
      <w:r>
        <w:rPr>
          <w:color w:val="auto"/>
          <w:sz w:val="24"/>
        </w:rPr>
        <w:t xml:space="preserve">Table 1: </w:t>
      </w:r>
      <w:r w:rsidR="00AC1071">
        <w:rPr>
          <w:color w:val="auto"/>
          <w:sz w:val="24"/>
        </w:rPr>
        <w:t>Method of standard c</w:t>
      </w:r>
      <w:r>
        <w:rPr>
          <w:color w:val="auto"/>
          <w:sz w:val="24"/>
        </w:rPr>
        <w:t xml:space="preserve">linical </w:t>
      </w:r>
      <w:r w:rsidR="00AC1071">
        <w:rPr>
          <w:color w:val="auto"/>
          <w:sz w:val="24"/>
        </w:rPr>
        <w:t>assessment of volaemic status</w:t>
      </w:r>
    </w:p>
    <w:p w:rsidR="007C45DF" w:rsidRPr="007C45DF" w:rsidRDefault="007C45DF" w:rsidP="000F23FD"/>
    <w:p w:rsidR="00B73325" w:rsidRPr="006E7395" w:rsidRDefault="00B73325" w:rsidP="00B73325">
      <w:pPr>
        <w:pStyle w:val="Caption"/>
        <w:spacing w:line="480" w:lineRule="auto"/>
        <w:rPr>
          <w:color w:val="auto"/>
          <w:sz w:val="24"/>
        </w:rPr>
      </w:pPr>
      <w:r>
        <w:rPr>
          <w:color w:val="auto"/>
          <w:sz w:val="24"/>
        </w:rPr>
        <w:t>Table</w:t>
      </w:r>
      <w:r w:rsidRPr="006E7395">
        <w:rPr>
          <w:color w:val="auto"/>
          <w:sz w:val="24"/>
        </w:rPr>
        <w:t xml:space="preserve"> </w:t>
      </w:r>
      <w:r w:rsidR="007C45DF">
        <w:rPr>
          <w:color w:val="auto"/>
          <w:sz w:val="24"/>
        </w:rPr>
        <w:t>2</w:t>
      </w:r>
      <w:r w:rsidRPr="006E7395">
        <w:rPr>
          <w:color w:val="auto"/>
          <w:sz w:val="24"/>
        </w:rPr>
        <w:t xml:space="preserve">: Volaemic state of hyponatraemia according to changes in </w:t>
      </w:r>
      <w:r>
        <w:rPr>
          <w:color w:val="auto"/>
          <w:sz w:val="24"/>
        </w:rPr>
        <w:t>total body water (</w:t>
      </w:r>
      <w:r w:rsidRPr="006E7395">
        <w:rPr>
          <w:color w:val="auto"/>
          <w:sz w:val="24"/>
        </w:rPr>
        <w:t>TBW</w:t>
      </w:r>
      <w:r>
        <w:rPr>
          <w:color w:val="auto"/>
          <w:sz w:val="24"/>
        </w:rPr>
        <w:t>)</w:t>
      </w:r>
      <w:r w:rsidRPr="006E7395">
        <w:rPr>
          <w:color w:val="auto"/>
          <w:sz w:val="24"/>
        </w:rPr>
        <w:t xml:space="preserve"> and serum sodium</w:t>
      </w:r>
    </w:p>
    <w:p w:rsidR="00B73325" w:rsidRDefault="00B73325" w:rsidP="00B73325">
      <w:pPr>
        <w:jc w:val="left"/>
      </w:pPr>
    </w:p>
    <w:p w:rsidR="00B73325" w:rsidRDefault="00B73325" w:rsidP="00B73325">
      <w:pPr>
        <w:pStyle w:val="Caption"/>
        <w:spacing w:line="480" w:lineRule="auto"/>
        <w:rPr>
          <w:b w:val="0"/>
          <w:color w:val="auto"/>
          <w:sz w:val="24"/>
        </w:rPr>
      </w:pPr>
      <w:r>
        <w:rPr>
          <w:color w:val="auto"/>
          <w:sz w:val="24"/>
        </w:rPr>
        <w:t xml:space="preserve">Table </w:t>
      </w:r>
      <w:r w:rsidR="007C45DF">
        <w:rPr>
          <w:color w:val="auto"/>
          <w:sz w:val="24"/>
        </w:rPr>
        <w:t>3</w:t>
      </w:r>
      <w:r>
        <w:rPr>
          <w:color w:val="auto"/>
          <w:sz w:val="24"/>
        </w:rPr>
        <w:t>: Predefined cut-offs for determining clinical utility from kappa values [17]</w:t>
      </w:r>
    </w:p>
    <w:p w:rsidR="00B73325" w:rsidRDefault="00B73325" w:rsidP="00B73325">
      <w:pPr>
        <w:rPr>
          <w:b/>
        </w:rPr>
      </w:pPr>
    </w:p>
    <w:p w:rsidR="00B73325" w:rsidRPr="00E118A9" w:rsidRDefault="00B73325" w:rsidP="00B73325">
      <w:pPr>
        <w:rPr>
          <w:b/>
        </w:rPr>
      </w:pPr>
      <w:r w:rsidRPr="00E118A9">
        <w:rPr>
          <w:b/>
        </w:rPr>
        <w:t xml:space="preserve">Table </w:t>
      </w:r>
      <w:r w:rsidR="007C45DF">
        <w:rPr>
          <w:b/>
        </w:rPr>
        <w:t>4</w:t>
      </w:r>
      <w:r w:rsidRPr="00E118A9">
        <w:rPr>
          <w:b/>
        </w:rPr>
        <w:t>: Sample characteristics</w:t>
      </w:r>
    </w:p>
    <w:p w:rsidR="00B73325" w:rsidRDefault="00B73325" w:rsidP="00B73325">
      <w:pPr>
        <w:pStyle w:val="Caption"/>
        <w:rPr>
          <w:color w:val="auto"/>
          <w:sz w:val="24"/>
        </w:rPr>
      </w:pPr>
    </w:p>
    <w:p w:rsidR="00B73325" w:rsidRDefault="00B73325" w:rsidP="00B73325">
      <w:pPr>
        <w:pStyle w:val="Caption"/>
        <w:rPr>
          <w:color w:val="auto"/>
          <w:sz w:val="24"/>
        </w:rPr>
      </w:pPr>
      <w:r>
        <w:rPr>
          <w:color w:val="auto"/>
          <w:sz w:val="24"/>
        </w:rPr>
        <w:t xml:space="preserve">Table </w:t>
      </w:r>
      <w:r w:rsidR="007C45DF">
        <w:rPr>
          <w:color w:val="auto"/>
          <w:sz w:val="24"/>
        </w:rPr>
        <w:t>5</w:t>
      </w:r>
      <w:r w:rsidRPr="007724F4">
        <w:rPr>
          <w:color w:val="auto"/>
          <w:sz w:val="24"/>
        </w:rPr>
        <w:t>: Level of agreement in determi</w:t>
      </w:r>
      <w:r>
        <w:rPr>
          <w:color w:val="auto"/>
          <w:sz w:val="24"/>
        </w:rPr>
        <w:t>ning volemic state of hypon</w:t>
      </w:r>
      <w:r w:rsidR="00A219CF">
        <w:rPr>
          <w:color w:val="auto"/>
          <w:sz w:val="24"/>
        </w:rPr>
        <w:t>atraemi</w:t>
      </w:r>
      <w:r w:rsidRPr="007724F4">
        <w:rPr>
          <w:color w:val="auto"/>
          <w:sz w:val="24"/>
        </w:rPr>
        <w:t>a between the e</w:t>
      </w:r>
      <w:r>
        <w:rPr>
          <w:color w:val="auto"/>
          <w:sz w:val="24"/>
        </w:rPr>
        <w:t>xp</w:t>
      </w:r>
      <w:r w:rsidRPr="007724F4">
        <w:rPr>
          <w:color w:val="auto"/>
          <w:sz w:val="24"/>
        </w:rPr>
        <w:t>ert panel and BIA and standard clinical assessment</w:t>
      </w:r>
    </w:p>
    <w:p w:rsidR="00B73325" w:rsidRDefault="00B73325" w:rsidP="00B73325">
      <w:pPr>
        <w:jc w:val="left"/>
      </w:pPr>
    </w:p>
    <w:p w:rsidR="00B73325" w:rsidRDefault="00B73325" w:rsidP="00B73325">
      <w:pPr>
        <w:jc w:val="left"/>
        <w:rPr>
          <w:b/>
          <w:bCs/>
          <w:szCs w:val="18"/>
        </w:rPr>
      </w:pPr>
      <w:r>
        <w:br w:type="page"/>
      </w:r>
    </w:p>
    <w:p w:rsidR="007C45DF" w:rsidRDefault="007C45DF">
      <w:pPr>
        <w:spacing w:line="240" w:lineRule="auto"/>
        <w:jc w:val="left"/>
      </w:pPr>
      <w:r>
        <w:lastRenderedPageBreak/>
        <w:t>Table 1</w:t>
      </w:r>
    </w:p>
    <w:tbl>
      <w:tblPr>
        <w:tblpPr w:leftFromText="180" w:rightFromText="180" w:vertAnchor="page" w:horzAnchor="margin" w:tblpY="315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4397"/>
        <w:gridCol w:w="2611"/>
      </w:tblGrid>
      <w:tr w:rsidR="007C45DF" w:rsidRPr="00DC2993" w:rsidTr="00395304">
        <w:trPr>
          <w:trHeight w:val="410"/>
        </w:trPr>
        <w:tc>
          <w:tcPr>
            <w:tcW w:w="2802" w:type="dxa"/>
            <w:shd w:val="clear" w:color="auto" w:fill="auto"/>
          </w:tcPr>
          <w:p w:rsidR="007C45DF" w:rsidRPr="00DC2993" w:rsidRDefault="007C45DF" w:rsidP="000F23FD">
            <w:pPr>
              <w:spacing w:line="300" w:lineRule="auto"/>
              <w:jc w:val="left"/>
              <w:rPr>
                <w:b/>
                <w:szCs w:val="24"/>
              </w:rPr>
            </w:pPr>
            <w:r w:rsidRPr="00DC2993">
              <w:rPr>
                <w:b/>
                <w:szCs w:val="24"/>
              </w:rPr>
              <w:t>Aspect of examination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b/>
                <w:szCs w:val="24"/>
              </w:rPr>
            </w:pPr>
            <w:r w:rsidRPr="00DC2993">
              <w:rPr>
                <w:b/>
                <w:szCs w:val="24"/>
              </w:rPr>
              <w:t>Method of assessment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b/>
                <w:szCs w:val="24"/>
              </w:rPr>
            </w:pPr>
            <w:r w:rsidRPr="00DC2993">
              <w:rPr>
                <w:b/>
                <w:szCs w:val="24"/>
              </w:rPr>
              <w:t>Report</w:t>
            </w:r>
          </w:p>
        </w:tc>
      </w:tr>
      <w:tr w:rsidR="007C45DF" w:rsidRPr="00DC2993" w:rsidTr="00395304">
        <w:trPr>
          <w:trHeight w:val="645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Skin turgor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 xml:space="preserve">Skin over </w:t>
            </w:r>
            <w:r>
              <w:rPr>
                <w:szCs w:val="24"/>
              </w:rPr>
              <w:t xml:space="preserve">the </w:t>
            </w:r>
            <w:r w:rsidRPr="00DC2993">
              <w:rPr>
                <w:szCs w:val="24"/>
              </w:rPr>
              <w:t>ante-cubital fossa and dorsum of hand grasped gently between two fingers. Time for skin to return to previous state recorded.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Normal (&lt; 2 seconds) or decreased (&gt; 2 seconds)</w:t>
            </w:r>
          </w:p>
        </w:tc>
      </w:tr>
      <w:tr w:rsidR="007C45DF" w:rsidRPr="00DC2993" w:rsidTr="00395304">
        <w:trPr>
          <w:trHeight w:val="109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Mouth moistness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 xml:space="preserve">Patient asked to open mouth and stick out tongue. </w:t>
            </w:r>
            <w:r>
              <w:rPr>
                <w:szCs w:val="24"/>
              </w:rPr>
              <w:t>S</w:t>
            </w:r>
            <w:r w:rsidRPr="00DC2993">
              <w:rPr>
                <w:szCs w:val="24"/>
              </w:rPr>
              <w:t xml:space="preserve">ubjective report made </w:t>
            </w:r>
            <w:r>
              <w:rPr>
                <w:szCs w:val="24"/>
              </w:rPr>
              <w:t xml:space="preserve">by the </w:t>
            </w:r>
            <w:r w:rsidRPr="00DC2993">
              <w:rPr>
                <w:szCs w:val="24"/>
              </w:rPr>
              <w:t xml:space="preserve">investigator. 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Moist</w:t>
            </w:r>
            <w:r w:rsidRPr="00DC2993">
              <w:rPr>
                <w:szCs w:val="24"/>
              </w:rPr>
              <w:t xml:space="preserve"> or dry</w:t>
            </w:r>
          </w:p>
        </w:tc>
      </w:tr>
      <w:tr w:rsidR="007C45DF" w:rsidRPr="00DC2993" w:rsidTr="00395304">
        <w:trPr>
          <w:trHeight w:val="109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Distal digital capillary refill</w:t>
            </w:r>
            <w:r>
              <w:rPr>
                <w:szCs w:val="24"/>
              </w:rPr>
              <w:t xml:space="preserve"> time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>Nail bed of middle finger squeezed for 3 seconds (on opposite side to fracture if upper limb fracture). Time to venous return recorded</w:t>
            </w:r>
            <w:r>
              <w:rPr>
                <w:szCs w:val="24"/>
              </w:rPr>
              <w:t>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&lt;2 seconds, 2-4 seconds or &gt;4 seconds</w:t>
            </w:r>
          </w:p>
        </w:tc>
      </w:tr>
      <w:tr w:rsidR="007C45DF" w:rsidRPr="00DC2993" w:rsidTr="00395304">
        <w:trPr>
          <w:trHeight w:val="109"/>
        </w:trPr>
        <w:tc>
          <w:tcPr>
            <w:tcW w:w="2802" w:type="dxa"/>
            <w:shd w:val="clear" w:color="auto" w:fill="auto"/>
          </w:tcPr>
          <w:p w:rsidR="007C45DF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Jugular venous distension</w:t>
            </w:r>
          </w:p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(JVD)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>
              <w:rPr>
                <w:szCs w:val="24"/>
              </w:rPr>
              <w:t>Participant</w:t>
            </w:r>
            <w:r w:rsidRPr="00DC2993">
              <w:rPr>
                <w:szCs w:val="24"/>
              </w:rPr>
              <w:t xml:space="preserve"> positioned at 45° angle lying in bed with head tilted towards left. Firm pressure applied over</w:t>
            </w:r>
            <w:r>
              <w:rPr>
                <w:szCs w:val="24"/>
              </w:rPr>
              <w:t xml:space="preserve"> hepatic area. Visibility of JVD</w:t>
            </w:r>
            <w:r w:rsidRPr="00DC2993">
              <w:rPr>
                <w:szCs w:val="24"/>
              </w:rPr>
              <w:t xml:space="preserve"> inspected, subjective report made by investigator.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Increased, normal or decreased</w:t>
            </w:r>
          </w:p>
        </w:tc>
      </w:tr>
      <w:tr w:rsidR="007C45DF" w:rsidRPr="00DC2993" w:rsidTr="00395304">
        <w:trPr>
          <w:trHeight w:val="109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Peripheral oedema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>Light pressure applied over medial and lateral malleoli for 5 seconds (opposite site to fracture if lower limb fracture). Subjective report made by investigator.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Present or absent</w:t>
            </w:r>
          </w:p>
        </w:tc>
      </w:tr>
      <w:tr w:rsidR="007C45DF" w:rsidRPr="00DC2993" w:rsidTr="00395304">
        <w:trPr>
          <w:trHeight w:val="407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Axillary moistness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>Both axillae assessed for moistness using hand. Subjective report made by investigator.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Moist or dry</w:t>
            </w:r>
          </w:p>
        </w:tc>
      </w:tr>
      <w:tr w:rsidR="007C45DF" w:rsidRPr="00DC2993" w:rsidTr="00395304">
        <w:trPr>
          <w:trHeight w:val="904"/>
        </w:trPr>
        <w:tc>
          <w:tcPr>
            <w:tcW w:w="280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Overall assessment of volaemic state</w:t>
            </w:r>
          </w:p>
        </w:tc>
        <w:tc>
          <w:tcPr>
            <w:tcW w:w="6662" w:type="dxa"/>
            <w:shd w:val="clear" w:color="auto" w:fill="auto"/>
          </w:tcPr>
          <w:p w:rsidR="007C45DF" w:rsidRPr="00DC2993" w:rsidRDefault="007C45DF" w:rsidP="00395304">
            <w:pPr>
              <w:spacing w:line="300" w:lineRule="auto"/>
              <w:rPr>
                <w:szCs w:val="24"/>
              </w:rPr>
            </w:pPr>
            <w:r w:rsidRPr="00DC2993">
              <w:rPr>
                <w:szCs w:val="24"/>
              </w:rPr>
              <w:t>Combining findings of each individual sign. Subjective report made by investigator.</w:t>
            </w:r>
          </w:p>
        </w:tc>
        <w:tc>
          <w:tcPr>
            <w:tcW w:w="3260" w:type="dxa"/>
            <w:shd w:val="clear" w:color="auto" w:fill="auto"/>
          </w:tcPr>
          <w:p w:rsidR="007C45DF" w:rsidRPr="00DC2993" w:rsidRDefault="007C45DF" w:rsidP="00395304">
            <w:pPr>
              <w:keepNext/>
              <w:spacing w:line="300" w:lineRule="auto"/>
              <w:jc w:val="left"/>
              <w:rPr>
                <w:szCs w:val="24"/>
              </w:rPr>
            </w:pPr>
            <w:r w:rsidRPr="00DC2993">
              <w:rPr>
                <w:szCs w:val="24"/>
              </w:rPr>
              <w:t>Hypervolaemic, euvolaemic or hypovolaemic</w:t>
            </w:r>
          </w:p>
        </w:tc>
      </w:tr>
    </w:tbl>
    <w:p w:rsidR="007C45DF" w:rsidRDefault="007C45DF">
      <w:pPr>
        <w:spacing w:line="240" w:lineRule="auto"/>
        <w:jc w:val="left"/>
        <w:rPr>
          <w:b/>
          <w:bCs/>
          <w:szCs w:val="18"/>
        </w:rPr>
      </w:pPr>
      <w:r>
        <w:br w:type="page"/>
      </w:r>
    </w:p>
    <w:p w:rsidR="00B73325" w:rsidRPr="006E7395" w:rsidRDefault="00B73325" w:rsidP="00B73325">
      <w:pPr>
        <w:pStyle w:val="Caption"/>
        <w:rPr>
          <w:color w:val="auto"/>
          <w:sz w:val="24"/>
        </w:rPr>
      </w:pPr>
      <w:r>
        <w:rPr>
          <w:color w:val="auto"/>
          <w:sz w:val="24"/>
        </w:rPr>
        <w:lastRenderedPageBreak/>
        <w:t>Table</w:t>
      </w:r>
      <w:r w:rsidRPr="006E7395">
        <w:rPr>
          <w:color w:val="auto"/>
          <w:sz w:val="24"/>
        </w:rPr>
        <w:t xml:space="preserve"> </w:t>
      </w:r>
      <w:r w:rsidR="007C45DF">
        <w:rPr>
          <w:color w:val="auto"/>
          <w:sz w:val="24"/>
        </w:rPr>
        <w:t>2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534"/>
        <w:gridCol w:w="2819"/>
        <w:gridCol w:w="2552"/>
      </w:tblGrid>
      <w:tr w:rsidR="00B73325" w:rsidRPr="006E7395" w:rsidTr="00B73325">
        <w:tc>
          <w:tcPr>
            <w:tcW w:w="2534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rFonts w:cs="Calibri"/>
                <w:szCs w:val="24"/>
              </w:rPr>
            </w:pPr>
          </w:p>
        </w:tc>
        <w:tc>
          <w:tcPr>
            <w:tcW w:w="5371" w:type="dxa"/>
            <w:gridSpan w:val="2"/>
            <w:tcBorders>
              <w:bottom w:val="single" w:sz="4" w:space="0" w:color="auto"/>
            </w:tcBorders>
          </w:tcPr>
          <w:p w:rsidR="00B73325" w:rsidRDefault="00B73325" w:rsidP="00B73325">
            <w:pPr>
              <w:jc w:val="center"/>
              <w:rPr>
                <w:rFonts w:cs="Calibri"/>
                <w:b/>
                <w:szCs w:val="24"/>
              </w:rPr>
            </w:pPr>
          </w:p>
          <w:p w:rsidR="00B73325" w:rsidRPr="006E7395" w:rsidRDefault="00B73325" w:rsidP="00B73325">
            <w:pPr>
              <w:jc w:val="center"/>
              <w:rPr>
                <w:rFonts w:cs="Calibri"/>
                <w:b/>
                <w:szCs w:val="24"/>
              </w:rPr>
            </w:pPr>
            <w:r>
              <w:rPr>
                <w:rFonts w:cs="Calibri"/>
                <w:b/>
                <w:szCs w:val="24"/>
              </w:rPr>
              <w:t>Change in serum sodium</w:t>
            </w:r>
          </w:p>
        </w:tc>
      </w:tr>
      <w:tr w:rsidR="00B73325" w:rsidRPr="006E7395" w:rsidTr="00B73325">
        <w:tc>
          <w:tcPr>
            <w:tcW w:w="2534" w:type="dxa"/>
            <w:tcBorders>
              <w:top w:val="single" w:sz="4" w:space="0" w:color="auto"/>
            </w:tcBorders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</w:p>
        </w:tc>
        <w:tc>
          <w:tcPr>
            <w:tcW w:w="2819" w:type="dxa"/>
            <w:tcBorders>
              <w:top w:val="single" w:sz="4" w:space="0" w:color="auto"/>
            </w:tcBorders>
          </w:tcPr>
          <w:p w:rsidR="00B73325" w:rsidRPr="006E7395" w:rsidRDefault="00B73325" w:rsidP="00B73325">
            <w:pPr>
              <w:rPr>
                <w:rFonts w:cs="Calibri"/>
                <w:b/>
                <w:szCs w:val="24"/>
              </w:rPr>
            </w:pPr>
            <w:r w:rsidRPr="006E7395">
              <w:rPr>
                <w:rFonts w:cs="Calibri"/>
                <w:b/>
                <w:szCs w:val="24"/>
              </w:rPr>
              <w:t xml:space="preserve">Increased 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B73325" w:rsidRPr="006E7395" w:rsidRDefault="00B73325" w:rsidP="00B73325">
            <w:pPr>
              <w:rPr>
                <w:rFonts w:cs="Calibri"/>
                <w:b/>
                <w:szCs w:val="24"/>
              </w:rPr>
            </w:pPr>
            <w:r w:rsidRPr="006E7395">
              <w:rPr>
                <w:rFonts w:cs="Calibri"/>
                <w:b/>
                <w:szCs w:val="24"/>
              </w:rPr>
              <w:t xml:space="preserve">Decreased </w:t>
            </w:r>
          </w:p>
        </w:tc>
      </w:tr>
      <w:tr w:rsidR="00B73325" w:rsidRPr="006E7395" w:rsidTr="00B73325">
        <w:tc>
          <w:tcPr>
            <w:tcW w:w="2534" w:type="dxa"/>
          </w:tcPr>
          <w:p w:rsidR="00B73325" w:rsidRPr="006E7395" w:rsidRDefault="00B73325" w:rsidP="00B73325">
            <w:pPr>
              <w:rPr>
                <w:rFonts w:cs="Calibri"/>
                <w:b/>
                <w:szCs w:val="24"/>
              </w:rPr>
            </w:pPr>
            <w:r w:rsidRPr="006E7395">
              <w:rPr>
                <w:rFonts w:cs="Calibri"/>
                <w:b/>
                <w:szCs w:val="24"/>
              </w:rPr>
              <w:t>Increased TBW</w:t>
            </w:r>
          </w:p>
        </w:tc>
        <w:tc>
          <w:tcPr>
            <w:tcW w:w="2819" w:type="dxa"/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Hypovol</w:t>
            </w:r>
            <w:r w:rsidRPr="006E7395">
              <w:rPr>
                <w:rFonts w:cs="Calibri"/>
                <w:szCs w:val="24"/>
              </w:rPr>
              <w:t>emic</w:t>
            </w:r>
          </w:p>
        </w:tc>
        <w:tc>
          <w:tcPr>
            <w:tcW w:w="2552" w:type="dxa"/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Hypervol</w:t>
            </w:r>
            <w:r w:rsidRPr="006E7395">
              <w:rPr>
                <w:rFonts w:cs="Calibri"/>
                <w:szCs w:val="24"/>
              </w:rPr>
              <w:t>emic</w:t>
            </w:r>
          </w:p>
        </w:tc>
      </w:tr>
      <w:tr w:rsidR="00B73325" w:rsidRPr="006E7395" w:rsidTr="00B73325">
        <w:tc>
          <w:tcPr>
            <w:tcW w:w="2534" w:type="dxa"/>
          </w:tcPr>
          <w:p w:rsidR="00B73325" w:rsidRPr="006E7395" w:rsidRDefault="00B73325" w:rsidP="00B73325">
            <w:pPr>
              <w:rPr>
                <w:rFonts w:cs="Calibri"/>
                <w:b/>
                <w:szCs w:val="24"/>
              </w:rPr>
            </w:pPr>
            <w:r w:rsidRPr="006E7395">
              <w:rPr>
                <w:rFonts w:cs="Calibri"/>
                <w:b/>
                <w:szCs w:val="24"/>
              </w:rPr>
              <w:t>Constant TBW</w:t>
            </w:r>
          </w:p>
        </w:tc>
        <w:tc>
          <w:tcPr>
            <w:tcW w:w="2819" w:type="dxa"/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Euvol</w:t>
            </w:r>
            <w:r w:rsidRPr="006E7395">
              <w:rPr>
                <w:rFonts w:cs="Calibri"/>
                <w:szCs w:val="24"/>
              </w:rPr>
              <w:t xml:space="preserve">emic </w:t>
            </w:r>
          </w:p>
        </w:tc>
        <w:tc>
          <w:tcPr>
            <w:tcW w:w="2552" w:type="dxa"/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Euvol</w:t>
            </w:r>
            <w:r w:rsidRPr="006E7395">
              <w:rPr>
                <w:rFonts w:cs="Calibri"/>
                <w:szCs w:val="24"/>
              </w:rPr>
              <w:t xml:space="preserve">emic </w:t>
            </w:r>
          </w:p>
        </w:tc>
      </w:tr>
      <w:tr w:rsidR="00B73325" w:rsidRPr="006E7395" w:rsidTr="00B73325">
        <w:tc>
          <w:tcPr>
            <w:tcW w:w="2534" w:type="dxa"/>
            <w:tcBorders>
              <w:bottom w:val="single" w:sz="4" w:space="0" w:color="auto"/>
            </w:tcBorders>
          </w:tcPr>
          <w:p w:rsidR="00B73325" w:rsidRPr="006E7395" w:rsidRDefault="00B73325" w:rsidP="00B73325">
            <w:pPr>
              <w:rPr>
                <w:rFonts w:cs="Calibri"/>
                <w:b/>
                <w:szCs w:val="24"/>
              </w:rPr>
            </w:pPr>
            <w:r w:rsidRPr="006E7395">
              <w:rPr>
                <w:rFonts w:cs="Calibri"/>
                <w:b/>
                <w:szCs w:val="24"/>
              </w:rPr>
              <w:t>Decreased  TBW</w:t>
            </w:r>
          </w:p>
        </w:tc>
        <w:tc>
          <w:tcPr>
            <w:tcW w:w="2819" w:type="dxa"/>
            <w:tcBorders>
              <w:bottom w:val="single" w:sz="4" w:space="0" w:color="auto"/>
            </w:tcBorders>
          </w:tcPr>
          <w:p w:rsidR="00B73325" w:rsidRPr="006E7395" w:rsidRDefault="00B73325" w:rsidP="00B73325">
            <w:pPr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Hypervol</w:t>
            </w:r>
            <w:r w:rsidRPr="006E7395">
              <w:rPr>
                <w:rFonts w:cs="Calibri"/>
                <w:szCs w:val="24"/>
              </w:rPr>
              <w:t>emic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B73325" w:rsidRPr="006E7395" w:rsidRDefault="00B73325" w:rsidP="00B73325">
            <w:pPr>
              <w:keepNext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Hypovol</w:t>
            </w:r>
            <w:r w:rsidRPr="006E7395">
              <w:rPr>
                <w:rFonts w:cs="Calibri"/>
                <w:szCs w:val="24"/>
              </w:rPr>
              <w:t>emic</w:t>
            </w:r>
          </w:p>
        </w:tc>
      </w:tr>
    </w:tbl>
    <w:p w:rsidR="00B73325" w:rsidRPr="00E118A9" w:rsidRDefault="00B73325" w:rsidP="00B73325"/>
    <w:p w:rsidR="00B73325" w:rsidRDefault="00B73325" w:rsidP="00B73325">
      <w:pPr>
        <w:rPr>
          <w:szCs w:val="18"/>
        </w:rPr>
      </w:pPr>
      <w:r>
        <w:br w:type="page"/>
      </w:r>
    </w:p>
    <w:p w:rsidR="00B73325" w:rsidRDefault="00B73325" w:rsidP="00B73325">
      <w:pPr>
        <w:pStyle w:val="Caption"/>
        <w:rPr>
          <w:b w:val="0"/>
          <w:color w:val="auto"/>
          <w:sz w:val="24"/>
        </w:rPr>
      </w:pPr>
      <w:r>
        <w:rPr>
          <w:color w:val="auto"/>
          <w:sz w:val="24"/>
        </w:rPr>
        <w:lastRenderedPageBreak/>
        <w:t xml:space="preserve">Table </w:t>
      </w:r>
      <w:r w:rsidR="007C45DF">
        <w:rPr>
          <w:color w:val="auto"/>
          <w:sz w:val="24"/>
        </w:rPr>
        <w:t>3</w:t>
      </w:r>
    </w:p>
    <w:tbl>
      <w:tblPr>
        <w:tblStyle w:val="TableGrid"/>
        <w:tblpPr w:leftFromText="180" w:rightFromText="180" w:vertAnchor="text" w:horzAnchor="margin" w:tblpY="104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0"/>
        <w:gridCol w:w="3081"/>
      </w:tblGrid>
      <w:tr w:rsidR="00B73325" w:rsidTr="00B73325">
        <w:tc>
          <w:tcPr>
            <w:tcW w:w="3080" w:type="dxa"/>
            <w:tcBorders>
              <w:bottom w:val="single" w:sz="4" w:space="0" w:color="auto"/>
            </w:tcBorders>
          </w:tcPr>
          <w:p w:rsidR="00B73325" w:rsidRPr="00951168" w:rsidRDefault="00B73325" w:rsidP="00B73325">
            <w:pPr>
              <w:spacing w:line="360" w:lineRule="auto"/>
              <w:jc w:val="left"/>
              <w:rPr>
                <w:b/>
              </w:rPr>
            </w:pPr>
            <w:r w:rsidRPr="00951168">
              <w:rPr>
                <w:b/>
              </w:rPr>
              <w:t>Kappa</w:t>
            </w:r>
          </w:p>
        </w:tc>
        <w:tc>
          <w:tcPr>
            <w:tcW w:w="3081" w:type="dxa"/>
            <w:tcBorders>
              <w:bottom w:val="single" w:sz="4" w:space="0" w:color="auto"/>
            </w:tcBorders>
          </w:tcPr>
          <w:p w:rsidR="00B73325" w:rsidRPr="00951168" w:rsidRDefault="00B73325" w:rsidP="00B73325">
            <w:pPr>
              <w:spacing w:line="360" w:lineRule="auto"/>
              <w:jc w:val="left"/>
              <w:rPr>
                <w:b/>
              </w:rPr>
            </w:pPr>
            <w:r w:rsidRPr="00951168">
              <w:rPr>
                <w:b/>
              </w:rPr>
              <w:t>Clinical utility</w:t>
            </w:r>
          </w:p>
        </w:tc>
      </w:tr>
      <w:tr w:rsidR="00B73325" w:rsidTr="00B73325">
        <w:tc>
          <w:tcPr>
            <w:tcW w:w="3080" w:type="dxa"/>
            <w:tcBorders>
              <w:top w:val="single" w:sz="4" w:space="0" w:color="auto"/>
            </w:tcBorders>
          </w:tcPr>
          <w:p w:rsidR="00B73325" w:rsidRDefault="00B73325" w:rsidP="00B73325">
            <w:pPr>
              <w:spacing w:line="360" w:lineRule="auto"/>
            </w:pPr>
            <w:r>
              <w:t>&lt;0</w:t>
            </w:r>
          </w:p>
        </w:tc>
        <w:tc>
          <w:tcPr>
            <w:tcW w:w="3081" w:type="dxa"/>
            <w:tcBorders>
              <w:top w:val="single" w:sz="4" w:space="0" w:color="auto"/>
            </w:tcBorders>
          </w:tcPr>
          <w:p w:rsidR="00B73325" w:rsidRDefault="00B73325" w:rsidP="00B73325">
            <w:pPr>
              <w:spacing w:line="360" w:lineRule="auto"/>
            </w:pPr>
            <w:r>
              <w:t>Nil</w:t>
            </w:r>
          </w:p>
        </w:tc>
      </w:tr>
      <w:tr w:rsidR="00B73325" w:rsidTr="00B73325">
        <w:tc>
          <w:tcPr>
            <w:tcW w:w="3080" w:type="dxa"/>
          </w:tcPr>
          <w:p w:rsidR="00B73325" w:rsidRDefault="00B73325" w:rsidP="00B73325">
            <w:pPr>
              <w:spacing w:line="360" w:lineRule="auto"/>
            </w:pPr>
            <w:r>
              <w:t>0.01 – 0.20</w:t>
            </w:r>
          </w:p>
        </w:tc>
        <w:tc>
          <w:tcPr>
            <w:tcW w:w="3081" w:type="dxa"/>
          </w:tcPr>
          <w:p w:rsidR="00B73325" w:rsidRDefault="00B73325" w:rsidP="00B73325">
            <w:pPr>
              <w:spacing w:line="360" w:lineRule="auto"/>
            </w:pPr>
            <w:r>
              <w:t>Slight</w:t>
            </w:r>
          </w:p>
        </w:tc>
      </w:tr>
      <w:tr w:rsidR="00B73325" w:rsidTr="00B73325">
        <w:tc>
          <w:tcPr>
            <w:tcW w:w="3080" w:type="dxa"/>
          </w:tcPr>
          <w:p w:rsidR="00B73325" w:rsidRDefault="00B73325" w:rsidP="00B73325">
            <w:pPr>
              <w:spacing w:line="360" w:lineRule="auto"/>
            </w:pPr>
            <w:r>
              <w:t>0.21 – 0.40</w:t>
            </w:r>
          </w:p>
        </w:tc>
        <w:tc>
          <w:tcPr>
            <w:tcW w:w="3081" w:type="dxa"/>
          </w:tcPr>
          <w:p w:rsidR="00B73325" w:rsidRDefault="00B73325" w:rsidP="00B73325">
            <w:pPr>
              <w:spacing w:line="360" w:lineRule="auto"/>
            </w:pPr>
            <w:r>
              <w:t>Fair</w:t>
            </w:r>
          </w:p>
        </w:tc>
      </w:tr>
      <w:tr w:rsidR="00B73325" w:rsidTr="00B73325">
        <w:tc>
          <w:tcPr>
            <w:tcW w:w="3080" w:type="dxa"/>
          </w:tcPr>
          <w:p w:rsidR="00B73325" w:rsidRDefault="00B73325" w:rsidP="00B73325">
            <w:pPr>
              <w:spacing w:line="360" w:lineRule="auto"/>
            </w:pPr>
            <w:r>
              <w:t xml:space="preserve">0.41 – 0.60 </w:t>
            </w:r>
          </w:p>
        </w:tc>
        <w:tc>
          <w:tcPr>
            <w:tcW w:w="3081" w:type="dxa"/>
          </w:tcPr>
          <w:p w:rsidR="00B73325" w:rsidRDefault="00B73325" w:rsidP="00B73325">
            <w:pPr>
              <w:spacing w:line="360" w:lineRule="auto"/>
            </w:pPr>
            <w:r>
              <w:t>Moderate</w:t>
            </w:r>
          </w:p>
        </w:tc>
      </w:tr>
      <w:tr w:rsidR="00B73325" w:rsidTr="00B73325">
        <w:tc>
          <w:tcPr>
            <w:tcW w:w="3080" w:type="dxa"/>
          </w:tcPr>
          <w:p w:rsidR="00B73325" w:rsidRDefault="00B73325" w:rsidP="00B73325">
            <w:pPr>
              <w:spacing w:line="360" w:lineRule="auto"/>
            </w:pPr>
            <w:r>
              <w:t xml:space="preserve">0.61 – 0.80 </w:t>
            </w:r>
          </w:p>
        </w:tc>
        <w:tc>
          <w:tcPr>
            <w:tcW w:w="3081" w:type="dxa"/>
          </w:tcPr>
          <w:p w:rsidR="00B73325" w:rsidRDefault="00B73325" w:rsidP="00B73325">
            <w:pPr>
              <w:spacing w:line="360" w:lineRule="auto"/>
            </w:pPr>
            <w:r>
              <w:t>Substantial</w:t>
            </w:r>
          </w:p>
        </w:tc>
      </w:tr>
      <w:tr w:rsidR="00B73325" w:rsidTr="00B73325">
        <w:tc>
          <w:tcPr>
            <w:tcW w:w="3080" w:type="dxa"/>
            <w:tcBorders>
              <w:bottom w:val="single" w:sz="4" w:space="0" w:color="auto"/>
            </w:tcBorders>
          </w:tcPr>
          <w:p w:rsidR="00B73325" w:rsidRDefault="00B73325" w:rsidP="00B73325">
            <w:pPr>
              <w:spacing w:line="360" w:lineRule="auto"/>
            </w:pPr>
            <w:r>
              <w:t>0.81 – 0.99</w:t>
            </w:r>
          </w:p>
        </w:tc>
        <w:tc>
          <w:tcPr>
            <w:tcW w:w="3081" w:type="dxa"/>
            <w:tcBorders>
              <w:bottom w:val="single" w:sz="4" w:space="0" w:color="auto"/>
            </w:tcBorders>
          </w:tcPr>
          <w:p w:rsidR="00B73325" w:rsidRDefault="00B73325" w:rsidP="00B73325">
            <w:pPr>
              <w:spacing w:line="360" w:lineRule="auto"/>
            </w:pPr>
            <w:r>
              <w:t>Almost perfect</w:t>
            </w:r>
          </w:p>
        </w:tc>
      </w:tr>
    </w:tbl>
    <w:p w:rsidR="00B73325" w:rsidRDefault="00B73325" w:rsidP="00B73325">
      <w:pPr>
        <w:rPr>
          <w:szCs w:val="18"/>
        </w:rPr>
      </w:pPr>
      <w:r>
        <w:br w:type="page"/>
      </w:r>
    </w:p>
    <w:p w:rsidR="00B73325" w:rsidRPr="00E118A9" w:rsidRDefault="00B73325" w:rsidP="00B73325">
      <w:pPr>
        <w:rPr>
          <w:b/>
        </w:rPr>
      </w:pPr>
      <w:r w:rsidRPr="00E118A9">
        <w:rPr>
          <w:b/>
        </w:rPr>
        <w:lastRenderedPageBreak/>
        <w:t xml:space="preserve">Table </w:t>
      </w:r>
      <w:r w:rsidR="007C45DF">
        <w:rPr>
          <w:b/>
        </w:rPr>
        <w:t>4</w:t>
      </w:r>
    </w:p>
    <w:tbl>
      <w:tblPr>
        <w:tblpPr w:leftFromText="180" w:rightFromText="180" w:vertAnchor="page" w:horzAnchor="margin" w:tblpY="2611"/>
        <w:tblW w:w="0" w:type="auto"/>
        <w:tblLook w:val="01A0" w:firstRow="1" w:lastRow="0" w:firstColumn="1" w:lastColumn="1" w:noHBand="0" w:noVBand="0"/>
      </w:tblPr>
      <w:tblGrid>
        <w:gridCol w:w="5184"/>
        <w:gridCol w:w="1199"/>
      </w:tblGrid>
      <w:tr w:rsidR="00B73325" w:rsidRPr="00224863" w:rsidTr="00B73325">
        <w:trPr>
          <w:trHeight w:val="268"/>
        </w:trPr>
        <w:tc>
          <w:tcPr>
            <w:tcW w:w="0" w:type="auto"/>
            <w:tcBorders>
              <w:bottom w:val="single" w:sz="4" w:space="0" w:color="auto"/>
            </w:tcBorders>
            <w:hideMark/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Characteristic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</w:p>
        </w:tc>
      </w:tr>
      <w:tr w:rsidR="00B73325" w:rsidRPr="00224863" w:rsidTr="00B73325">
        <w:trPr>
          <w:trHeight w:val="438"/>
        </w:trPr>
        <w:tc>
          <w:tcPr>
            <w:tcW w:w="0" w:type="auto"/>
            <w:hideMark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t>Age in years, mean (±SD)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80.8 (±6.5)</w:t>
            </w: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  <w:hideMark/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Female sex</w:t>
            </w:r>
            <w:r>
              <w:rPr>
                <w:b/>
                <w:sz w:val="22"/>
                <w:szCs w:val="22"/>
              </w:rPr>
              <w:t>,</w:t>
            </w:r>
            <w:r w:rsidRPr="00B10A75">
              <w:rPr>
                <w:b/>
                <w:sz w:val="22"/>
                <w:szCs w:val="22"/>
              </w:rPr>
              <w:t xml:space="preserve"> % (N)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81.8</w:t>
            </w:r>
            <w:r>
              <w:rPr>
                <w:sz w:val="22"/>
                <w:szCs w:val="22"/>
              </w:rPr>
              <w:t xml:space="preserve"> </w:t>
            </w:r>
            <w:r w:rsidRPr="00B10A75">
              <w:rPr>
                <w:sz w:val="22"/>
                <w:szCs w:val="22"/>
              </w:rPr>
              <w:t>(27)</w:t>
            </w:r>
          </w:p>
        </w:tc>
      </w:tr>
      <w:tr w:rsidR="00B73325" w:rsidRPr="00224863" w:rsidTr="00B73325">
        <w:trPr>
          <w:trHeight w:val="708"/>
        </w:trPr>
        <w:tc>
          <w:tcPr>
            <w:tcW w:w="0" w:type="auto"/>
            <w:hideMark/>
          </w:tcPr>
          <w:p w:rsidR="00B73325" w:rsidRDefault="00B73325" w:rsidP="00B73325">
            <w:pPr>
              <w:spacing w:line="240" w:lineRule="auto"/>
              <w:rPr>
                <w:b/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Co-morbidities, mean </w:t>
            </w:r>
            <w:r w:rsidRPr="00B64DFF">
              <w:rPr>
                <w:b/>
                <w:sz w:val="22"/>
                <w:szCs w:val="22"/>
              </w:rPr>
              <w:t>(± SD)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4.5 (±2.54)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</w:tc>
      </w:tr>
      <w:tr w:rsidR="00B73325" w:rsidRPr="00224863" w:rsidTr="00B73325">
        <w:trPr>
          <w:trHeight w:val="392"/>
        </w:trPr>
        <w:tc>
          <w:tcPr>
            <w:tcW w:w="0" w:type="auto"/>
            <w:hideMark/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Number of medications</w:t>
            </w:r>
            <w:r>
              <w:rPr>
                <w:b/>
                <w:sz w:val="22"/>
                <w:szCs w:val="22"/>
              </w:rPr>
              <w:t>, mean (±SD</w:t>
            </w:r>
            <w:r w:rsidRPr="00B10A75">
              <w:rPr>
                <w:b/>
                <w:sz w:val="22"/>
                <w:szCs w:val="22"/>
              </w:rPr>
              <w:t>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6.2(±3.33)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</w:tc>
      </w:tr>
      <w:tr w:rsidR="00B73325" w:rsidRPr="00224863" w:rsidTr="00B73325">
        <w:trPr>
          <w:trHeight w:val="1724"/>
        </w:trPr>
        <w:tc>
          <w:tcPr>
            <w:tcW w:w="0" w:type="auto"/>
            <w:hideMark/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Fracture site</w:t>
            </w:r>
            <w:r>
              <w:rPr>
                <w:b/>
                <w:sz w:val="22"/>
                <w:szCs w:val="22"/>
              </w:rPr>
              <w:t>,</w:t>
            </w:r>
            <w:r w:rsidRPr="00B10A75">
              <w:rPr>
                <w:b/>
                <w:sz w:val="22"/>
                <w:szCs w:val="22"/>
              </w:rPr>
              <w:t xml:space="preserve"> %(N)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Hip</w:t>
            </w:r>
          </w:p>
          <w:p w:rsidR="00B73325" w:rsidRPr="00B73325" w:rsidRDefault="00B73325" w:rsidP="00B73325">
            <w:pPr>
              <w:spacing w:line="240" w:lineRule="auto"/>
              <w:rPr>
                <w:szCs w:val="22"/>
                <w:vertAlign w:val="superscript"/>
              </w:rPr>
            </w:pPr>
            <w:r w:rsidRPr="00B10A75">
              <w:rPr>
                <w:sz w:val="22"/>
                <w:szCs w:val="22"/>
              </w:rPr>
              <w:t>Other lower limb</w:t>
            </w:r>
            <w:r>
              <w:rPr>
                <w:sz w:val="22"/>
                <w:szCs w:val="22"/>
                <w:vertAlign w:val="superscript"/>
              </w:rPr>
              <w:t>a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Other lower limb</w:t>
            </w:r>
            <w:r>
              <w:rPr>
                <w:sz w:val="22"/>
                <w:szCs w:val="22"/>
                <w:vertAlign w:val="superscript"/>
              </w:rPr>
              <w:t>a</w:t>
            </w:r>
            <w:r w:rsidRPr="00B10A75">
              <w:rPr>
                <w:sz w:val="22"/>
                <w:szCs w:val="22"/>
              </w:rPr>
              <w:t xml:space="preserve"> and upper limb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Upper limb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 xml:space="preserve">Pelvic 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Vertebrae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57.6 (19)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15.2 (5)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3 (1)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15.2 (5)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3(1)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6.1(2)</w:t>
            </w: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</w:tcPr>
          <w:p w:rsidR="00B73325" w:rsidRDefault="00B73325" w:rsidP="00B73325">
            <w:pPr>
              <w:spacing w:line="240" w:lineRule="auto"/>
              <w:rPr>
                <w:b/>
                <w:szCs w:val="22"/>
              </w:rPr>
            </w:pPr>
          </w:p>
          <w:p w:rsidR="00B73325" w:rsidRPr="00B73325" w:rsidRDefault="00B73325" w:rsidP="00B73325">
            <w:pPr>
              <w:spacing w:line="240" w:lineRule="auto"/>
              <w:rPr>
                <w:b/>
                <w:szCs w:val="22"/>
                <w:vertAlign w:val="superscript"/>
              </w:rPr>
            </w:pPr>
            <w:r>
              <w:rPr>
                <w:b/>
                <w:sz w:val="22"/>
                <w:szCs w:val="22"/>
              </w:rPr>
              <w:t>Severity of hypon</w:t>
            </w:r>
            <w:r w:rsidR="00A219CF">
              <w:rPr>
                <w:b/>
                <w:sz w:val="22"/>
                <w:szCs w:val="22"/>
              </w:rPr>
              <w:t>atraemi</w:t>
            </w:r>
            <w:r w:rsidRPr="00B10A75">
              <w:rPr>
                <w:b/>
                <w:sz w:val="22"/>
                <w:szCs w:val="22"/>
              </w:rPr>
              <w:t>a</w:t>
            </w:r>
            <w:r>
              <w:rPr>
                <w:b/>
                <w:sz w:val="22"/>
                <w:szCs w:val="22"/>
              </w:rPr>
              <w:t>,</w:t>
            </w:r>
            <w:r w:rsidRPr="00B10A75">
              <w:rPr>
                <w:b/>
                <w:sz w:val="22"/>
                <w:szCs w:val="22"/>
              </w:rPr>
              <w:t xml:space="preserve"> % (N)</w:t>
            </w:r>
            <w:r>
              <w:rPr>
                <w:b/>
                <w:sz w:val="22"/>
                <w:szCs w:val="22"/>
                <w:vertAlign w:val="superscript"/>
              </w:rPr>
              <w:t>b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Mild (130-134mMol/L)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Moderate (125-129mMol/L)</w:t>
            </w:r>
          </w:p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sz w:val="22"/>
                <w:szCs w:val="22"/>
              </w:rPr>
              <w:t>Severe (&lt;125mMol/L)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75.8 (25)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18.2 (6)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6.1 (2)</w:t>
            </w: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</w:tcPr>
          <w:p w:rsidR="00B73325" w:rsidRDefault="00B73325" w:rsidP="00B73325">
            <w:pPr>
              <w:spacing w:line="240" w:lineRule="auto"/>
              <w:rPr>
                <w:b/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Surgical management %(N)</w:t>
            </w:r>
          </w:p>
        </w:tc>
        <w:tc>
          <w:tcPr>
            <w:tcW w:w="0" w:type="auto"/>
          </w:tcPr>
          <w:p w:rsidR="00B7332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81.8 (27)</w:t>
            </w: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</w:tcPr>
          <w:p w:rsidR="00B73325" w:rsidRDefault="00B73325" w:rsidP="00B73325">
            <w:pPr>
              <w:spacing w:line="240" w:lineRule="auto"/>
              <w:rPr>
                <w:b/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 w:val="22"/>
                <w:szCs w:val="22"/>
              </w:rPr>
              <w:t>Length of hospital stay in days, mean (±SD)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10.3 (±8.4)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Discharge destination</w:t>
            </w:r>
            <w:r>
              <w:rPr>
                <w:b/>
                <w:sz w:val="22"/>
                <w:szCs w:val="22"/>
              </w:rPr>
              <w:t>,</w:t>
            </w:r>
            <w:r w:rsidRPr="00B10A75">
              <w:rPr>
                <w:b/>
                <w:sz w:val="22"/>
                <w:szCs w:val="22"/>
              </w:rPr>
              <w:t xml:space="preserve"> % (N)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Previous residence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>
              <w:rPr>
                <w:sz w:val="22"/>
                <w:szCs w:val="22"/>
              </w:rPr>
              <w:t>Orthop</w:t>
            </w:r>
            <w:r w:rsidRPr="00B10A75">
              <w:rPr>
                <w:sz w:val="22"/>
                <w:szCs w:val="22"/>
              </w:rPr>
              <w:t>edic rehabilitation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>
              <w:rPr>
                <w:sz w:val="22"/>
                <w:szCs w:val="22"/>
              </w:rPr>
              <w:t>Geriatric</w:t>
            </w:r>
            <w:r w:rsidRPr="00B10A75">
              <w:rPr>
                <w:sz w:val="22"/>
                <w:szCs w:val="22"/>
              </w:rPr>
              <w:t xml:space="preserve"> medicine</w:t>
            </w:r>
            <w:r>
              <w:rPr>
                <w:sz w:val="22"/>
                <w:szCs w:val="22"/>
              </w:rPr>
              <w:t xml:space="preserve"> ward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>
              <w:rPr>
                <w:sz w:val="22"/>
                <w:szCs w:val="22"/>
              </w:rPr>
              <w:t>Died</w:t>
            </w:r>
          </w:p>
        </w:tc>
        <w:tc>
          <w:tcPr>
            <w:tcW w:w="0" w:type="auto"/>
          </w:tcPr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21.2</w:t>
            </w:r>
            <w:r>
              <w:rPr>
                <w:sz w:val="22"/>
                <w:szCs w:val="22"/>
              </w:rPr>
              <w:t xml:space="preserve"> </w:t>
            </w:r>
            <w:r w:rsidRPr="00B10A75">
              <w:rPr>
                <w:sz w:val="22"/>
                <w:szCs w:val="22"/>
              </w:rPr>
              <w:t>(7)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72.7 (24)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Pr="00B10A75">
              <w:rPr>
                <w:sz w:val="22"/>
                <w:szCs w:val="22"/>
              </w:rPr>
              <w:t>(1)</w:t>
            </w: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Pr="00B10A75">
              <w:rPr>
                <w:sz w:val="22"/>
                <w:szCs w:val="22"/>
              </w:rPr>
              <w:t>(1)</w:t>
            </w:r>
          </w:p>
        </w:tc>
      </w:tr>
      <w:tr w:rsidR="00B73325" w:rsidRPr="00224863" w:rsidTr="00B73325">
        <w:trPr>
          <w:trHeight w:val="77"/>
        </w:trPr>
        <w:tc>
          <w:tcPr>
            <w:tcW w:w="0" w:type="auto"/>
            <w:tcBorders>
              <w:bottom w:val="single" w:sz="4" w:space="0" w:color="auto"/>
            </w:tcBorders>
          </w:tcPr>
          <w:p w:rsidR="00B73325" w:rsidRDefault="00B73325" w:rsidP="00B73325">
            <w:pPr>
              <w:spacing w:line="240" w:lineRule="auto"/>
              <w:rPr>
                <w:b/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b/>
                <w:szCs w:val="22"/>
              </w:rPr>
            </w:pPr>
            <w:r w:rsidRPr="00B10A75">
              <w:rPr>
                <w:b/>
                <w:sz w:val="22"/>
                <w:szCs w:val="22"/>
              </w:rPr>
              <w:t>Prevalence of hyponatraemia at discharge % (N) ***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B73325" w:rsidRDefault="00B73325" w:rsidP="00B73325">
            <w:pPr>
              <w:spacing w:line="240" w:lineRule="auto"/>
              <w:rPr>
                <w:szCs w:val="22"/>
              </w:rPr>
            </w:pPr>
          </w:p>
          <w:p w:rsidR="00B73325" w:rsidRPr="00B10A75" w:rsidRDefault="00B73325" w:rsidP="00B73325">
            <w:pPr>
              <w:spacing w:line="240" w:lineRule="auto"/>
              <w:rPr>
                <w:szCs w:val="22"/>
              </w:rPr>
            </w:pPr>
            <w:r w:rsidRPr="00B10A75">
              <w:rPr>
                <w:sz w:val="22"/>
                <w:szCs w:val="22"/>
              </w:rPr>
              <w:t>75.8(25)</w:t>
            </w:r>
          </w:p>
        </w:tc>
      </w:tr>
    </w:tbl>
    <w:p w:rsidR="00B73325" w:rsidRDefault="00B73325" w:rsidP="00B73325"/>
    <w:p w:rsidR="00B73325" w:rsidRDefault="00B73325" w:rsidP="00B73325">
      <w:pPr>
        <w:pStyle w:val="Caption"/>
        <w:rPr>
          <w:color w:val="auto"/>
          <w:sz w:val="24"/>
        </w:rPr>
      </w:pPr>
    </w:p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B73325" w:rsidP="00B73325"/>
    <w:p w:rsidR="00B73325" w:rsidRDefault="007C45DF" w:rsidP="00B73325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B89ED55" wp14:editId="15629067">
                <wp:simplePos x="0" y="0"/>
                <wp:positionH relativeFrom="column">
                  <wp:posOffset>-4358005</wp:posOffset>
                </wp:positionH>
                <wp:positionV relativeFrom="paragraph">
                  <wp:posOffset>229235</wp:posOffset>
                </wp:positionV>
                <wp:extent cx="4940300" cy="532765"/>
                <wp:effectExtent l="7620" t="11430" r="5080" b="825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0300" cy="532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067A" w:rsidRPr="001C071E" w:rsidRDefault="002D067A" w:rsidP="00B73325">
                            <w:pPr>
                              <w:spacing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vertAlign w:val="superscript"/>
                              </w:rPr>
                              <w:t>a</w:t>
                            </w:r>
                            <w:r w:rsidRPr="001C071E">
                              <w:rPr>
                                <w:sz w:val="20"/>
                              </w:rPr>
                              <w:t xml:space="preserve"> Other lower limb: all lowe</w:t>
                            </w:r>
                            <w:r>
                              <w:rPr>
                                <w:sz w:val="20"/>
                              </w:rPr>
                              <w:t>r limb fractures other than hip</w:t>
                            </w:r>
                          </w:p>
                          <w:p w:rsidR="002D067A" w:rsidRDefault="002D067A" w:rsidP="00B73325">
                            <w:pPr>
                              <w:spacing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vertAlign w:val="superscript"/>
                              </w:rPr>
                              <w:t xml:space="preserve">b </w:t>
                            </w:r>
                            <w:r>
                              <w:rPr>
                                <w:sz w:val="20"/>
                              </w:rPr>
                              <w:t>Defined by lowest serum sodium measurement in hospital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89ED5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343.15pt;margin-top:18.05pt;width:389pt;height:41.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" strokecolor="white">
                <v:textbox>
                  <w:txbxContent>
                    <w:p w:rsidR="002D067A" w:rsidRPr="001C071E" w:rsidRDefault="002D067A" w:rsidP="00B73325">
                      <w:pPr>
                        <w:spacing w:line="240" w:lineRule="auto"/>
                        <w:rPr>
                          <w:sz w:val="20"/>
                        </w:rPr>
                      </w:pPr>
                      <w:r>
                        <w:rPr>
                          <w:sz w:val="20"/>
                          <w:vertAlign w:val="superscript"/>
                        </w:rPr>
                        <w:t>a</w:t>
                      </w:r>
                      <w:r w:rsidRPr="001C071E">
                        <w:rPr>
                          <w:sz w:val="20"/>
                        </w:rPr>
                        <w:t xml:space="preserve"> Other lower limb: all lowe</w:t>
                      </w:r>
                      <w:r>
                        <w:rPr>
                          <w:sz w:val="20"/>
                        </w:rPr>
                        <w:t>r limb fractures other than hip</w:t>
                      </w:r>
                    </w:p>
                    <w:p w:rsidR="002D067A" w:rsidRDefault="002D067A" w:rsidP="00B73325">
                      <w:pPr>
                        <w:spacing w:line="240" w:lineRule="auto"/>
                        <w:rPr>
                          <w:sz w:val="20"/>
                        </w:rPr>
                      </w:pPr>
                      <w:r>
                        <w:rPr>
                          <w:sz w:val="20"/>
                          <w:vertAlign w:val="superscript"/>
                        </w:rPr>
                        <w:t xml:space="preserve">b </w:t>
                      </w:r>
                      <w:r>
                        <w:rPr>
                          <w:sz w:val="20"/>
                        </w:rPr>
                        <w:t>Defined by lowest serum sodium measurement in hospital</w:t>
                      </w:r>
                    </w:p>
                  </w:txbxContent>
                </v:textbox>
              </v:shape>
            </w:pict>
          </mc:Fallback>
        </mc:AlternateContent>
      </w:r>
    </w:p>
    <w:p w:rsidR="00B73325" w:rsidRDefault="00B73325" w:rsidP="00B73325"/>
    <w:p w:rsidR="00B73325" w:rsidRDefault="00B73325" w:rsidP="00B73325"/>
    <w:p w:rsidR="00B73325" w:rsidRDefault="00B73325" w:rsidP="00B73325">
      <w:pPr>
        <w:spacing w:after="200"/>
        <w:sectPr w:rsidR="00B73325" w:rsidSect="00B7332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B73325" w:rsidRDefault="00B73325" w:rsidP="00B73325">
      <w:pPr>
        <w:pStyle w:val="Caption"/>
        <w:rPr>
          <w:color w:val="auto"/>
          <w:sz w:val="24"/>
        </w:rPr>
      </w:pPr>
      <w:bookmarkStart w:id="8" w:name="_Toc355582570"/>
      <w:r>
        <w:rPr>
          <w:color w:val="auto"/>
          <w:sz w:val="24"/>
        </w:rPr>
        <w:lastRenderedPageBreak/>
        <w:t xml:space="preserve">Table </w:t>
      </w:r>
      <w:r w:rsidR="007C45DF">
        <w:rPr>
          <w:color w:val="auto"/>
          <w:sz w:val="24"/>
        </w:rPr>
        <w:t>5</w:t>
      </w:r>
      <w:bookmarkEnd w:id="8"/>
    </w:p>
    <w:p w:rsidR="00B73325" w:rsidRPr="007D31DB" w:rsidRDefault="00B73325" w:rsidP="00B73325"/>
    <w:tbl>
      <w:tblPr>
        <w:tblpPr w:leftFromText="180" w:rightFromText="180" w:vertAnchor="text" w:horzAnchor="margin" w:tblpY="74"/>
        <w:tblW w:w="8046" w:type="dxa"/>
        <w:tblLook w:val="04A0" w:firstRow="1" w:lastRow="0" w:firstColumn="1" w:lastColumn="0" w:noHBand="0" w:noVBand="1"/>
      </w:tblPr>
      <w:tblGrid>
        <w:gridCol w:w="2376"/>
        <w:gridCol w:w="1070"/>
        <w:gridCol w:w="1671"/>
        <w:gridCol w:w="1510"/>
        <w:gridCol w:w="1419"/>
      </w:tblGrid>
      <w:tr w:rsidR="00B73325" w:rsidRPr="000020E8" w:rsidTr="00B73325">
        <w:trPr>
          <w:trHeight w:val="982"/>
        </w:trPr>
        <w:tc>
          <w:tcPr>
            <w:tcW w:w="2376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b/>
              </w:rPr>
            </w:pPr>
            <w:r w:rsidRPr="000020E8">
              <w:rPr>
                <w:b/>
              </w:rPr>
              <w:t>Comparative method</w:t>
            </w:r>
          </w:p>
        </w:tc>
        <w:tc>
          <w:tcPr>
            <w:tcW w:w="1070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b/>
              </w:rPr>
            </w:pPr>
            <w:r w:rsidRPr="000020E8">
              <w:rPr>
                <w:b/>
              </w:rPr>
              <w:t>Number of cases</w:t>
            </w: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b/>
              </w:rPr>
            </w:pPr>
            <w:r>
              <w:rPr>
                <w:b/>
              </w:rPr>
              <w:t xml:space="preserve">Kappa </w:t>
            </w:r>
            <w:r w:rsidRPr="000020E8">
              <w:rPr>
                <w:b/>
              </w:rPr>
              <w:t xml:space="preserve"> (95%CI) 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b/>
              </w:rPr>
            </w:pPr>
            <w:r>
              <w:rPr>
                <w:b/>
              </w:rPr>
              <w:t>S</w:t>
            </w:r>
            <w:r w:rsidRPr="000020E8">
              <w:rPr>
                <w:b/>
              </w:rPr>
              <w:t>uggested utility</w:t>
            </w:r>
          </w:p>
        </w:tc>
        <w:tc>
          <w:tcPr>
            <w:tcW w:w="1419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rPr>
                <w:b/>
              </w:rPr>
            </w:pPr>
            <w:r w:rsidRPr="000020E8">
              <w:rPr>
                <w:b/>
              </w:rPr>
              <w:t>P value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  <w:tcBorders>
              <w:top w:val="single" w:sz="4" w:space="0" w:color="auto"/>
            </w:tcBorders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BIA</w:t>
            </w:r>
          </w:p>
        </w:tc>
        <w:tc>
          <w:tcPr>
            <w:tcW w:w="1070" w:type="dxa"/>
            <w:tcBorders>
              <w:top w:val="single" w:sz="4" w:space="0" w:color="auto"/>
            </w:tcBorders>
          </w:tcPr>
          <w:p w:rsidR="00B73325" w:rsidRPr="000020E8" w:rsidRDefault="00B73325" w:rsidP="00B73325">
            <w:r w:rsidRPr="000020E8">
              <w:t>26</w:t>
            </w:r>
          </w:p>
        </w:tc>
        <w:tc>
          <w:tcPr>
            <w:tcW w:w="1671" w:type="dxa"/>
            <w:tcBorders>
              <w:top w:val="single" w:sz="4" w:space="0" w:color="auto"/>
            </w:tcBorders>
          </w:tcPr>
          <w:p w:rsidR="00B73325" w:rsidRPr="000020E8" w:rsidRDefault="00B73325" w:rsidP="00B73325">
            <w:r>
              <w:t>0.52</w:t>
            </w:r>
          </w:p>
          <w:p w:rsidR="00B73325" w:rsidRPr="000020E8" w:rsidRDefault="00B73325" w:rsidP="00B73325">
            <w:r w:rsidRPr="000020E8">
              <w:t>(0.22-0.82)</w:t>
            </w:r>
          </w:p>
        </w:tc>
        <w:tc>
          <w:tcPr>
            <w:tcW w:w="1510" w:type="dxa"/>
            <w:tcBorders>
              <w:top w:val="single" w:sz="4" w:space="0" w:color="auto"/>
            </w:tcBorders>
          </w:tcPr>
          <w:p w:rsidR="00B73325" w:rsidRPr="000020E8" w:rsidRDefault="00B73325" w:rsidP="00B73325">
            <w:r>
              <w:t>Moderate</w:t>
            </w:r>
            <w:r w:rsidRPr="000020E8">
              <w:t xml:space="preserve"> </w:t>
            </w:r>
          </w:p>
        </w:tc>
        <w:tc>
          <w:tcPr>
            <w:tcW w:w="1419" w:type="dxa"/>
            <w:tcBorders>
              <w:top w:val="single" w:sz="4" w:space="0" w:color="auto"/>
            </w:tcBorders>
          </w:tcPr>
          <w:p w:rsidR="00B73325" w:rsidRPr="000020E8" w:rsidRDefault="00B73325" w:rsidP="00B73325">
            <w:r>
              <w:t>&lt;</w:t>
            </w:r>
            <w:r w:rsidRPr="000020E8">
              <w:t>.001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>
              <w:rPr>
                <w:b/>
              </w:rPr>
              <w:t>Overall assessment of vol</w:t>
            </w:r>
            <w:r w:rsidRPr="000020E8">
              <w:rPr>
                <w:b/>
              </w:rPr>
              <w:t>emic status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</w:tcPr>
          <w:p w:rsidR="00B73325" w:rsidRPr="000020E8" w:rsidRDefault="00B73325" w:rsidP="00B73325">
            <w:r>
              <w:t>0.08</w:t>
            </w:r>
          </w:p>
          <w:p w:rsidR="00B73325" w:rsidRPr="000020E8" w:rsidRDefault="00B73325" w:rsidP="00B73325">
            <w:r w:rsidRPr="000020E8">
              <w:t>(-</w:t>
            </w:r>
            <w:r>
              <w:t>0.</w:t>
            </w:r>
            <w:r w:rsidRPr="000020E8">
              <w:t>2-0.37)</w:t>
            </w:r>
          </w:p>
        </w:tc>
        <w:tc>
          <w:tcPr>
            <w:tcW w:w="1510" w:type="dxa"/>
          </w:tcPr>
          <w:p w:rsidR="00B73325" w:rsidRPr="000020E8" w:rsidRDefault="00B73325" w:rsidP="00B73325">
            <w:r>
              <w:t>Slight</w:t>
            </w:r>
            <w:r w:rsidRPr="000020E8">
              <w:t xml:space="preserve"> 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.5</w:t>
            </w:r>
            <w:r>
              <w:t>7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Skin turgor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</w:tcPr>
          <w:p w:rsidR="00B73325" w:rsidRPr="000020E8" w:rsidRDefault="00B73325" w:rsidP="00B73325">
            <w:r>
              <w:t>0.14</w:t>
            </w:r>
          </w:p>
          <w:p w:rsidR="00B73325" w:rsidRPr="000020E8" w:rsidRDefault="00B73325" w:rsidP="00B73325">
            <w:r w:rsidRPr="000020E8">
              <w:t>(-0.2-0.46)</w:t>
            </w:r>
          </w:p>
        </w:tc>
        <w:tc>
          <w:tcPr>
            <w:tcW w:w="1510" w:type="dxa"/>
          </w:tcPr>
          <w:p w:rsidR="00B73325" w:rsidRPr="000020E8" w:rsidRDefault="00B73325" w:rsidP="00B73325">
            <w:r w:rsidRPr="000020E8">
              <w:t>Sl</w:t>
            </w:r>
            <w:r>
              <w:t>ight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.36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Capillary refill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</w:tcPr>
          <w:p w:rsidR="00B73325" w:rsidRPr="000020E8" w:rsidRDefault="00B73325" w:rsidP="00B73325">
            <w:r w:rsidRPr="000020E8">
              <w:t>-0.1</w:t>
            </w:r>
            <w:r>
              <w:t>7</w:t>
            </w:r>
          </w:p>
          <w:p w:rsidR="00B73325" w:rsidRPr="000020E8" w:rsidRDefault="00B73325" w:rsidP="00B73325">
            <w:r w:rsidRPr="000020E8">
              <w:t>(-0.38-0.05)</w:t>
            </w:r>
          </w:p>
        </w:tc>
        <w:tc>
          <w:tcPr>
            <w:tcW w:w="1510" w:type="dxa"/>
          </w:tcPr>
          <w:p w:rsidR="00B73325" w:rsidRPr="000020E8" w:rsidRDefault="00B73325" w:rsidP="00B73325">
            <w:r>
              <w:t>Nil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.0</w:t>
            </w:r>
            <w:r>
              <w:t>4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Axillary moistness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</w:tcPr>
          <w:p w:rsidR="00B73325" w:rsidRPr="000020E8" w:rsidRDefault="00B73325" w:rsidP="00B73325">
            <w:r w:rsidRPr="000020E8">
              <w:t>-0.0</w:t>
            </w:r>
            <w:r>
              <w:t>1</w:t>
            </w:r>
          </w:p>
          <w:p w:rsidR="00B73325" w:rsidRPr="000020E8" w:rsidRDefault="00B73325" w:rsidP="00B73325">
            <w:r w:rsidRPr="000020E8">
              <w:t>(-0.29-0.28)</w:t>
            </w:r>
          </w:p>
        </w:tc>
        <w:tc>
          <w:tcPr>
            <w:tcW w:w="1510" w:type="dxa"/>
          </w:tcPr>
          <w:p w:rsidR="00B73325" w:rsidRPr="000020E8" w:rsidRDefault="00B73325" w:rsidP="00B73325">
            <w:r>
              <w:t>Nil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.96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Mouth moistness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</w:tcPr>
          <w:p w:rsidR="00B73325" w:rsidRPr="000020E8" w:rsidRDefault="00B73325" w:rsidP="00B73325">
            <w:r w:rsidRPr="000020E8">
              <w:t>-0.004</w:t>
            </w:r>
          </w:p>
          <w:p w:rsidR="00B73325" w:rsidRPr="000020E8" w:rsidRDefault="00B73325" w:rsidP="00B73325">
            <w:r w:rsidRPr="000020E8">
              <w:t>( -0.35-0.34)</w:t>
            </w:r>
          </w:p>
        </w:tc>
        <w:tc>
          <w:tcPr>
            <w:tcW w:w="1510" w:type="dxa"/>
          </w:tcPr>
          <w:p w:rsidR="00B73325" w:rsidRPr="000020E8" w:rsidRDefault="00B73325" w:rsidP="00B73325">
            <w:r>
              <w:t>Nil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.98</w:t>
            </w:r>
          </w:p>
        </w:tc>
      </w:tr>
      <w:tr w:rsidR="00B73325" w:rsidRPr="000020E8" w:rsidTr="00B73325">
        <w:trPr>
          <w:trHeight w:val="679"/>
        </w:trPr>
        <w:tc>
          <w:tcPr>
            <w:tcW w:w="2376" w:type="dxa"/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Jugular venous distension</w:t>
            </w:r>
          </w:p>
        </w:tc>
        <w:tc>
          <w:tcPr>
            <w:tcW w:w="1070" w:type="dxa"/>
          </w:tcPr>
          <w:p w:rsidR="00B73325" w:rsidRPr="000020E8" w:rsidRDefault="00B73325" w:rsidP="00B73325">
            <w:r w:rsidRPr="000020E8">
              <w:t>29</w:t>
            </w:r>
          </w:p>
        </w:tc>
        <w:tc>
          <w:tcPr>
            <w:tcW w:w="1671" w:type="dxa"/>
          </w:tcPr>
          <w:p w:rsidR="00B73325" w:rsidRPr="000020E8" w:rsidRDefault="00B73325" w:rsidP="00B73325">
            <w:r w:rsidRPr="000020E8">
              <w:t>-0.1</w:t>
            </w:r>
            <w:r>
              <w:t>2</w:t>
            </w:r>
          </w:p>
          <w:p w:rsidR="00B73325" w:rsidRPr="000020E8" w:rsidRDefault="00B73325" w:rsidP="00B73325">
            <w:r w:rsidRPr="000020E8">
              <w:t>( -0.32-0.08)</w:t>
            </w:r>
          </w:p>
        </w:tc>
        <w:tc>
          <w:tcPr>
            <w:tcW w:w="1510" w:type="dxa"/>
          </w:tcPr>
          <w:p w:rsidR="00B73325" w:rsidRPr="000020E8" w:rsidRDefault="00B73325" w:rsidP="00B73325">
            <w:r>
              <w:t>Nil</w:t>
            </w:r>
          </w:p>
        </w:tc>
        <w:tc>
          <w:tcPr>
            <w:tcW w:w="1419" w:type="dxa"/>
          </w:tcPr>
          <w:p w:rsidR="00B73325" w:rsidRPr="000020E8" w:rsidRDefault="00B73325" w:rsidP="00B73325">
            <w:r w:rsidRPr="000020E8">
              <w:t>.08</w:t>
            </w:r>
          </w:p>
        </w:tc>
      </w:tr>
      <w:tr w:rsidR="00B73325" w:rsidRPr="000020E8" w:rsidTr="00B73325">
        <w:trPr>
          <w:trHeight w:val="345"/>
        </w:trPr>
        <w:tc>
          <w:tcPr>
            <w:tcW w:w="2376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jc w:val="left"/>
              <w:rPr>
                <w:b/>
              </w:rPr>
            </w:pPr>
            <w:r w:rsidRPr="000020E8">
              <w:rPr>
                <w:b/>
              </w:rPr>
              <w:t>Peripheral oedema</w:t>
            </w:r>
          </w:p>
        </w:tc>
        <w:tc>
          <w:tcPr>
            <w:tcW w:w="1070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r w:rsidRPr="000020E8">
              <w:t>33</w:t>
            </w: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r w:rsidRPr="000020E8">
              <w:t>-0.0</w:t>
            </w:r>
            <w:r>
              <w:t xml:space="preserve">6 </w:t>
            </w:r>
          </w:p>
          <w:p w:rsidR="00B73325" w:rsidRPr="000020E8" w:rsidRDefault="00B73325" w:rsidP="00B73325">
            <w:r w:rsidRPr="000020E8">
              <w:t>( -0.16-0.05)</w:t>
            </w:r>
          </w:p>
        </w:tc>
        <w:tc>
          <w:tcPr>
            <w:tcW w:w="1510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r>
              <w:t>Nil</w:t>
            </w:r>
          </w:p>
        </w:tc>
        <w:tc>
          <w:tcPr>
            <w:tcW w:w="1419" w:type="dxa"/>
            <w:tcBorders>
              <w:bottom w:val="single" w:sz="4" w:space="0" w:color="auto"/>
            </w:tcBorders>
          </w:tcPr>
          <w:p w:rsidR="00B73325" w:rsidRPr="000020E8" w:rsidRDefault="00B73325" w:rsidP="00B73325">
            <w:pPr>
              <w:keepNext/>
            </w:pPr>
            <w:r w:rsidRPr="000020E8">
              <w:t>.53</w:t>
            </w:r>
          </w:p>
        </w:tc>
      </w:tr>
    </w:tbl>
    <w:p w:rsidR="00B73325" w:rsidRDefault="00B73325" w:rsidP="00B73325"/>
    <w:p w:rsidR="00B73325" w:rsidRPr="007D31DB" w:rsidRDefault="00B73325" w:rsidP="00B73325"/>
    <w:p w:rsidR="00F26D58" w:rsidRDefault="00F26D58" w:rsidP="00E638B6">
      <w:pPr>
        <w:spacing w:line="240" w:lineRule="auto"/>
        <w:jc w:val="left"/>
      </w:pPr>
    </w:p>
    <w:p w:rsidR="00E638B6" w:rsidRPr="00F26D58" w:rsidRDefault="00E638B6" w:rsidP="00E638B6">
      <w:pPr>
        <w:spacing w:line="240" w:lineRule="auto"/>
        <w:jc w:val="left"/>
      </w:pPr>
    </w:p>
    <w:sectPr w:rsidR="00E638B6" w:rsidRPr="00F26D58" w:rsidSect="00E638B6">
      <w:headerReference w:type="even" r:id="rId11"/>
      <w:headerReference w:type="default" r:id="rId12"/>
      <w:footerReference w:type="even" r:id="rId13"/>
      <w:headerReference w:type="first" r:id="rId14"/>
      <w:footerReference w:type="first" r:id="rId15"/>
      <w:pgSz w:w="11906" w:h="16838"/>
      <w:pgMar w:top="1418" w:right="1418" w:bottom="1418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49FB" w:rsidRDefault="00B649FB">
      <w:r>
        <w:separator/>
      </w:r>
    </w:p>
  </w:endnote>
  <w:endnote w:type="continuationSeparator" w:id="0">
    <w:p w:rsidR="00B649FB" w:rsidRDefault="00B64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96266"/>
      <w:docPartObj>
        <w:docPartGallery w:val="Page Numbers (Bottom of Page)"/>
        <w:docPartUnique/>
      </w:docPartObj>
    </w:sdtPr>
    <w:sdtEndPr/>
    <w:sdtContent>
      <w:p w:rsidR="002D067A" w:rsidRDefault="0071723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7567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D067A" w:rsidRDefault="002D067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67A" w:rsidRDefault="002D067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67A" w:rsidRDefault="002D06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49FB" w:rsidRDefault="00B649FB">
      <w:r>
        <w:separator/>
      </w:r>
    </w:p>
  </w:footnote>
  <w:footnote w:type="continuationSeparator" w:id="0">
    <w:p w:rsidR="00B649FB" w:rsidRDefault="00B649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67A" w:rsidRDefault="002D067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67A" w:rsidRDefault="002D067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67A" w:rsidRDefault="002D067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C1773"/>
    <w:multiLevelType w:val="hybridMultilevel"/>
    <w:tmpl w:val="95128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E364B3"/>
    <w:multiLevelType w:val="hybridMultilevel"/>
    <w:tmpl w:val="D062E8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F6C"/>
    <w:multiLevelType w:val="hybridMultilevel"/>
    <w:tmpl w:val="12CC89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B7620A"/>
    <w:multiLevelType w:val="hybridMultilevel"/>
    <w:tmpl w:val="DC0C5D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0455A2"/>
    <w:multiLevelType w:val="hybridMultilevel"/>
    <w:tmpl w:val="F38C0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3B52A0"/>
    <w:multiLevelType w:val="hybridMultilevel"/>
    <w:tmpl w:val="3A8C8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0F6CA6"/>
    <w:multiLevelType w:val="hybridMultilevel"/>
    <w:tmpl w:val="C16A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223C9C"/>
    <w:multiLevelType w:val="hybridMultilevel"/>
    <w:tmpl w:val="C94CE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D7EB4"/>
    <w:multiLevelType w:val="hybridMultilevel"/>
    <w:tmpl w:val="ABA4661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9385A"/>
    <w:multiLevelType w:val="hybridMultilevel"/>
    <w:tmpl w:val="28F0EC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4418AA"/>
    <w:multiLevelType w:val="hybridMultilevel"/>
    <w:tmpl w:val="4A5AB474"/>
    <w:lvl w:ilvl="0" w:tplc="AA982B2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141361"/>
    <w:multiLevelType w:val="hybridMultilevel"/>
    <w:tmpl w:val="6504A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6F2DD1"/>
    <w:multiLevelType w:val="hybridMultilevel"/>
    <w:tmpl w:val="B50AB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A57D2B"/>
    <w:multiLevelType w:val="hybridMultilevel"/>
    <w:tmpl w:val="3D5A12CA"/>
    <w:lvl w:ilvl="0" w:tplc="E70C73CE">
      <w:start w:val="1"/>
      <w:numFmt w:val="decimal"/>
      <w:lvlText w:val="%1)"/>
      <w:lvlJc w:val="left"/>
      <w:pPr>
        <w:ind w:left="855" w:hanging="49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9B22A1"/>
    <w:multiLevelType w:val="hybridMultilevel"/>
    <w:tmpl w:val="BD223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5C62DC"/>
    <w:multiLevelType w:val="hybridMultilevel"/>
    <w:tmpl w:val="2FFE711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3D6043"/>
    <w:multiLevelType w:val="hybridMultilevel"/>
    <w:tmpl w:val="508805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FA1D05"/>
    <w:multiLevelType w:val="hybridMultilevel"/>
    <w:tmpl w:val="D9E6FF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AB5A63"/>
    <w:multiLevelType w:val="hybridMultilevel"/>
    <w:tmpl w:val="8F46F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687E2C"/>
    <w:multiLevelType w:val="hybridMultilevel"/>
    <w:tmpl w:val="88F24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467C2F"/>
    <w:multiLevelType w:val="hybridMultilevel"/>
    <w:tmpl w:val="F6085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662764"/>
    <w:multiLevelType w:val="hybridMultilevel"/>
    <w:tmpl w:val="C5469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887CCE"/>
    <w:multiLevelType w:val="hybridMultilevel"/>
    <w:tmpl w:val="787EFF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7A7690"/>
    <w:multiLevelType w:val="hybridMultilevel"/>
    <w:tmpl w:val="7C124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A850F1"/>
    <w:multiLevelType w:val="hybridMultilevel"/>
    <w:tmpl w:val="FDF2CB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2662B3"/>
    <w:multiLevelType w:val="hybridMultilevel"/>
    <w:tmpl w:val="8B4C8798"/>
    <w:lvl w:ilvl="0" w:tplc="08090001">
      <w:start w:val="1"/>
      <w:numFmt w:val="bullet"/>
      <w:lvlText w:val=""/>
      <w:lvlJc w:val="left"/>
      <w:pPr>
        <w:ind w:left="159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51" w:hanging="360"/>
      </w:pPr>
      <w:rPr>
        <w:rFonts w:ascii="Wingdings" w:hAnsi="Wingdings" w:hint="default"/>
      </w:rPr>
    </w:lvl>
  </w:abstractNum>
  <w:abstractNum w:abstractNumId="26" w15:restartNumberingAfterBreak="0">
    <w:nsid w:val="5A083CA9"/>
    <w:multiLevelType w:val="hybridMultilevel"/>
    <w:tmpl w:val="207E0CAE"/>
    <w:lvl w:ilvl="0" w:tplc="E70C73CE">
      <w:start w:val="1"/>
      <w:numFmt w:val="decimal"/>
      <w:lvlText w:val="%1)"/>
      <w:lvlJc w:val="left"/>
      <w:pPr>
        <w:ind w:left="855" w:hanging="49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9252EE"/>
    <w:multiLevelType w:val="hybridMultilevel"/>
    <w:tmpl w:val="2910A9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820649"/>
    <w:multiLevelType w:val="hybridMultilevel"/>
    <w:tmpl w:val="A1E6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0D7F7F"/>
    <w:multiLevelType w:val="hybridMultilevel"/>
    <w:tmpl w:val="0AA26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860BBE"/>
    <w:multiLevelType w:val="hybridMultilevel"/>
    <w:tmpl w:val="76BEEC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302816"/>
    <w:multiLevelType w:val="hybridMultilevel"/>
    <w:tmpl w:val="47749A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8D69D1"/>
    <w:multiLevelType w:val="hybridMultilevel"/>
    <w:tmpl w:val="9580DC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B91425"/>
    <w:multiLevelType w:val="hybridMultilevel"/>
    <w:tmpl w:val="29EA7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D041B9"/>
    <w:multiLevelType w:val="hybridMultilevel"/>
    <w:tmpl w:val="0E16B3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1D47E1"/>
    <w:multiLevelType w:val="hybridMultilevel"/>
    <w:tmpl w:val="A2AE83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267C2E"/>
    <w:multiLevelType w:val="hybridMultilevel"/>
    <w:tmpl w:val="AA0E5A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034327"/>
    <w:multiLevelType w:val="hybridMultilevel"/>
    <w:tmpl w:val="52BA2E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82571C"/>
    <w:multiLevelType w:val="hybridMultilevel"/>
    <w:tmpl w:val="4FB0969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025104"/>
    <w:multiLevelType w:val="hybridMultilevel"/>
    <w:tmpl w:val="7D76B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7310C4"/>
    <w:multiLevelType w:val="multilevel"/>
    <w:tmpl w:val="10469C0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5"/>
  </w:num>
  <w:num w:numId="3">
    <w:abstractNumId w:val="7"/>
  </w:num>
  <w:num w:numId="4">
    <w:abstractNumId w:val="36"/>
  </w:num>
  <w:num w:numId="5">
    <w:abstractNumId w:val="2"/>
  </w:num>
  <w:num w:numId="6">
    <w:abstractNumId w:val="22"/>
  </w:num>
  <w:num w:numId="7">
    <w:abstractNumId w:val="17"/>
  </w:num>
  <w:num w:numId="8">
    <w:abstractNumId w:val="11"/>
  </w:num>
  <w:num w:numId="9">
    <w:abstractNumId w:val="20"/>
  </w:num>
  <w:num w:numId="10">
    <w:abstractNumId w:val="8"/>
  </w:num>
  <w:num w:numId="11">
    <w:abstractNumId w:val="6"/>
  </w:num>
  <w:num w:numId="12">
    <w:abstractNumId w:val="0"/>
  </w:num>
  <w:num w:numId="13">
    <w:abstractNumId w:val="31"/>
  </w:num>
  <w:num w:numId="14">
    <w:abstractNumId w:val="21"/>
  </w:num>
  <w:num w:numId="15">
    <w:abstractNumId w:val="16"/>
  </w:num>
  <w:num w:numId="16">
    <w:abstractNumId w:val="34"/>
  </w:num>
  <w:num w:numId="17">
    <w:abstractNumId w:val="28"/>
  </w:num>
  <w:num w:numId="18">
    <w:abstractNumId w:val="24"/>
  </w:num>
  <w:num w:numId="19">
    <w:abstractNumId w:val="39"/>
  </w:num>
  <w:num w:numId="20">
    <w:abstractNumId w:val="18"/>
  </w:num>
  <w:num w:numId="21">
    <w:abstractNumId w:val="23"/>
  </w:num>
  <w:num w:numId="22">
    <w:abstractNumId w:val="33"/>
  </w:num>
  <w:num w:numId="23">
    <w:abstractNumId w:val="3"/>
  </w:num>
  <w:num w:numId="24">
    <w:abstractNumId w:val="9"/>
  </w:num>
  <w:num w:numId="25">
    <w:abstractNumId w:val="27"/>
  </w:num>
  <w:num w:numId="26">
    <w:abstractNumId w:val="5"/>
  </w:num>
  <w:num w:numId="27">
    <w:abstractNumId w:val="35"/>
  </w:num>
  <w:num w:numId="28">
    <w:abstractNumId w:val="38"/>
  </w:num>
  <w:num w:numId="29">
    <w:abstractNumId w:val="1"/>
  </w:num>
  <w:num w:numId="30">
    <w:abstractNumId w:val="26"/>
  </w:num>
  <w:num w:numId="31">
    <w:abstractNumId w:val="32"/>
  </w:num>
  <w:num w:numId="32">
    <w:abstractNumId w:val="13"/>
  </w:num>
  <w:num w:numId="33">
    <w:abstractNumId w:val="4"/>
  </w:num>
  <w:num w:numId="34">
    <w:abstractNumId w:val="40"/>
  </w:num>
  <w:num w:numId="35">
    <w:abstractNumId w:val="12"/>
  </w:num>
  <w:num w:numId="36">
    <w:abstractNumId w:val="19"/>
  </w:num>
  <w:num w:numId="37">
    <w:abstractNumId w:val="15"/>
  </w:num>
  <w:num w:numId="38">
    <w:abstractNumId w:val="14"/>
  </w:num>
  <w:num w:numId="39">
    <w:abstractNumId w:val="29"/>
  </w:num>
  <w:num w:numId="40">
    <w:abstractNumId w:val="10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trackRevisions/>
  <w:defaultTabStop w:val="720"/>
  <w:drawingGridHorizontalSpacing w:val="120"/>
  <w:displayHorizontalDrawingGridEvery w:val="2"/>
  <w:characterSpacingControl w:val="doNotCompress"/>
  <w:hdrShapeDefaults>
    <o:shapedefaults v:ext="edit" spidmax="2049" style="v-text-anchor:middle" fillcolor="#a5a5a5" stroke="f" strokecolor="blue">
      <v:fill color="#a5a5a5" color2="#9bc1ff" rotate="t"/>
      <v:stroke color="blue" on="f"/>
      <v:shadow on="t" opacity="22937f" origin=",.5" offset="0,.63889mm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C44"/>
    <w:rsid w:val="00000148"/>
    <w:rsid w:val="000020E8"/>
    <w:rsid w:val="0000308A"/>
    <w:rsid w:val="000034E1"/>
    <w:rsid w:val="00005B2D"/>
    <w:rsid w:val="00005CEE"/>
    <w:rsid w:val="00007610"/>
    <w:rsid w:val="00012966"/>
    <w:rsid w:val="0001446C"/>
    <w:rsid w:val="0001681F"/>
    <w:rsid w:val="00017493"/>
    <w:rsid w:val="00017FFB"/>
    <w:rsid w:val="000243D9"/>
    <w:rsid w:val="00026891"/>
    <w:rsid w:val="000277A8"/>
    <w:rsid w:val="00027D83"/>
    <w:rsid w:val="00035C4E"/>
    <w:rsid w:val="000370A8"/>
    <w:rsid w:val="00043A4D"/>
    <w:rsid w:val="0004485C"/>
    <w:rsid w:val="00045630"/>
    <w:rsid w:val="00047879"/>
    <w:rsid w:val="00050C98"/>
    <w:rsid w:val="000522F2"/>
    <w:rsid w:val="00054702"/>
    <w:rsid w:val="00055A83"/>
    <w:rsid w:val="00055FF9"/>
    <w:rsid w:val="00057780"/>
    <w:rsid w:val="000613AE"/>
    <w:rsid w:val="000625CF"/>
    <w:rsid w:val="00065032"/>
    <w:rsid w:val="000662A2"/>
    <w:rsid w:val="00067389"/>
    <w:rsid w:val="00070631"/>
    <w:rsid w:val="00075F40"/>
    <w:rsid w:val="00076EB9"/>
    <w:rsid w:val="00077187"/>
    <w:rsid w:val="000804B9"/>
    <w:rsid w:val="00080A38"/>
    <w:rsid w:val="00080EB6"/>
    <w:rsid w:val="00081339"/>
    <w:rsid w:val="0008395D"/>
    <w:rsid w:val="000849FD"/>
    <w:rsid w:val="00090EDA"/>
    <w:rsid w:val="00091C8A"/>
    <w:rsid w:val="00092385"/>
    <w:rsid w:val="000959D9"/>
    <w:rsid w:val="000979E9"/>
    <w:rsid w:val="000A2E38"/>
    <w:rsid w:val="000A4CA0"/>
    <w:rsid w:val="000A76D7"/>
    <w:rsid w:val="000C0AF5"/>
    <w:rsid w:val="000C13D9"/>
    <w:rsid w:val="000C572B"/>
    <w:rsid w:val="000C6CBF"/>
    <w:rsid w:val="000C6EA5"/>
    <w:rsid w:val="000C7F4E"/>
    <w:rsid w:val="000E0C18"/>
    <w:rsid w:val="000E3C10"/>
    <w:rsid w:val="000E6017"/>
    <w:rsid w:val="000E682B"/>
    <w:rsid w:val="000F1614"/>
    <w:rsid w:val="000F1709"/>
    <w:rsid w:val="000F23FD"/>
    <w:rsid w:val="000F2902"/>
    <w:rsid w:val="000F4017"/>
    <w:rsid w:val="000F63CE"/>
    <w:rsid w:val="000F6C3D"/>
    <w:rsid w:val="000F779B"/>
    <w:rsid w:val="001013FC"/>
    <w:rsid w:val="001044A7"/>
    <w:rsid w:val="0010658F"/>
    <w:rsid w:val="00110015"/>
    <w:rsid w:val="00112A00"/>
    <w:rsid w:val="00115016"/>
    <w:rsid w:val="0012250B"/>
    <w:rsid w:val="00122A8F"/>
    <w:rsid w:val="00124335"/>
    <w:rsid w:val="0013226D"/>
    <w:rsid w:val="00133FF0"/>
    <w:rsid w:val="0013626F"/>
    <w:rsid w:val="00137593"/>
    <w:rsid w:val="00141DCB"/>
    <w:rsid w:val="001440C7"/>
    <w:rsid w:val="00153C7A"/>
    <w:rsid w:val="00154582"/>
    <w:rsid w:val="00155A70"/>
    <w:rsid w:val="00157E85"/>
    <w:rsid w:val="00164A84"/>
    <w:rsid w:val="00165298"/>
    <w:rsid w:val="001670FD"/>
    <w:rsid w:val="001678B9"/>
    <w:rsid w:val="00174D24"/>
    <w:rsid w:val="001759A8"/>
    <w:rsid w:val="001834CD"/>
    <w:rsid w:val="00183EEC"/>
    <w:rsid w:val="001906B6"/>
    <w:rsid w:val="00190A9F"/>
    <w:rsid w:val="00194F02"/>
    <w:rsid w:val="001A74DC"/>
    <w:rsid w:val="001A7819"/>
    <w:rsid w:val="001B2293"/>
    <w:rsid w:val="001B2880"/>
    <w:rsid w:val="001B3039"/>
    <w:rsid w:val="001B312F"/>
    <w:rsid w:val="001B31E5"/>
    <w:rsid w:val="001B465E"/>
    <w:rsid w:val="001B68A2"/>
    <w:rsid w:val="001C221B"/>
    <w:rsid w:val="001C641A"/>
    <w:rsid w:val="001C671A"/>
    <w:rsid w:val="001D5612"/>
    <w:rsid w:val="001F37B8"/>
    <w:rsid w:val="001F5C04"/>
    <w:rsid w:val="00201079"/>
    <w:rsid w:val="00202968"/>
    <w:rsid w:val="002120B8"/>
    <w:rsid w:val="0021365D"/>
    <w:rsid w:val="00215E5F"/>
    <w:rsid w:val="0022243F"/>
    <w:rsid w:val="00222D68"/>
    <w:rsid w:val="0022495F"/>
    <w:rsid w:val="00232811"/>
    <w:rsid w:val="00234176"/>
    <w:rsid w:val="002350FD"/>
    <w:rsid w:val="00235243"/>
    <w:rsid w:val="0023773E"/>
    <w:rsid w:val="0024297E"/>
    <w:rsid w:val="00243000"/>
    <w:rsid w:val="002445B4"/>
    <w:rsid w:val="00246991"/>
    <w:rsid w:val="00256457"/>
    <w:rsid w:val="002568DC"/>
    <w:rsid w:val="00262851"/>
    <w:rsid w:val="0026657C"/>
    <w:rsid w:val="0027262E"/>
    <w:rsid w:val="002802A6"/>
    <w:rsid w:val="002811C8"/>
    <w:rsid w:val="00286A88"/>
    <w:rsid w:val="00286AA4"/>
    <w:rsid w:val="002A186B"/>
    <w:rsid w:val="002A304F"/>
    <w:rsid w:val="002A6A69"/>
    <w:rsid w:val="002A7754"/>
    <w:rsid w:val="002B0D69"/>
    <w:rsid w:val="002B5E37"/>
    <w:rsid w:val="002C13DB"/>
    <w:rsid w:val="002C1A4A"/>
    <w:rsid w:val="002C70E8"/>
    <w:rsid w:val="002D067A"/>
    <w:rsid w:val="002D6D73"/>
    <w:rsid w:val="002D6EB1"/>
    <w:rsid w:val="002D7E2F"/>
    <w:rsid w:val="002E15EC"/>
    <w:rsid w:val="002E2898"/>
    <w:rsid w:val="002E62FB"/>
    <w:rsid w:val="002E7AC0"/>
    <w:rsid w:val="002F19A2"/>
    <w:rsid w:val="002F3011"/>
    <w:rsid w:val="002F39D6"/>
    <w:rsid w:val="002F7A21"/>
    <w:rsid w:val="002F7E3E"/>
    <w:rsid w:val="0030263C"/>
    <w:rsid w:val="00303CB8"/>
    <w:rsid w:val="00304705"/>
    <w:rsid w:val="00305252"/>
    <w:rsid w:val="00311D27"/>
    <w:rsid w:val="00313084"/>
    <w:rsid w:val="00314205"/>
    <w:rsid w:val="00316BE8"/>
    <w:rsid w:val="00320251"/>
    <w:rsid w:val="00330946"/>
    <w:rsid w:val="00335720"/>
    <w:rsid w:val="003377A3"/>
    <w:rsid w:val="00342F4A"/>
    <w:rsid w:val="00343CBC"/>
    <w:rsid w:val="00344C84"/>
    <w:rsid w:val="00353552"/>
    <w:rsid w:val="00354702"/>
    <w:rsid w:val="003579C8"/>
    <w:rsid w:val="00357FAA"/>
    <w:rsid w:val="00364928"/>
    <w:rsid w:val="003703C8"/>
    <w:rsid w:val="0037098F"/>
    <w:rsid w:val="003732B5"/>
    <w:rsid w:val="00376351"/>
    <w:rsid w:val="003813CF"/>
    <w:rsid w:val="0038265D"/>
    <w:rsid w:val="00383128"/>
    <w:rsid w:val="00386D63"/>
    <w:rsid w:val="00392D77"/>
    <w:rsid w:val="0039445D"/>
    <w:rsid w:val="00396C90"/>
    <w:rsid w:val="003A130D"/>
    <w:rsid w:val="003A31DC"/>
    <w:rsid w:val="003A4110"/>
    <w:rsid w:val="003A68F7"/>
    <w:rsid w:val="003B07B8"/>
    <w:rsid w:val="003B1DA2"/>
    <w:rsid w:val="003B3B3F"/>
    <w:rsid w:val="003C2B5F"/>
    <w:rsid w:val="003C52B7"/>
    <w:rsid w:val="003C5E02"/>
    <w:rsid w:val="003C5FBD"/>
    <w:rsid w:val="003D2D1C"/>
    <w:rsid w:val="003D3143"/>
    <w:rsid w:val="003D388E"/>
    <w:rsid w:val="003D6052"/>
    <w:rsid w:val="003D641F"/>
    <w:rsid w:val="003E2EF0"/>
    <w:rsid w:val="003F6146"/>
    <w:rsid w:val="003F6579"/>
    <w:rsid w:val="00400A79"/>
    <w:rsid w:val="00402489"/>
    <w:rsid w:val="00407AA6"/>
    <w:rsid w:val="00410AE2"/>
    <w:rsid w:val="00414280"/>
    <w:rsid w:val="00415B63"/>
    <w:rsid w:val="00416F90"/>
    <w:rsid w:val="004227E8"/>
    <w:rsid w:val="00423F59"/>
    <w:rsid w:val="0042457B"/>
    <w:rsid w:val="00424C01"/>
    <w:rsid w:val="0043207F"/>
    <w:rsid w:val="00433CAC"/>
    <w:rsid w:val="0043440F"/>
    <w:rsid w:val="00435F78"/>
    <w:rsid w:val="004372D6"/>
    <w:rsid w:val="0044061D"/>
    <w:rsid w:val="004424C5"/>
    <w:rsid w:val="00444023"/>
    <w:rsid w:val="00444448"/>
    <w:rsid w:val="00444E0D"/>
    <w:rsid w:val="004521F0"/>
    <w:rsid w:val="00452CA7"/>
    <w:rsid w:val="00457CB1"/>
    <w:rsid w:val="004603E3"/>
    <w:rsid w:val="00461CAD"/>
    <w:rsid w:val="00462A82"/>
    <w:rsid w:val="00465C4B"/>
    <w:rsid w:val="00477CC8"/>
    <w:rsid w:val="004831CB"/>
    <w:rsid w:val="00485C8E"/>
    <w:rsid w:val="004865D9"/>
    <w:rsid w:val="00487A9D"/>
    <w:rsid w:val="0049618F"/>
    <w:rsid w:val="00497166"/>
    <w:rsid w:val="004A12F2"/>
    <w:rsid w:val="004A20D4"/>
    <w:rsid w:val="004A2E84"/>
    <w:rsid w:val="004A3BC0"/>
    <w:rsid w:val="004B0A88"/>
    <w:rsid w:val="004B1440"/>
    <w:rsid w:val="004B3D42"/>
    <w:rsid w:val="004B5A79"/>
    <w:rsid w:val="004C179E"/>
    <w:rsid w:val="004C47EC"/>
    <w:rsid w:val="004C4BA3"/>
    <w:rsid w:val="004C7626"/>
    <w:rsid w:val="004E2D81"/>
    <w:rsid w:val="004E3301"/>
    <w:rsid w:val="004E4CC3"/>
    <w:rsid w:val="004E7B28"/>
    <w:rsid w:val="004F2086"/>
    <w:rsid w:val="00500D22"/>
    <w:rsid w:val="00501640"/>
    <w:rsid w:val="00510C38"/>
    <w:rsid w:val="005141D9"/>
    <w:rsid w:val="00515124"/>
    <w:rsid w:val="00516E51"/>
    <w:rsid w:val="005201ED"/>
    <w:rsid w:val="00524769"/>
    <w:rsid w:val="00531944"/>
    <w:rsid w:val="005342AA"/>
    <w:rsid w:val="00534992"/>
    <w:rsid w:val="005409BA"/>
    <w:rsid w:val="00552950"/>
    <w:rsid w:val="005533A9"/>
    <w:rsid w:val="0055528F"/>
    <w:rsid w:val="00560A09"/>
    <w:rsid w:val="00561E07"/>
    <w:rsid w:val="0056289F"/>
    <w:rsid w:val="00572D11"/>
    <w:rsid w:val="005834B5"/>
    <w:rsid w:val="00583E7A"/>
    <w:rsid w:val="00587BE7"/>
    <w:rsid w:val="00587FC4"/>
    <w:rsid w:val="0059163C"/>
    <w:rsid w:val="00592AF7"/>
    <w:rsid w:val="00593CA3"/>
    <w:rsid w:val="00596353"/>
    <w:rsid w:val="005A111F"/>
    <w:rsid w:val="005A1275"/>
    <w:rsid w:val="005A2736"/>
    <w:rsid w:val="005A5231"/>
    <w:rsid w:val="005A693A"/>
    <w:rsid w:val="005B22ED"/>
    <w:rsid w:val="005B4959"/>
    <w:rsid w:val="005B6194"/>
    <w:rsid w:val="005B7F27"/>
    <w:rsid w:val="005C1913"/>
    <w:rsid w:val="005C2E4A"/>
    <w:rsid w:val="005C3CD8"/>
    <w:rsid w:val="005C411E"/>
    <w:rsid w:val="005C46C8"/>
    <w:rsid w:val="005C4760"/>
    <w:rsid w:val="005C4A32"/>
    <w:rsid w:val="005C4B64"/>
    <w:rsid w:val="005C7904"/>
    <w:rsid w:val="005D6B32"/>
    <w:rsid w:val="005D73E8"/>
    <w:rsid w:val="005D77FD"/>
    <w:rsid w:val="005E2826"/>
    <w:rsid w:val="005E55E9"/>
    <w:rsid w:val="005F30EF"/>
    <w:rsid w:val="005F5F93"/>
    <w:rsid w:val="0060013F"/>
    <w:rsid w:val="00600384"/>
    <w:rsid w:val="0060281B"/>
    <w:rsid w:val="0060336A"/>
    <w:rsid w:val="00604DB6"/>
    <w:rsid w:val="006064FC"/>
    <w:rsid w:val="00606D28"/>
    <w:rsid w:val="00610C9E"/>
    <w:rsid w:val="00611F63"/>
    <w:rsid w:val="006124DC"/>
    <w:rsid w:val="00612826"/>
    <w:rsid w:val="00620103"/>
    <w:rsid w:val="00621F6E"/>
    <w:rsid w:val="00622477"/>
    <w:rsid w:val="0062380C"/>
    <w:rsid w:val="00623E68"/>
    <w:rsid w:val="006249E9"/>
    <w:rsid w:val="00631B37"/>
    <w:rsid w:val="00632DE8"/>
    <w:rsid w:val="006400D4"/>
    <w:rsid w:val="00640E4B"/>
    <w:rsid w:val="00642569"/>
    <w:rsid w:val="00644CDD"/>
    <w:rsid w:val="00646C0B"/>
    <w:rsid w:val="00651395"/>
    <w:rsid w:val="00657294"/>
    <w:rsid w:val="006677D7"/>
    <w:rsid w:val="0067133D"/>
    <w:rsid w:val="00671B97"/>
    <w:rsid w:val="0067331F"/>
    <w:rsid w:val="00676E2E"/>
    <w:rsid w:val="006830EE"/>
    <w:rsid w:val="0068447D"/>
    <w:rsid w:val="00685AC7"/>
    <w:rsid w:val="00686103"/>
    <w:rsid w:val="006879C1"/>
    <w:rsid w:val="00691780"/>
    <w:rsid w:val="00693FC2"/>
    <w:rsid w:val="006944C6"/>
    <w:rsid w:val="006953D7"/>
    <w:rsid w:val="00695B5C"/>
    <w:rsid w:val="00696C53"/>
    <w:rsid w:val="006A1523"/>
    <w:rsid w:val="006A39AD"/>
    <w:rsid w:val="006A7CD8"/>
    <w:rsid w:val="006B0274"/>
    <w:rsid w:val="006B3C0A"/>
    <w:rsid w:val="006B6C65"/>
    <w:rsid w:val="006B76A3"/>
    <w:rsid w:val="006C076F"/>
    <w:rsid w:val="006C6163"/>
    <w:rsid w:val="006C67BE"/>
    <w:rsid w:val="006C74BB"/>
    <w:rsid w:val="006D07DE"/>
    <w:rsid w:val="006D0B9A"/>
    <w:rsid w:val="006D1C85"/>
    <w:rsid w:val="006D21A1"/>
    <w:rsid w:val="006D2C94"/>
    <w:rsid w:val="006D73A0"/>
    <w:rsid w:val="006E6959"/>
    <w:rsid w:val="006E7395"/>
    <w:rsid w:val="006E7BD3"/>
    <w:rsid w:val="006F02DF"/>
    <w:rsid w:val="006F1D38"/>
    <w:rsid w:val="006F1E2A"/>
    <w:rsid w:val="006F276B"/>
    <w:rsid w:val="006F6532"/>
    <w:rsid w:val="006F67D8"/>
    <w:rsid w:val="006F7712"/>
    <w:rsid w:val="006F7FB5"/>
    <w:rsid w:val="0070559D"/>
    <w:rsid w:val="007102DC"/>
    <w:rsid w:val="00710302"/>
    <w:rsid w:val="00713C90"/>
    <w:rsid w:val="00716D08"/>
    <w:rsid w:val="0071723A"/>
    <w:rsid w:val="007201DB"/>
    <w:rsid w:val="00720A1B"/>
    <w:rsid w:val="00720CBB"/>
    <w:rsid w:val="00724770"/>
    <w:rsid w:val="007301F6"/>
    <w:rsid w:val="0073288D"/>
    <w:rsid w:val="00732F49"/>
    <w:rsid w:val="00747354"/>
    <w:rsid w:val="00750285"/>
    <w:rsid w:val="0075221F"/>
    <w:rsid w:val="00752398"/>
    <w:rsid w:val="00752BDA"/>
    <w:rsid w:val="00753315"/>
    <w:rsid w:val="00755576"/>
    <w:rsid w:val="00765E8F"/>
    <w:rsid w:val="0076780A"/>
    <w:rsid w:val="0077246B"/>
    <w:rsid w:val="007724F4"/>
    <w:rsid w:val="007817DF"/>
    <w:rsid w:val="00782B98"/>
    <w:rsid w:val="00782EEC"/>
    <w:rsid w:val="00783315"/>
    <w:rsid w:val="00784701"/>
    <w:rsid w:val="007850E5"/>
    <w:rsid w:val="00793E5C"/>
    <w:rsid w:val="00796545"/>
    <w:rsid w:val="007A30FE"/>
    <w:rsid w:val="007B0E79"/>
    <w:rsid w:val="007B3597"/>
    <w:rsid w:val="007B4974"/>
    <w:rsid w:val="007B5018"/>
    <w:rsid w:val="007B56B7"/>
    <w:rsid w:val="007B748E"/>
    <w:rsid w:val="007B7D43"/>
    <w:rsid w:val="007C0FDB"/>
    <w:rsid w:val="007C2502"/>
    <w:rsid w:val="007C45DF"/>
    <w:rsid w:val="007C4EC2"/>
    <w:rsid w:val="007C5FD2"/>
    <w:rsid w:val="007D31DB"/>
    <w:rsid w:val="007D743B"/>
    <w:rsid w:val="007E2CAA"/>
    <w:rsid w:val="007E3328"/>
    <w:rsid w:val="007E4C88"/>
    <w:rsid w:val="007F0205"/>
    <w:rsid w:val="007F2192"/>
    <w:rsid w:val="007F52C4"/>
    <w:rsid w:val="007F5EC7"/>
    <w:rsid w:val="007F716A"/>
    <w:rsid w:val="00802354"/>
    <w:rsid w:val="00803CB5"/>
    <w:rsid w:val="00804B42"/>
    <w:rsid w:val="0080529B"/>
    <w:rsid w:val="00805A02"/>
    <w:rsid w:val="00807E86"/>
    <w:rsid w:val="008103A4"/>
    <w:rsid w:val="0081043F"/>
    <w:rsid w:val="00811E62"/>
    <w:rsid w:val="0081232E"/>
    <w:rsid w:val="00812E2F"/>
    <w:rsid w:val="008138EA"/>
    <w:rsid w:val="0081684D"/>
    <w:rsid w:val="00817B81"/>
    <w:rsid w:val="00817E54"/>
    <w:rsid w:val="00820B9C"/>
    <w:rsid w:val="0082594E"/>
    <w:rsid w:val="00830AA6"/>
    <w:rsid w:val="00834B40"/>
    <w:rsid w:val="00841623"/>
    <w:rsid w:val="00841807"/>
    <w:rsid w:val="00842829"/>
    <w:rsid w:val="00842EA8"/>
    <w:rsid w:val="008516F9"/>
    <w:rsid w:val="00853E8E"/>
    <w:rsid w:val="0085693D"/>
    <w:rsid w:val="008602FD"/>
    <w:rsid w:val="00863D60"/>
    <w:rsid w:val="00870279"/>
    <w:rsid w:val="00870B97"/>
    <w:rsid w:val="00872D82"/>
    <w:rsid w:val="00875BE6"/>
    <w:rsid w:val="00876F3F"/>
    <w:rsid w:val="008819D6"/>
    <w:rsid w:val="00881EEE"/>
    <w:rsid w:val="008874C3"/>
    <w:rsid w:val="00887DDA"/>
    <w:rsid w:val="00892C1B"/>
    <w:rsid w:val="00895BF3"/>
    <w:rsid w:val="008B2157"/>
    <w:rsid w:val="008B7CE4"/>
    <w:rsid w:val="008C600D"/>
    <w:rsid w:val="008D0D51"/>
    <w:rsid w:val="008D3FBF"/>
    <w:rsid w:val="008D5F1D"/>
    <w:rsid w:val="008E3AA1"/>
    <w:rsid w:val="008E6170"/>
    <w:rsid w:val="008F3B0B"/>
    <w:rsid w:val="00903877"/>
    <w:rsid w:val="0090416A"/>
    <w:rsid w:val="00910058"/>
    <w:rsid w:val="009122B5"/>
    <w:rsid w:val="009155F9"/>
    <w:rsid w:val="00920F2A"/>
    <w:rsid w:val="00921508"/>
    <w:rsid w:val="009264AF"/>
    <w:rsid w:val="00927F07"/>
    <w:rsid w:val="00932C44"/>
    <w:rsid w:val="00936BFE"/>
    <w:rsid w:val="00937A98"/>
    <w:rsid w:val="00940915"/>
    <w:rsid w:val="00951168"/>
    <w:rsid w:val="009534AB"/>
    <w:rsid w:val="00954281"/>
    <w:rsid w:val="009566AF"/>
    <w:rsid w:val="00960AEF"/>
    <w:rsid w:val="00961913"/>
    <w:rsid w:val="009621BF"/>
    <w:rsid w:val="009669AA"/>
    <w:rsid w:val="00980071"/>
    <w:rsid w:val="00983643"/>
    <w:rsid w:val="00983CD4"/>
    <w:rsid w:val="00986861"/>
    <w:rsid w:val="00990C4E"/>
    <w:rsid w:val="00990DF0"/>
    <w:rsid w:val="009924A8"/>
    <w:rsid w:val="00992BC2"/>
    <w:rsid w:val="009933BE"/>
    <w:rsid w:val="009936AC"/>
    <w:rsid w:val="00995600"/>
    <w:rsid w:val="00996D75"/>
    <w:rsid w:val="009A12D3"/>
    <w:rsid w:val="009A26B0"/>
    <w:rsid w:val="009A2D8B"/>
    <w:rsid w:val="009A45BC"/>
    <w:rsid w:val="009A57EF"/>
    <w:rsid w:val="009A705A"/>
    <w:rsid w:val="009B0322"/>
    <w:rsid w:val="009B2776"/>
    <w:rsid w:val="009B27FF"/>
    <w:rsid w:val="009B4AB4"/>
    <w:rsid w:val="009B54D8"/>
    <w:rsid w:val="009B55C1"/>
    <w:rsid w:val="009C44F9"/>
    <w:rsid w:val="009D3B4E"/>
    <w:rsid w:val="009D62F9"/>
    <w:rsid w:val="009E0990"/>
    <w:rsid w:val="009E1C57"/>
    <w:rsid w:val="009E5B5E"/>
    <w:rsid w:val="009F310B"/>
    <w:rsid w:val="009F5703"/>
    <w:rsid w:val="009F5FFB"/>
    <w:rsid w:val="009F734F"/>
    <w:rsid w:val="00A01D6B"/>
    <w:rsid w:val="00A03868"/>
    <w:rsid w:val="00A04265"/>
    <w:rsid w:val="00A05D84"/>
    <w:rsid w:val="00A06BD9"/>
    <w:rsid w:val="00A07C5D"/>
    <w:rsid w:val="00A11D0C"/>
    <w:rsid w:val="00A12960"/>
    <w:rsid w:val="00A12B07"/>
    <w:rsid w:val="00A14EF5"/>
    <w:rsid w:val="00A17547"/>
    <w:rsid w:val="00A219CF"/>
    <w:rsid w:val="00A2254D"/>
    <w:rsid w:val="00A2459D"/>
    <w:rsid w:val="00A2554E"/>
    <w:rsid w:val="00A3085A"/>
    <w:rsid w:val="00A42962"/>
    <w:rsid w:val="00A42ED5"/>
    <w:rsid w:val="00A43E1B"/>
    <w:rsid w:val="00A44123"/>
    <w:rsid w:val="00A463D5"/>
    <w:rsid w:val="00A4762B"/>
    <w:rsid w:val="00A54D42"/>
    <w:rsid w:val="00A601E3"/>
    <w:rsid w:val="00A65D41"/>
    <w:rsid w:val="00A66715"/>
    <w:rsid w:val="00A67A70"/>
    <w:rsid w:val="00A70C31"/>
    <w:rsid w:val="00A71F12"/>
    <w:rsid w:val="00A724BA"/>
    <w:rsid w:val="00A72E8A"/>
    <w:rsid w:val="00A73AB7"/>
    <w:rsid w:val="00A76894"/>
    <w:rsid w:val="00A776FC"/>
    <w:rsid w:val="00A80FCC"/>
    <w:rsid w:val="00A9028C"/>
    <w:rsid w:val="00A919B7"/>
    <w:rsid w:val="00A93B4B"/>
    <w:rsid w:val="00A95057"/>
    <w:rsid w:val="00A979EA"/>
    <w:rsid w:val="00AA28B2"/>
    <w:rsid w:val="00AA44A5"/>
    <w:rsid w:val="00AA7DD9"/>
    <w:rsid w:val="00AB041F"/>
    <w:rsid w:val="00AB0F9A"/>
    <w:rsid w:val="00AB2810"/>
    <w:rsid w:val="00AB2D7C"/>
    <w:rsid w:val="00AB3DDC"/>
    <w:rsid w:val="00AB673A"/>
    <w:rsid w:val="00AC1071"/>
    <w:rsid w:val="00AC3B90"/>
    <w:rsid w:val="00AD0A24"/>
    <w:rsid w:val="00AD23FA"/>
    <w:rsid w:val="00AD6B63"/>
    <w:rsid w:val="00AE044C"/>
    <w:rsid w:val="00AE06A8"/>
    <w:rsid w:val="00AE31DC"/>
    <w:rsid w:val="00AE3851"/>
    <w:rsid w:val="00AE7BE9"/>
    <w:rsid w:val="00AF0272"/>
    <w:rsid w:val="00AF32DD"/>
    <w:rsid w:val="00AF4EE9"/>
    <w:rsid w:val="00B0004C"/>
    <w:rsid w:val="00B00A5C"/>
    <w:rsid w:val="00B02E4C"/>
    <w:rsid w:val="00B035DF"/>
    <w:rsid w:val="00B03963"/>
    <w:rsid w:val="00B15864"/>
    <w:rsid w:val="00B159A9"/>
    <w:rsid w:val="00B16015"/>
    <w:rsid w:val="00B236A9"/>
    <w:rsid w:val="00B27F05"/>
    <w:rsid w:val="00B300AD"/>
    <w:rsid w:val="00B30B29"/>
    <w:rsid w:val="00B31EDB"/>
    <w:rsid w:val="00B321E5"/>
    <w:rsid w:val="00B34B89"/>
    <w:rsid w:val="00B35581"/>
    <w:rsid w:val="00B42642"/>
    <w:rsid w:val="00B43E9F"/>
    <w:rsid w:val="00B440B0"/>
    <w:rsid w:val="00B529DB"/>
    <w:rsid w:val="00B53514"/>
    <w:rsid w:val="00B56A15"/>
    <w:rsid w:val="00B5715F"/>
    <w:rsid w:val="00B57166"/>
    <w:rsid w:val="00B575F6"/>
    <w:rsid w:val="00B57B52"/>
    <w:rsid w:val="00B62F5F"/>
    <w:rsid w:val="00B649FB"/>
    <w:rsid w:val="00B66F89"/>
    <w:rsid w:val="00B721E2"/>
    <w:rsid w:val="00B73325"/>
    <w:rsid w:val="00B764B3"/>
    <w:rsid w:val="00B80044"/>
    <w:rsid w:val="00B80546"/>
    <w:rsid w:val="00B832E4"/>
    <w:rsid w:val="00B845F1"/>
    <w:rsid w:val="00B86847"/>
    <w:rsid w:val="00B877AB"/>
    <w:rsid w:val="00B97998"/>
    <w:rsid w:val="00B97F69"/>
    <w:rsid w:val="00BA14A0"/>
    <w:rsid w:val="00BA1F1D"/>
    <w:rsid w:val="00BA326C"/>
    <w:rsid w:val="00BA6AB1"/>
    <w:rsid w:val="00BC1053"/>
    <w:rsid w:val="00BC30D8"/>
    <w:rsid w:val="00BC35BC"/>
    <w:rsid w:val="00BC78A9"/>
    <w:rsid w:val="00BC7907"/>
    <w:rsid w:val="00BC7DA3"/>
    <w:rsid w:val="00BD3A37"/>
    <w:rsid w:val="00BD4AD6"/>
    <w:rsid w:val="00BD6A5F"/>
    <w:rsid w:val="00BE43E9"/>
    <w:rsid w:val="00BF439A"/>
    <w:rsid w:val="00BF75BA"/>
    <w:rsid w:val="00BF798A"/>
    <w:rsid w:val="00C0071D"/>
    <w:rsid w:val="00C007AB"/>
    <w:rsid w:val="00C02A65"/>
    <w:rsid w:val="00C033DD"/>
    <w:rsid w:val="00C05466"/>
    <w:rsid w:val="00C1340C"/>
    <w:rsid w:val="00C13D03"/>
    <w:rsid w:val="00C2241F"/>
    <w:rsid w:val="00C24513"/>
    <w:rsid w:val="00C2654C"/>
    <w:rsid w:val="00C35337"/>
    <w:rsid w:val="00C37044"/>
    <w:rsid w:val="00C4256C"/>
    <w:rsid w:val="00C427E7"/>
    <w:rsid w:val="00C42A7D"/>
    <w:rsid w:val="00C42E07"/>
    <w:rsid w:val="00C44067"/>
    <w:rsid w:val="00C4417D"/>
    <w:rsid w:val="00C445F6"/>
    <w:rsid w:val="00C507EB"/>
    <w:rsid w:val="00C51C60"/>
    <w:rsid w:val="00C55FBC"/>
    <w:rsid w:val="00C56361"/>
    <w:rsid w:val="00C568C5"/>
    <w:rsid w:val="00C61D7D"/>
    <w:rsid w:val="00C62627"/>
    <w:rsid w:val="00C63176"/>
    <w:rsid w:val="00C63B76"/>
    <w:rsid w:val="00C63BBF"/>
    <w:rsid w:val="00C67183"/>
    <w:rsid w:val="00C67DE3"/>
    <w:rsid w:val="00C70B16"/>
    <w:rsid w:val="00C72081"/>
    <w:rsid w:val="00C7567F"/>
    <w:rsid w:val="00C75862"/>
    <w:rsid w:val="00C82B10"/>
    <w:rsid w:val="00C84E70"/>
    <w:rsid w:val="00C9024E"/>
    <w:rsid w:val="00C9221A"/>
    <w:rsid w:val="00C92C81"/>
    <w:rsid w:val="00C9404D"/>
    <w:rsid w:val="00C94B1B"/>
    <w:rsid w:val="00C96BF8"/>
    <w:rsid w:val="00CA03FE"/>
    <w:rsid w:val="00CA162C"/>
    <w:rsid w:val="00CA270C"/>
    <w:rsid w:val="00CA2A6F"/>
    <w:rsid w:val="00CA787F"/>
    <w:rsid w:val="00CB15F3"/>
    <w:rsid w:val="00CB56A6"/>
    <w:rsid w:val="00CC0FAC"/>
    <w:rsid w:val="00CC33BC"/>
    <w:rsid w:val="00CD0DFE"/>
    <w:rsid w:val="00CD3AC9"/>
    <w:rsid w:val="00CD42E6"/>
    <w:rsid w:val="00CE0C42"/>
    <w:rsid w:val="00CF5A94"/>
    <w:rsid w:val="00D01412"/>
    <w:rsid w:val="00D06AA2"/>
    <w:rsid w:val="00D06AC1"/>
    <w:rsid w:val="00D1176E"/>
    <w:rsid w:val="00D127B1"/>
    <w:rsid w:val="00D223B0"/>
    <w:rsid w:val="00D23D99"/>
    <w:rsid w:val="00D23E1D"/>
    <w:rsid w:val="00D2645A"/>
    <w:rsid w:val="00D305E5"/>
    <w:rsid w:val="00D40C14"/>
    <w:rsid w:val="00D42B02"/>
    <w:rsid w:val="00D44D18"/>
    <w:rsid w:val="00D53717"/>
    <w:rsid w:val="00D540E2"/>
    <w:rsid w:val="00D55BE6"/>
    <w:rsid w:val="00D57AEC"/>
    <w:rsid w:val="00D65581"/>
    <w:rsid w:val="00D70A9C"/>
    <w:rsid w:val="00D749B0"/>
    <w:rsid w:val="00D75DA4"/>
    <w:rsid w:val="00D77650"/>
    <w:rsid w:val="00D81098"/>
    <w:rsid w:val="00D81B5C"/>
    <w:rsid w:val="00D84848"/>
    <w:rsid w:val="00D84F41"/>
    <w:rsid w:val="00D86F20"/>
    <w:rsid w:val="00D93936"/>
    <w:rsid w:val="00D96976"/>
    <w:rsid w:val="00D96B90"/>
    <w:rsid w:val="00DA37CB"/>
    <w:rsid w:val="00DA430C"/>
    <w:rsid w:val="00DB0CC5"/>
    <w:rsid w:val="00DB391D"/>
    <w:rsid w:val="00DB46A5"/>
    <w:rsid w:val="00DB5CC2"/>
    <w:rsid w:val="00DC167C"/>
    <w:rsid w:val="00DC2993"/>
    <w:rsid w:val="00DC48F5"/>
    <w:rsid w:val="00DD02AB"/>
    <w:rsid w:val="00DD261A"/>
    <w:rsid w:val="00DD28EF"/>
    <w:rsid w:val="00DD38F9"/>
    <w:rsid w:val="00DD5CE2"/>
    <w:rsid w:val="00DE0384"/>
    <w:rsid w:val="00DE5C53"/>
    <w:rsid w:val="00DE6313"/>
    <w:rsid w:val="00DE7F51"/>
    <w:rsid w:val="00DF074E"/>
    <w:rsid w:val="00DF1829"/>
    <w:rsid w:val="00E006AB"/>
    <w:rsid w:val="00E02755"/>
    <w:rsid w:val="00E0372B"/>
    <w:rsid w:val="00E075C4"/>
    <w:rsid w:val="00E07C0C"/>
    <w:rsid w:val="00E149D5"/>
    <w:rsid w:val="00E20DFD"/>
    <w:rsid w:val="00E2313C"/>
    <w:rsid w:val="00E23D73"/>
    <w:rsid w:val="00E36778"/>
    <w:rsid w:val="00E40062"/>
    <w:rsid w:val="00E42B43"/>
    <w:rsid w:val="00E50785"/>
    <w:rsid w:val="00E53451"/>
    <w:rsid w:val="00E56EAC"/>
    <w:rsid w:val="00E57324"/>
    <w:rsid w:val="00E60B1E"/>
    <w:rsid w:val="00E60B75"/>
    <w:rsid w:val="00E62919"/>
    <w:rsid w:val="00E63135"/>
    <w:rsid w:val="00E638B6"/>
    <w:rsid w:val="00E648CE"/>
    <w:rsid w:val="00E672AD"/>
    <w:rsid w:val="00E6747E"/>
    <w:rsid w:val="00E7147D"/>
    <w:rsid w:val="00E71492"/>
    <w:rsid w:val="00E71C48"/>
    <w:rsid w:val="00E71DD1"/>
    <w:rsid w:val="00E7379B"/>
    <w:rsid w:val="00E764E0"/>
    <w:rsid w:val="00E765AE"/>
    <w:rsid w:val="00E84258"/>
    <w:rsid w:val="00E90364"/>
    <w:rsid w:val="00E90706"/>
    <w:rsid w:val="00E94D2A"/>
    <w:rsid w:val="00E95114"/>
    <w:rsid w:val="00EA08E1"/>
    <w:rsid w:val="00EA1459"/>
    <w:rsid w:val="00EA5AFD"/>
    <w:rsid w:val="00EA5BE5"/>
    <w:rsid w:val="00EB5996"/>
    <w:rsid w:val="00EB6DBA"/>
    <w:rsid w:val="00EB7429"/>
    <w:rsid w:val="00EC0AFC"/>
    <w:rsid w:val="00EC172C"/>
    <w:rsid w:val="00EC3338"/>
    <w:rsid w:val="00EC5197"/>
    <w:rsid w:val="00EC5E2B"/>
    <w:rsid w:val="00EC6B3D"/>
    <w:rsid w:val="00ED1266"/>
    <w:rsid w:val="00ED2A44"/>
    <w:rsid w:val="00EE507D"/>
    <w:rsid w:val="00EE677A"/>
    <w:rsid w:val="00EF00D3"/>
    <w:rsid w:val="00EF1DF7"/>
    <w:rsid w:val="00EF2878"/>
    <w:rsid w:val="00EF35BA"/>
    <w:rsid w:val="00EF76D0"/>
    <w:rsid w:val="00F04FF4"/>
    <w:rsid w:val="00F06542"/>
    <w:rsid w:val="00F07745"/>
    <w:rsid w:val="00F1440A"/>
    <w:rsid w:val="00F145D6"/>
    <w:rsid w:val="00F174E0"/>
    <w:rsid w:val="00F20107"/>
    <w:rsid w:val="00F2058E"/>
    <w:rsid w:val="00F23351"/>
    <w:rsid w:val="00F25E63"/>
    <w:rsid w:val="00F26C35"/>
    <w:rsid w:val="00F26D58"/>
    <w:rsid w:val="00F30972"/>
    <w:rsid w:val="00F324D6"/>
    <w:rsid w:val="00F40826"/>
    <w:rsid w:val="00F43FE0"/>
    <w:rsid w:val="00F450A6"/>
    <w:rsid w:val="00F50D08"/>
    <w:rsid w:val="00F51DA1"/>
    <w:rsid w:val="00F52EDB"/>
    <w:rsid w:val="00F54371"/>
    <w:rsid w:val="00F5611C"/>
    <w:rsid w:val="00F5701C"/>
    <w:rsid w:val="00F570CA"/>
    <w:rsid w:val="00F60098"/>
    <w:rsid w:val="00F6380A"/>
    <w:rsid w:val="00F713A6"/>
    <w:rsid w:val="00F8075E"/>
    <w:rsid w:val="00F81ECF"/>
    <w:rsid w:val="00F8247B"/>
    <w:rsid w:val="00F83D8F"/>
    <w:rsid w:val="00F8528B"/>
    <w:rsid w:val="00F87B41"/>
    <w:rsid w:val="00F91476"/>
    <w:rsid w:val="00F91493"/>
    <w:rsid w:val="00F91FD7"/>
    <w:rsid w:val="00F940A2"/>
    <w:rsid w:val="00FA0350"/>
    <w:rsid w:val="00FB13E7"/>
    <w:rsid w:val="00FB2657"/>
    <w:rsid w:val="00FB345C"/>
    <w:rsid w:val="00FC0FB7"/>
    <w:rsid w:val="00FC15F0"/>
    <w:rsid w:val="00FC5F33"/>
    <w:rsid w:val="00FD3408"/>
    <w:rsid w:val="00FD4045"/>
    <w:rsid w:val="00FD4C7B"/>
    <w:rsid w:val="00FD5224"/>
    <w:rsid w:val="00FD52BF"/>
    <w:rsid w:val="00FE6E69"/>
    <w:rsid w:val="00FE73BC"/>
    <w:rsid w:val="00FE79DD"/>
    <w:rsid w:val="00FF300A"/>
    <w:rsid w:val="00FF6271"/>
    <w:rsid w:val="00FF7323"/>
    <w:rsid w:val="00FF7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v-text-anchor:middle" fillcolor="#a5a5a5" stroke="f" strokecolor="blue">
      <v:fill color="#a5a5a5" color2="#9bc1ff" rotate="t"/>
      <v:stroke color="blue" on="f"/>
      <v:shadow on="t" opacity="22937f" origin=",.5" offset="0,.63889mm"/>
    </o:shapedefaults>
    <o:shapelayout v:ext="edit">
      <o:idmap v:ext="edit" data="1"/>
    </o:shapelayout>
  </w:shapeDefaults>
  <w:decimalSymbol w:val="."/>
  <w:listSeparator w:val=","/>
  <w15:docId w15:val="{C538C589-7F36-4DFB-90A3-F405AA4FA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6BE8"/>
    <w:pPr>
      <w:spacing w:line="48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16BE8"/>
    <w:pPr>
      <w:keepNext/>
      <w:keepLines/>
      <w:spacing w:before="480"/>
      <w:outlineLvl w:val="0"/>
    </w:pPr>
    <w:rPr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B312F"/>
    <w:pPr>
      <w:keepNext/>
      <w:keepLines/>
      <w:spacing w:before="200"/>
      <w:outlineLvl w:val="1"/>
    </w:pPr>
    <w:rPr>
      <w:rFonts w:eastAsia="Calibri"/>
      <w:b/>
      <w:bCs/>
      <w:color w:val="000000"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5693D"/>
    <w:pPr>
      <w:keepNext/>
      <w:keepLines/>
      <w:spacing w:before="200"/>
      <w:outlineLvl w:val="2"/>
    </w:pPr>
    <w:rPr>
      <w:b/>
      <w:bCs/>
    </w:rPr>
  </w:style>
  <w:style w:type="paragraph" w:styleId="Heading4">
    <w:name w:val="heading 4"/>
    <w:aliases w:val="Patient info sheet"/>
    <w:basedOn w:val="Normal"/>
    <w:next w:val="Normal"/>
    <w:link w:val="Heading4Char"/>
    <w:autoRedefine/>
    <w:uiPriority w:val="9"/>
    <w:unhideWhenUsed/>
    <w:qFormat/>
    <w:rsid w:val="0021365D"/>
    <w:pPr>
      <w:keepNext/>
      <w:keepLines/>
      <w:spacing w:before="200"/>
      <w:outlineLvl w:val="3"/>
    </w:pPr>
    <w:rPr>
      <w:b/>
      <w:bCs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1709"/>
    <w:pPr>
      <w:keepNext/>
      <w:keepLines/>
      <w:spacing w:before="200"/>
      <w:outlineLvl w:val="4"/>
    </w:pPr>
    <w:rPr>
      <w:rFonts w:ascii="Cambria" w:hAnsi="Cambria"/>
      <w:color w:val="243F60"/>
      <w:sz w:val="2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1709"/>
    <w:pPr>
      <w:keepNext/>
      <w:keepLines/>
      <w:spacing w:before="200"/>
      <w:outlineLvl w:val="5"/>
    </w:pPr>
    <w:rPr>
      <w:rFonts w:ascii="Cambria" w:hAnsi="Cambria"/>
      <w:i/>
      <w:iCs/>
      <w:color w:val="243F60"/>
      <w:sz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1709"/>
    <w:pPr>
      <w:keepNext/>
      <w:keepLines/>
      <w:spacing w:before="200"/>
      <w:outlineLvl w:val="6"/>
    </w:pPr>
    <w:rPr>
      <w:rFonts w:ascii="Cambria" w:hAnsi="Cambria"/>
      <w:i/>
      <w:iCs/>
      <w:color w:val="404040"/>
      <w:sz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1709"/>
    <w:pPr>
      <w:keepNext/>
      <w:keepLines/>
      <w:spacing w:before="200"/>
      <w:outlineLvl w:val="7"/>
    </w:pPr>
    <w:rPr>
      <w:rFonts w:ascii="Cambria" w:hAnsi="Cambria"/>
      <w:color w:val="4F81BD"/>
      <w:sz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1709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316BE8"/>
    <w:rPr>
      <w:rFonts w:ascii="Times New Roman" w:hAnsi="Times New Roman"/>
      <w:b/>
      <w:bCs/>
      <w:sz w:val="32"/>
      <w:szCs w:val="28"/>
    </w:rPr>
  </w:style>
  <w:style w:type="character" w:customStyle="1" w:styleId="Heading2Char">
    <w:name w:val="Heading 2 Char"/>
    <w:link w:val="Heading2"/>
    <w:uiPriority w:val="9"/>
    <w:rsid w:val="001B312F"/>
    <w:rPr>
      <w:rFonts w:ascii="Times New Roman" w:eastAsia="Calibri" w:hAnsi="Times New Roman"/>
      <w:b/>
      <w:bCs/>
      <w:color w:val="000000"/>
      <w:sz w:val="28"/>
      <w:szCs w:val="26"/>
    </w:rPr>
  </w:style>
  <w:style w:type="character" w:customStyle="1" w:styleId="Heading3Char">
    <w:name w:val="Heading 3 Char"/>
    <w:link w:val="Heading3"/>
    <w:uiPriority w:val="9"/>
    <w:rsid w:val="0085693D"/>
    <w:rPr>
      <w:rFonts w:ascii="Times New Roman" w:hAnsi="Times New Roman"/>
      <w:b/>
      <w:bCs/>
      <w:sz w:val="24"/>
    </w:rPr>
  </w:style>
  <w:style w:type="character" w:customStyle="1" w:styleId="Heading4Char">
    <w:name w:val="Heading 4 Char"/>
    <w:aliases w:val="Patient info sheet Char"/>
    <w:link w:val="Heading4"/>
    <w:uiPriority w:val="9"/>
    <w:rsid w:val="0021365D"/>
    <w:rPr>
      <w:rFonts w:ascii="Times New Roman" w:hAnsi="Times New Roman"/>
      <w:b/>
      <w:bCs/>
      <w:iCs/>
      <w:sz w:val="24"/>
    </w:rPr>
  </w:style>
  <w:style w:type="character" w:customStyle="1" w:styleId="Heading5Char">
    <w:name w:val="Heading 5 Char"/>
    <w:link w:val="Heading5"/>
    <w:uiPriority w:val="9"/>
    <w:rsid w:val="000F1709"/>
    <w:rPr>
      <w:rFonts w:ascii="Cambria" w:eastAsia="Times New Roman" w:hAnsi="Cambria" w:cs="Times New Roman"/>
      <w:color w:val="243F60"/>
    </w:rPr>
  </w:style>
  <w:style w:type="character" w:customStyle="1" w:styleId="Heading6Char">
    <w:name w:val="Heading 6 Char"/>
    <w:link w:val="Heading6"/>
    <w:uiPriority w:val="9"/>
    <w:rsid w:val="000F1709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link w:val="Heading7"/>
    <w:uiPriority w:val="9"/>
    <w:rsid w:val="000F1709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link w:val="Heading8"/>
    <w:uiPriority w:val="9"/>
    <w:rsid w:val="000F1709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Heading9Char">
    <w:name w:val="Heading 9 Char"/>
    <w:link w:val="Heading9"/>
    <w:uiPriority w:val="9"/>
    <w:rsid w:val="000F1709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32C44"/>
    <w:pPr>
      <w:tabs>
        <w:tab w:val="center" w:pos="4513"/>
        <w:tab w:val="right" w:pos="9026"/>
      </w:tabs>
    </w:pPr>
    <w:rPr>
      <w:rFonts w:ascii="Calibri" w:eastAsia="Calibri" w:hAnsi="Calibri"/>
      <w:sz w:val="20"/>
    </w:rPr>
  </w:style>
  <w:style w:type="character" w:customStyle="1" w:styleId="HeaderChar">
    <w:name w:val="Header Char"/>
    <w:link w:val="Header"/>
    <w:uiPriority w:val="99"/>
    <w:rsid w:val="00932C4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32C44"/>
    <w:pPr>
      <w:tabs>
        <w:tab w:val="center" w:pos="4513"/>
        <w:tab w:val="right" w:pos="9026"/>
      </w:tabs>
    </w:pPr>
    <w:rPr>
      <w:rFonts w:ascii="Calibri" w:eastAsia="Calibri" w:hAnsi="Calibri"/>
      <w:sz w:val="20"/>
    </w:rPr>
  </w:style>
  <w:style w:type="character" w:customStyle="1" w:styleId="FooterChar">
    <w:name w:val="Footer Char"/>
    <w:link w:val="Footer"/>
    <w:uiPriority w:val="99"/>
    <w:rsid w:val="00932C44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0F170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32C44"/>
    <w:pPr>
      <w:spacing w:line="240" w:lineRule="auto"/>
    </w:pPr>
    <w:rPr>
      <w:rFonts w:ascii="Tahoma" w:eastAsia="Calibri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32C44"/>
    <w:rPr>
      <w:rFonts w:ascii="Tahoma" w:eastAsia="Calibri" w:hAnsi="Tahoma" w:cs="Times New Roman"/>
      <w:sz w:val="16"/>
      <w:szCs w:val="16"/>
    </w:rPr>
  </w:style>
  <w:style w:type="table" w:styleId="TableGrid">
    <w:name w:val="Table Grid"/>
    <w:basedOn w:val="TableNormal"/>
    <w:rsid w:val="00932C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932C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2C44"/>
    <w:rPr>
      <w:rFonts w:ascii="Calibri" w:eastAsia="Calibri" w:hAnsi="Calibri"/>
      <w:sz w:val="20"/>
    </w:rPr>
  </w:style>
  <w:style w:type="character" w:customStyle="1" w:styleId="CommentTextChar">
    <w:name w:val="Comment Text Char"/>
    <w:link w:val="CommentText"/>
    <w:uiPriority w:val="99"/>
    <w:semiHidden/>
    <w:rsid w:val="00932C44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2C4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32C44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1">
    <w:name w:val="st1"/>
    <w:rsid w:val="00932C44"/>
  </w:style>
  <w:style w:type="paragraph" w:styleId="Revision">
    <w:name w:val="Revision"/>
    <w:hidden/>
    <w:uiPriority w:val="99"/>
    <w:semiHidden/>
    <w:rsid w:val="00932C44"/>
    <w:pPr>
      <w:spacing w:after="200" w:line="276" w:lineRule="auto"/>
    </w:pPr>
    <w:rPr>
      <w:sz w:val="22"/>
      <w:szCs w:val="22"/>
      <w:lang w:eastAsia="en-US"/>
    </w:rPr>
  </w:style>
  <w:style w:type="paragraph" w:styleId="NoSpacing">
    <w:name w:val="No Spacing"/>
    <w:link w:val="NoSpacingChar"/>
    <w:uiPriority w:val="1"/>
    <w:qFormat/>
    <w:rsid w:val="006E6959"/>
    <w:rPr>
      <w:rFonts w:ascii="Times New Roman" w:hAnsi="Times New Roman"/>
      <w:sz w:val="24"/>
      <w:szCs w:val="22"/>
      <w:lang w:val="en-US" w:eastAsia="en-US" w:bidi="en-US"/>
    </w:rPr>
  </w:style>
  <w:style w:type="character" w:customStyle="1" w:styleId="NoSpacingChar">
    <w:name w:val="No Spacing Char"/>
    <w:link w:val="NoSpacing"/>
    <w:uiPriority w:val="1"/>
    <w:rsid w:val="006E6959"/>
    <w:rPr>
      <w:rFonts w:ascii="Times New Roman" w:hAnsi="Times New Roman"/>
      <w:sz w:val="24"/>
      <w:szCs w:val="22"/>
      <w:lang w:val="en-US" w:eastAsia="en-US" w:bidi="en-US"/>
    </w:rPr>
  </w:style>
  <w:style w:type="paragraph" w:styleId="Title">
    <w:name w:val="Title"/>
    <w:basedOn w:val="Normal"/>
    <w:next w:val="Normal"/>
    <w:link w:val="TitleChar"/>
    <w:uiPriority w:val="10"/>
    <w:qFormat/>
    <w:rsid w:val="000F1709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0F1709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1709"/>
    <w:pPr>
      <w:numPr>
        <w:ilvl w:val="1"/>
      </w:numPr>
    </w:pPr>
    <w:rPr>
      <w:rFonts w:ascii="Cambria" w:hAnsi="Cambria"/>
      <w:i/>
      <w:iCs/>
      <w:color w:val="4F81BD"/>
      <w:spacing w:val="15"/>
      <w:szCs w:val="24"/>
    </w:rPr>
  </w:style>
  <w:style w:type="character" w:customStyle="1" w:styleId="SubtitleChar">
    <w:name w:val="Subtitle Char"/>
    <w:link w:val="Subtitle"/>
    <w:uiPriority w:val="11"/>
    <w:rsid w:val="000F1709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364928"/>
    <w:pPr>
      <w:tabs>
        <w:tab w:val="right" w:leader="dot" w:pos="8210"/>
      </w:tabs>
    </w:pPr>
    <w:rPr>
      <w:b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C44067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C44067"/>
    <w:pPr>
      <w:ind w:left="480"/>
    </w:pPr>
  </w:style>
  <w:style w:type="character" w:styleId="Hyperlink">
    <w:name w:val="Hyperlink"/>
    <w:uiPriority w:val="99"/>
    <w:unhideWhenUsed/>
    <w:rsid w:val="00C44067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F1709"/>
    <w:pPr>
      <w:outlineLvl w:val="9"/>
    </w:pPr>
  </w:style>
  <w:style w:type="paragraph" w:styleId="Caption">
    <w:name w:val="caption"/>
    <w:basedOn w:val="Normal"/>
    <w:next w:val="Normal"/>
    <w:uiPriority w:val="35"/>
    <w:unhideWhenUsed/>
    <w:qFormat/>
    <w:rsid w:val="000F1709"/>
    <w:pPr>
      <w:spacing w:line="240" w:lineRule="auto"/>
    </w:pPr>
    <w:rPr>
      <w:b/>
      <w:bCs/>
      <w:color w:val="4F81BD"/>
      <w:sz w:val="18"/>
      <w:szCs w:val="18"/>
    </w:rPr>
  </w:style>
  <w:style w:type="character" w:styleId="Strong">
    <w:name w:val="Strong"/>
    <w:uiPriority w:val="22"/>
    <w:qFormat/>
    <w:rsid w:val="000F1709"/>
    <w:rPr>
      <w:b/>
      <w:bCs/>
    </w:rPr>
  </w:style>
  <w:style w:type="character" w:styleId="Emphasis">
    <w:name w:val="Emphasis"/>
    <w:uiPriority w:val="20"/>
    <w:qFormat/>
    <w:rsid w:val="000F1709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0F1709"/>
    <w:rPr>
      <w:rFonts w:ascii="Calibri" w:hAnsi="Calibri"/>
      <w:i/>
      <w:iCs/>
      <w:color w:val="000000"/>
      <w:sz w:val="20"/>
    </w:rPr>
  </w:style>
  <w:style w:type="character" w:customStyle="1" w:styleId="QuoteChar">
    <w:name w:val="Quote Char"/>
    <w:link w:val="Quote"/>
    <w:uiPriority w:val="29"/>
    <w:rsid w:val="000F1709"/>
    <w:rPr>
      <w:i/>
      <w:iCs/>
      <w:color w:val="00000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1709"/>
    <w:pPr>
      <w:pBdr>
        <w:bottom w:val="single" w:sz="4" w:space="4" w:color="4F81BD"/>
      </w:pBdr>
      <w:spacing w:before="200" w:after="280"/>
      <w:ind w:left="936" w:right="936"/>
    </w:pPr>
    <w:rPr>
      <w:rFonts w:ascii="Calibri" w:hAnsi="Calibri"/>
      <w:b/>
      <w:bCs/>
      <w:i/>
      <w:iCs/>
      <w:color w:val="4F81BD"/>
      <w:sz w:val="20"/>
    </w:rPr>
  </w:style>
  <w:style w:type="character" w:customStyle="1" w:styleId="IntenseQuoteChar">
    <w:name w:val="Intense Quote Char"/>
    <w:link w:val="IntenseQuote"/>
    <w:uiPriority w:val="30"/>
    <w:rsid w:val="000F1709"/>
    <w:rPr>
      <w:b/>
      <w:bCs/>
      <w:i/>
      <w:iCs/>
      <w:color w:val="4F81BD"/>
    </w:rPr>
  </w:style>
  <w:style w:type="character" w:styleId="SubtleEmphasis">
    <w:name w:val="Subtle Emphasis"/>
    <w:uiPriority w:val="19"/>
    <w:qFormat/>
    <w:rsid w:val="000F1709"/>
    <w:rPr>
      <w:i/>
      <w:iCs/>
      <w:color w:val="808080"/>
    </w:rPr>
  </w:style>
  <w:style w:type="character" w:styleId="IntenseEmphasis">
    <w:name w:val="Intense Emphasis"/>
    <w:uiPriority w:val="21"/>
    <w:qFormat/>
    <w:rsid w:val="000F1709"/>
    <w:rPr>
      <w:b/>
      <w:bCs/>
      <w:i/>
      <w:iCs/>
      <w:color w:val="4F81BD"/>
    </w:rPr>
  </w:style>
  <w:style w:type="character" w:styleId="SubtleReference">
    <w:name w:val="Subtle Reference"/>
    <w:uiPriority w:val="31"/>
    <w:qFormat/>
    <w:rsid w:val="000F1709"/>
    <w:rPr>
      <w:smallCaps/>
      <w:color w:val="C0504D"/>
      <w:u w:val="single"/>
    </w:rPr>
  </w:style>
  <w:style w:type="character" w:styleId="IntenseReference">
    <w:name w:val="Intense Reference"/>
    <w:uiPriority w:val="32"/>
    <w:qFormat/>
    <w:rsid w:val="000F1709"/>
    <w:rPr>
      <w:b/>
      <w:bCs/>
      <w:smallCaps/>
      <w:color w:val="C0504D"/>
      <w:spacing w:val="5"/>
      <w:u w:val="single"/>
    </w:rPr>
  </w:style>
  <w:style w:type="character" w:styleId="BookTitle">
    <w:name w:val="Book Title"/>
    <w:uiPriority w:val="33"/>
    <w:qFormat/>
    <w:rsid w:val="000F1709"/>
    <w:rPr>
      <w:b/>
      <w:bCs/>
      <w:smallCaps/>
      <w:spacing w:val="5"/>
    </w:rPr>
  </w:style>
  <w:style w:type="paragraph" w:styleId="TableofFigures">
    <w:name w:val="table of figures"/>
    <w:basedOn w:val="Normal"/>
    <w:next w:val="Normal"/>
    <w:uiPriority w:val="99"/>
    <w:unhideWhenUsed/>
    <w:rsid w:val="005C46C8"/>
  </w:style>
  <w:style w:type="paragraph" w:styleId="DocumentMap">
    <w:name w:val="Document Map"/>
    <w:basedOn w:val="Normal"/>
    <w:link w:val="DocumentMapChar"/>
    <w:uiPriority w:val="99"/>
    <w:semiHidden/>
    <w:unhideWhenUsed/>
    <w:rsid w:val="003B3B3F"/>
    <w:rPr>
      <w:rFonts w:ascii="Tahoma" w:hAnsi="Tahoma" w:cs="Tahoma"/>
      <w:sz w:val="16"/>
      <w:szCs w:val="16"/>
      <w:lang w:val="en-US" w:eastAsia="en-US" w:bidi="en-US"/>
    </w:rPr>
  </w:style>
  <w:style w:type="character" w:customStyle="1" w:styleId="DocumentMapChar">
    <w:name w:val="Document Map Char"/>
    <w:link w:val="DocumentMap"/>
    <w:uiPriority w:val="99"/>
    <w:semiHidden/>
    <w:rsid w:val="003B3B3F"/>
    <w:rPr>
      <w:rFonts w:ascii="Tahoma" w:hAnsi="Tahoma" w:cs="Tahoma"/>
      <w:sz w:val="16"/>
      <w:szCs w:val="16"/>
      <w:lang w:val="en-US" w:eastAsia="en-US" w:bidi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678B9"/>
    <w:rPr>
      <w:sz w:val="20"/>
      <w:lang w:val="en-US" w:eastAsia="en-US" w:bidi="en-US"/>
    </w:rPr>
  </w:style>
  <w:style w:type="character" w:customStyle="1" w:styleId="FootnoteTextChar">
    <w:name w:val="Footnote Text Char"/>
    <w:link w:val="FootnoteText"/>
    <w:uiPriority w:val="99"/>
    <w:semiHidden/>
    <w:rsid w:val="001678B9"/>
    <w:rPr>
      <w:rFonts w:ascii="Times New Roman" w:hAnsi="Times New Roman"/>
      <w:lang w:val="en-US" w:eastAsia="en-US" w:bidi="en-US"/>
    </w:rPr>
  </w:style>
  <w:style w:type="character" w:styleId="FootnoteReference">
    <w:name w:val="footnote reference"/>
    <w:uiPriority w:val="99"/>
    <w:semiHidden/>
    <w:unhideWhenUsed/>
    <w:rsid w:val="001678B9"/>
    <w:rPr>
      <w:vertAlign w:val="superscript"/>
    </w:rPr>
  </w:style>
  <w:style w:type="paragraph" w:styleId="NormalWeb">
    <w:name w:val="Normal (Web)"/>
    <w:basedOn w:val="Normal"/>
    <w:uiPriority w:val="99"/>
    <w:unhideWhenUsed/>
    <w:rsid w:val="00C427E7"/>
    <w:pPr>
      <w:spacing w:before="100" w:beforeAutospacing="1" w:after="100" w:afterAutospacing="1" w:line="240" w:lineRule="auto"/>
      <w:jc w:val="left"/>
    </w:pPr>
    <w:rPr>
      <w:szCs w:val="24"/>
    </w:rPr>
  </w:style>
  <w:style w:type="paragraph" w:customStyle="1" w:styleId="body0020text">
    <w:name w:val="body_0020text"/>
    <w:basedOn w:val="Normal"/>
    <w:rsid w:val="00C1340C"/>
    <w:pPr>
      <w:spacing w:line="240" w:lineRule="auto"/>
      <w:jc w:val="left"/>
    </w:pPr>
    <w:rPr>
      <w:rFonts w:ascii="Arial" w:eastAsia="SimSun" w:hAnsi="Arial" w:cs="Arial"/>
      <w:szCs w:val="24"/>
      <w:lang w:eastAsia="zh-CN"/>
    </w:rPr>
  </w:style>
  <w:style w:type="character" w:customStyle="1" w:styleId="body0020textchar1">
    <w:name w:val="body_0020text__char1"/>
    <w:rsid w:val="00C1340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paragraph" w:styleId="BodyText2">
    <w:name w:val="Body Text 2"/>
    <w:basedOn w:val="Normal"/>
    <w:link w:val="BodyText2Char"/>
    <w:rsid w:val="00DE7F51"/>
    <w:pPr>
      <w:tabs>
        <w:tab w:val="left" w:pos="720"/>
        <w:tab w:val="left" w:pos="1440"/>
        <w:tab w:val="left" w:pos="2160"/>
        <w:tab w:val="left" w:pos="2880"/>
        <w:tab w:val="left" w:pos="4680"/>
        <w:tab w:val="left" w:pos="5400"/>
        <w:tab w:val="right" w:pos="9000"/>
      </w:tabs>
      <w:autoSpaceDE w:val="0"/>
      <w:autoSpaceDN w:val="0"/>
      <w:spacing w:line="240" w:lineRule="atLeast"/>
    </w:pPr>
    <w:rPr>
      <w:rFonts w:ascii="Arial" w:hAnsi="Arial"/>
      <w:i/>
      <w:sz w:val="20"/>
    </w:rPr>
  </w:style>
  <w:style w:type="character" w:customStyle="1" w:styleId="BodyText2Char">
    <w:name w:val="Body Text 2 Char"/>
    <w:link w:val="BodyText2"/>
    <w:rsid w:val="00DE7F51"/>
    <w:rPr>
      <w:rFonts w:ascii="Arial" w:hAnsi="Arial"/>
      <w:i/>
    </w:rPr>
  </w:style>
  <w:style w:type="paragraph" w:styleId="BodyTextIndent">
    <w:name w:val="Body Text Indent"/>
    <w:basedOn w:val="Normal"/>
    <w:link w:val="BodyTextIndentChar"/>
    <w:rsid w:val="00DE7F51"/>
    <w:pPr>
      <w:tabs>
        <w:tab w:val="left" w:pos="720"/>
        <w:tab w:val="left" w:pos="1440"/>
        <w:tab w:val="left" w:pos="2160"/>
        <w:tab w:val="left" w:pos="2880"/>
        <w:tab w:val="left" w:pos="4680"/>
        <w:tab w:val="left" w:pos="5400"/>
        <w:tab w:val="right" w:pos="9000"/>
      </w:tabs>
      <w:autoSpaceDE w:val="0"/>
      <w:autoSpaceDN w:val="0"/>
      <w:spacing w:line="240" w:lineRule="auto"/>
    </w:pPr>
    <w:rPr>
      <w:rFonts w:ascii="Arial" w:hAnsi="Arial"/>
      <w:i/>
      <w:sz w:val="20"/>
    </w:rPr>
  </w:style>
  <w:style w:type="character" w:customStyle="1" w:styleId="BodyTextIndentChar">
    <w:name w:val="Body Text Indent Char"/>
    <w:link w:val="BodyTextIndent"/>
    <w:rsid w:val="00DE7F51"/>
    <w:rPr>
      <w:rFonts w:ascii="Arial" w:hAnsi="Arial"/>
      <w:i/>
    </w:rPr>
  </w:style>
  <w:style w:type="paragraph" w:styleId="BodyText3">
    <w:name w:val="Body Text 3"/>
    <w:basedOn w:val="Normal"/>
    <w:link w:val="BodyText3Char"/>
    <w:rsid w:val="00DE7F51"/>
    <w:pPr>
      <w:tabs>
        <w:tab w:val="left" w:pos="720"/>
        <w:tab w:val="left" w:pos="1440"/>
        <w:tab w:val="left" w:pos="2160"/>
        <w:tab w:val="left" w:pos="2880"/>
        <w:tab w:val="left" w:pos="4680"/>
        <w:tab w:val="left" w:pos="5400"/>
        <w:tab w:val="right" w:pos="9000"/>
      </w:tabs>
      <w:autoSpaceDE w:val="0"/>
      <w:autoSpaceDN w:val="0"/>
      <w:spacing w:line="240" w:lineRule="atLeast"/>
    </w:pPr>
    <w:rPr>
      <w:rFonts w:ascii="Arial" w:hAnsi="Arial"/>
      <w:b/>
      <w:i/>
      <w:sz w:val="20"/>
    </w:rPr>
  </w:style>
  <w:style w:type="character" w:customStyle="1" w:styleId="BodyText3Char">
    <w:name w:val="Body Text 3 Char"/>
    <w:link w:val="BodyText3"/>
    <w:rsid w:val="00DE7F51"/>
    <w:rPr>
      <w:rFonts w:ascii="Arial" w:hAnsi="Arial"/>
      <w:b/>
      <w:i/>
    </w:rPr>
  </w:style>
  <w:style w:type="paragraph" w:styleId="BodyText">
    <w:name w:val="Body Text"/>
    <w:basedOn w:val="Normal"/>
    <w:link w:val="BodyTextChar"/>
    <w:rsid w:val="00DE7F51"/>
    <w:pPr>
      <w:spacing w:line="240" w:lineRule="auto"/>
      <w:outlineLvl w:val="0"/>
    </w:pPr>
    <w:rPr>
      <w:rFonts w:ascii="Arial" w:hAnsi="Arial"/>
      <w:bCs/>
      <w:sz w:val="20"/>
      <w:lang w:val="en-US"/>
    </w:rPr>
  </w:style>
  <w:style w:type="character" w:customStyle="1" w:styleId="BodyTextChar">
    <w:name w:val="Body Text Char"/>
    <w:link w:val="BodyText"/>
    <w:rsid w:val="00DE7F51"/>
    <w:rPr>
      <w:rFonts w:ascii="Arial" w:hAnsi="Arial"/>
      <w:bCs/>
      <w:lang w:val="en-US"/>
    </w:rPr>
  </w:style>
  <w:style w:type="paragraph" w:customStyle="1" w:styleId="Default">
    <w:name w:val="Default"/>
    <w:rsid w:val="00DE7F5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MediumGrid2Char">
    <w:name w:val="Medium Grid 2 Char"/>
    <w:link w:val="MediumGrid21"/>
    <w:uiPriority w:val="1"/>
    <w:rsid w:val="00C82B10"/>
    <w:rPr>
      <w:sz w:val="22"/>
      <w:szCs w:val="22"/>
      <w:lang w:val="en-US" w:eastAsia="en-US" w:bidi="en-US"/>
    </w:rPr>
  </w:style>
  <w:style w:type="table" w:customStyle="1" w:styleId="MediumGrid21">
    <w:name w:val="Medium Grid 21"/>
    <w:basedOn w:val="TableNormal"/>
    <w:link w:val="MediumGrid2Char"/>
    <w:uiPriority w:val="1"/>
    <w:rsid w:val="00C82B10"/>
    <w:rPr>
      <w:sz w:val="22"/>
      <w:szCs w:val="22"/>
      <w:lang w:val="en-US" w:eastAsia="en-US" w:bidi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tblPr/>
      <w:tcPr>
        <w:shd w:val="clear" w:color="auto" w:fill="E6E6E6"/>
      </w:tcPr>
    </w:tblStylePr>
    <w:tblStylePr w:type="lastRow"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paragraph" w:customStyle="1" w:styleId="nhsbase">
    <w:name w:val="nhs_base"/>
    <w:basedOn w:val="Normal"/>
    <w:rsid w:val="00C82B10"/>
    <w:pPr>
      <w:spacing w:line="240" w:lineRule="auto"/>
      <w:jc w:val="left"/>
    </w:pPr>
    <w:rPr>
      <w:rFonts w:ascii="Arial" w:hAnsi="Arial"/>
      <w:kern w:val="16"/>
    </w:rPr>
  </w:style>
  <w:style w:type="paragraph" w:styleId="TOC4">
    <w:name w:val="toc 4"/>
    <w:basedOn w:val="Normal"/>
    <w:next w:val="Normal"/>
    <w:autoRedefine/>
    <w:uiPriority w:val="39"/>
    <w:unhideWhenUsed/>
    <w:rsid w:val="00D84848"/>
    <w:pPr>
      <w:spacing w:after="100" w:line="276" w:lineRule="auto"/>
      <w:ind w:left="660"/>
      <w:jc w:val="left"/>
    </w:pPr>
    <w:rPr>
      <w:rFonts w:ascii="Calibri" w:hAnsi="Calibri"/>
      <w:sz w:val="22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D84848"/>
    <w:pPr>
      <w:spacing w:after="100" w:line="276" w:lineRule="auto"/>
      <w:ind w:left="880"/>
      <w:jc w:val="left"/>
    </w:pPr>
    <w:rPr>
      <w:rFonts w:ascii="Calibri" w:hAnsi="Calibri"/>
      <w:sz w:val="22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D84848"/>
    <w:pPr>
      <w:spacing w:after="100" w:line="276" w:lineRule="auto"/>
      <w:ind w:left="1100"/>
      <w:jc w:val="left"/>
    </w:pPr>
    <w:rPr>
      <w:rFonts w:ascii="Calibri" w:hAnsi="Calibri"/>
      <w:sz w:val="22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D84848"/>
    <w:pPr>
      <w:spacing w:after="100" w:line="276" w:lineRule="auto"/>
      <w:ind w:left="1320"/>
      <w:jc w:val="left"/>
    </w:pPr>
    <w:rPr>
      <w:rFonts w:ascii="Calibri" w:hAnsi="Calibri"/>
      <w:sz w:val="22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D84848"/>
    <w:pPr>
      <w:spacing w:after="100" w:line="276" w:lineRule="auto"/>
      <w:ind w:left="1540"/>
      <w:jc w:val="left"/>
    </w:pPr>
    <w:rPr>
      <w:rFonts w:ascii="Calibri" w:hAnsi="Calibri"/>
      <w:sz w:val="22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D84848"/>
    <w:pPr>
      <w:spacing w:after="100" w:line="276" w:lineRule="auto"/>
      <w:ind w:left="1760"/>
      <w:jc w:val="left"/>
    </w:pPr>
    <w:rPr>
      <w:rFonts w:ascii="Calibri" w:hAnsi="Calibri"/>
      <w:sz w:val="22"/>
      <w:szCs w:val="22"/>
    </w:rPr>
  </w:style>
  <w:style w:type="character" w:styleId="LineNumber">
    <w:name w:val="line number"/>
    <w:basedOn w:val="DefaultParagraphFont"/>
    <w:uiPriority w:val="99"/>
    <w:semiHidden/>
    <w:unhideWhenUsed/>
    <w:rsid w:val="00304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15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6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8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2013-05-01T00:00:00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D995D7B-83C5-403C-ABC0-0A701DDCC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4986</Words>
  <Characters>28421</Characters>
  <Application>Microsoft Office Word</Application>
  <DocSecurity>0</DocSecurity>
  <Lines>236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-</vt:lpstr>
    </vt:vector>
  </TitlesOfParts>
  <Company>niversity of Aberdeen</Company>
  <LinksUpToDate>false</LinksUpToDate>
  <CharactersWithSpaces>33341</CharactersWithSpaces>
  <SharedDoc>false</SharedDoc>
  <HLinks>
    <vt:vector size="732" baseType="variant">
      <vt:variant>
        <vt:i4>1507377</vt:i4>
      </vt:variant>
      <vt:variant>
        <vt:i4>722</vt:i4>
      </vt:variant>
      <vt:variant>
        <vt:i4>0</vt:i4>
      </vt:variant>
      <vt:variant>
        <vt:i4>5</vt:i4>
      </vt:variant>
      <vt:variant>
        <vt:lpwstr/>
      </vt:variant>
      <vt:variant>
        <vt:lpwstr>_Toc355512625</vt:lpwstr>
      </vt:variant>
      <vt:variant>
        <vt:i4>1507377</vt:i4>
      </vt:variant>
      <vt:variant>
        <vt:i4>716</vt:i4>
      </vt:variant>
      <vt:variant>
        <vt:i4>0</vt:i4>
      </vt:variant>
      <vt:variant>
        <vt:i4>5</vt:i4>
      </vt:variant>
      <vt:variant>
        <vt:lpwstr/>
      </vt:variant>
      <vt:variant>
        <vt:lpwstr>_Toc355512624</vt:lpwstr>
      </vt:variant>
      <vt:variant>
        <vt:i4>1507377</vt:i4>
      </vt:variant>
      <vt:variant>
        <vt:i4>710</vt:i4>
      </vt:variant>
      <vt:variant>
        <vt:i4>0</vt:i4>
      </vt:variant>
      <vt:variant>
        <vt:i4>5</vt:i4>
      </vt:variant>
      <vt:variant>
        <vt:lpwstr/>
      </vt:variant>
      <vt:variant>
        <vt:lpwstr>_Toc355512623</vt:lpwstr>
      </vt:variant>
      <vt:variant>
        <vt:i4>1507377</vt:i4>
      </vt:variant>
      <vt:variant>
        <vt:i4>704</vt:i4>
      </vt:variant>
      <vt:variant>
        <vt:i4>0</vt:i4>
      </vt:variant>
      <vt:variant>
        <vt:i4>5</vt:i4>
      </vt:variant>
      <vt:variant>
        <vt:lpwstr/>
      </vt:variant>
      <vt:variant>
        <vt:lpwstr>_Toc355512622</vt:lpwstr>
      </vt:variant>
      <vt:variant>
        <vt:i4>1507377</vt:i4>
      </vt:variant>
      <vt:variant>
        <vt:i4>698</vt:i4>
      </vt:variant>
      <vt:variant>
        <vt:i4>0</vt:i4>
      </vt:variant>
      <vt:variant>
        <vt:i4>5</vt:i4>
      </vt:variant>
      <vt:variant>
        <vt:lpwstr/>
      </vt:variant>
      <vt:variant>
        <vt:lpwstr>_Toc355512621</vt:lpwstr>
      </vt:variant>
      <vt:variant>
        <vt:i4>1507377</vt:i4>
      </vt:variant>
      <vt:variant>
        <vt:i4>692</vt:i4>
      </vt:variant>
      <vt:variant>
        <vt:i4>0</vt:i4>
      </vt:variant>
      <vt:variant>
        <vt:i4>5</vt:i4>
      </vt:variant>
      <vt:variant>
        <vt:lpwstr/>
      </vt:variant>
      <vt:variant>
        <vt:lpwstr>_Toc355512620</vt:lpwstr>
      </vt:variant>
      <vt:variant>
        <vt:i4>1310769</vt:i4>
      </vt:variant>
      <vt:variant>
        <vt:i4>686</vt:i4>
      </vt:variant>
      <vt:variant>
        <vt:i4>0</vt:i4>
      </vt:variant>
      <vt:variant>
        <vt:i4>5</vt:i4>
      </vt:variant>
      <vt:variant>
        <vt:lpwstr/>
      </vt:variant>
      <vt:variant>
        <vt:lpwstr>_Toc355512619</vt:lpwstr>
      </vt:variant>
      <vt:variant>
        <vt:i4>1310769</vt:i4>
      </vt:variant>
      <vt:variant>
        <vt:i4>680</vt:i4>
      </vt:variant>
      <vt:variant>
        <vt:i4>0</vt:i4>
      </vt:variant>
      <vt:variant>
        <vt:i4>5</vt:i4>
      </vt:variant>
      <vt:variant>
        <vt:lpwstr/>
      </vt:variant>
      <vt:variant>
        <vt:lpwstr>_Toc355512618</vt:lpwstr>
      </vt:variant>
      <vt:variant>
        <vt:i4>1310769</vt:i4>
      </vt:variant>
      <vt:variant>
        <vt:i4>674</vt:i4>
      </vt:variant>
      <vt:variant>
        <vt:i4>0</vt:i4>
      </vt:variant>
      <vt:variant>
        <vt:i4>5</vt:i4>
      </vt:variant>
      <vt:variant>
        <vt:lpwstr/>
      </vt:variant>
      <vt:variant>
        <vt:lpwstr>_Toc355512617</vt:lpwstr>
      </vt:variant>
      <vt:variant>
        <vt:i4>1310769</vt:i4>
      </vt:variant>
      <vt:variant>
        <vt:i4>668</vt:i4>
      </vt:variant>
      <vt:variant>
        <vt:i4>0</vt:i4>
      </vt:variant>
      <vt:variant>
        <vt:i4>5</vt:i4>
      </vt:variant>
      <vt:variant>
        <vt:lpwstr/>
      </vt:variant>
      <vt:variant>
        <vt:lpwstr>_Toc355512616</vt:lpwstr>
      </vt:variant>
      <vt:variant>
        <vt:i4>1310769</vt:i4>
      </vt:variant>
      <vt:variant>
        <vt:i4>662</vt:i4>
      </vt:variant>
      <vt:variant>
        <vt:i4>0</vt:i4>
      </vt:variant>
      <vt:variant>
        <vt:i4>5</vt:i4>
      </vt:variant>
      <vt:variant>
        <vt:lpwstr/>
      </vt:variant>
      <vt:variant>
        <vt:lpwstr>_Toc355512615</vt:lpwstr>
      </vt:variant>
      <vt:variant>
        <vt:i4>1310769</vt:i4>
      </vt:variant>
      <vt:variant>
        <vt:i4>656</vt:i4>
      </vt:variant>
      <vt:variant>
        <vt:i4>0</vt:i4>
      </vt:variant>
      <vt:variant>
        <vt:i4>5</vt:i4>
      </vt:variant>
      <vt:variant>
        <vt:lpwstr/>
      </vt:variant>
      <vt:variant>
        <vt:lpwstr>_Toc355512614</vt:lpwstr>
      </vt:variant>
      <vt:variant>
        <vt:i4>1310769</vt:i4>
      </vt:variant>
      <vt:variant>
        <vt:i4>650</vt:i4>
      </vt:variant>
      <vt:variant>
        <vt:i4>0</vt:i4>
      </vt:variant>
      <vt:variant>
        <vt:i4>5</vt:i4>
      </vt:variant>
      <vt:variant>
        <vt:lpwstr/>
      </vt:variant>
      <vt:variant>
        <vt:lpwstr>_Toc355512613</vt:lpwstr>
      </vt:variant>
      <vt:variant>
        <vt:i4>1310769</vt:i4>
      </vt:variant>
      <vt:variant>
        <vt:i4>644</vt:i4>
      </vt:variant>
      <vt:variant>
        <vt:i4>0</vt:i4>
      </vt:variant>
      <vt:variant>
        <vt:i4>5</vt:i4>
      </vt:variant>
      <vt:variant>
        <vt:lpwstr/>
      </vt:variant>
      <vt:variant>
        <vt:lpwstr>_Toc355512612</vt:lpwstr>
      </vt:variant>
      <vt:variant>
        <vt:i4>1310769</vt:i4>
      </vt:variant>
      <vt:variant>
        <vt:i4>638</vt:i4>
      </vt:variant>
      <vt:variant>
        <vt:i4>0</vt:i4>
      </vt:variant>
      <vt:variant>
        <vt:i4>5</vt:i4>
      </vt:variant>
      <vt:variant>
        <vt:lpwstr/>
      </vt:variant>
      <vt:variant>
        <vt:lpwstr>_Toc355512611</vt:lpwstr>
      </vt:variant>
      <vt:variant>
        <vt:i4>1310769</vt:i4>
      </vt:variant>
      <vt:variant>
        <vt:i4>632</vt:i4>
      </vt:variant>
      <vt:variant>
        <vt:i4>0</vt:i4>
      </vt:variant>
      <vt:variant>
        <vt:i4>5</vt:i4>
      </vt:variant>
      <vt:variant>
        <vt:lpwstr/>
      </vt:variant>
      <vt:variant>
        <vt:lpwstr>_Toc355512610</vt:lpwstr>
      </vt:variant>
      <vt:variant>
        <vt:i4>1376305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_Toc355512609</vt:lpwstr>
      </vt:variant>
      <vt:variant>
        <vt:i4>1376305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_Toc355512608</vt:lpwstr>
      </vt:variant>
      <vt:variant>
        <vt:i4>1376305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_Toc355512607</vt:lpwstr>
      </vt:variant>
      <vt:variant>
        <vt:i4>1376305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_Toc355512606</vt:lpwstr>
      </vt:variant>
      <vt:variant>
        <vt:i4>5439489</vt:i4>
      </vt:variant>
      <vt:variant>
        <vt:i4>599</vt:i4>
      </vt:variant>
      <vt:variant>
        <vt:i4>0</vt:i4>
      </vt:variant>
      <vt:variant>
        <vt:i4>5</vt:i4>
      </vt:variant>
      <vt:variant>
        <vt:lpwstr>\\fhstudent-l.uoa.abdn.ac.uk\HOME\Sunday MORNING\KirstenCummingFinalDraft.doc</vt:lpwstr>
      </vt:variant>
      <vt:variant>
        <vt:lpwstr>_Toc355548084</vt:lpwstr>
      </vt:variant>
      <vt:variant>
        <vt:i4>1507378</vt:i4>
      </vt:variant>
      <vt:variant>
        <vt:i4>593</vt:i4>
      </vt:variant>
      <vt:variant>
        <vt:i4>0</vt:i4>
      </vt:variant>
      <vt:variant>
        <vt:i4>5</vt:i4>
      </vt:variant>
      <vt:variant>
        <vt:lpwstr/>
      </vt:variant>
      <vt:variant>
        <vt:lpwstr>_Toc355548083</vt:lpwstr>
      </vt:variant>
      <vt:variant>
        <vt:i4>1507378</vt:i4>
      </vt:variant>
      <vt:variant>
        <vt:i4>587</vt:i4>
      </vt:variant>
      <vt:variant>
        <vt:i4>0</vt:i4>
      </vt:variant>
      <vt:variant>
        <vt:i4>5</vt:i4>
      </vt:variant>
      <vt:variant>
        <vt:lpwstr/>
      </vt:variant>
      <vt:variant>
        <vt:lpwstr>_Toc355548082</vt:lpwstr>
      </vt:variant>
      <vt:variant>
        <vt:i4>1507378</vt:i4>
      </vt:variant>
      <vt:variant>
        <vt:i4>581</vt:i4>
      </vt:variant>
      <vt:variant>
        <vt:i4>0</vt:i4>
      </vt:variant>
      <vt:variant>
        <vt:i4>5</vt:i4>
      </vt:variant>
      <vt:variant>
        <vt:lpwstr/>
      </vt:variant>
      <vt:variant>
        <vt:lpwstr>_Toc355548081</vt:lpwstr>
      </vt:variant>
      <vt:variant>
        <vt:i4>5439489</vt:i4>
      </vt:variant>
      <vt:variant>
        <vt:i4>575</vt:i4>
      </vt:variant>
      <vt:variant>
        <vt:i4>0</vt:i4>
      </vt:variant>
      <vt:variant>
        <vt:i4>5</vt:i4>
      </vt:variant>
      <vt:variant>
        <vt:lpwstr>\\fhstudent-l.uoa.abdn.ac.uk\HOME\Sunday MORNING\KirstenCummingFinalDraft.doc</vt:lpwstr>
      </vt:variant>
      <vt:variant>
        <vt:lpwstr>_Toc355548080</vt:lpwstr>
      </vt:variant>
      <vt:variant>
        <vt:i4>6029313</vt:i4>
      </vt:variant>
      <vt:variant>
        <vt:i4>569</vt:i4>
      </vt:variant>
      <vt:variant>
        <vt:i4>0</vt:i4>
      </vt:variant>
      <vt:variant>
        <vt:i4>5</vt:i4>
      </vt:variant>
      <vt:variant>
        <vt:lpwstr>\\fhstudent-l.uoa.abdn.ac.uk\HOME\Sunday MORNING\KirstenCummingFinalDraft.doc</vt:lpwstr>
      </vt:variant>
      <vt:variant>
        <vt:lpwstr>_Toc355548079</vt:lpwstr>
      </vt:variant>
      <vt:variant>
        <vt:i4>1966139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_Toc355540998</vt:lpwstr>
      </vt:variant>
      <vt:variant>
        <vt:i4>1966139</vt:i4>
      </vt:variant>
      <vt:variant>
        <vt:i4>554</vt:i4>
      </vt:variant>
      <vt:variant>
        <vt:i4>0</vt:i4>
      </vt:variant>
      <vt:variant>
        <vt:i4>5</vt:i4>
      </vt:variant>
      <vt:variant>
        <vt:lpwstr/>
      </vt:variant>
      <vt:variant>
        <vt:lpwstr>_Toc355540997</vt:lpwstr>
      </vt:variant>
      <vt:variant>
        <vt:i4>1966139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_Toc355540996</vt:lpwstr>
      </vt:variant>
      <vt:variant>
        <vt:i4>1966139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_Toc355540995</vt:lpwstr>
      </vt:variant>
      <vt:variant>
        <vt:i4>1966139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_Toc355540994</vt:lpwstr>
      </vt:variant>
      <vt:variant>
        <vt:i4>1966139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_Toc355540993</vt:lpwstr>
      </vt:variant>
      <vt:variant>
        <vt:i4>1966139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_Toc355540992</vt:lpwstr>
      </vt:variant>
      <vt:variant>
        <vt:i4>1966139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_Toc355540991</vt:lpwstr>
      </vt:variant>
      <vt:variant>
        <vt:i4>1966139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_Toc355540990</vt:lpwstr>
      </vt:variant>
      <vt:variant>
        <vt:i4>2031675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_Toc355540989</vt:lpwstr>
      </vt:variant>
      <vt:variant>
        <vt:i4>2031675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_Toc355540988</vt:lpwstr>
      </vt:variant>
      <vt:variant>
        <vt:i4>2031675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_Toc355540987</vt:lpwstr>
      </vt:variant>
      <vt:variant>
        <vt:i4>2031675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_Toc355540986</vt:lpwstr>
      </vt:variant>
      <vt:variant>
        <vt:i4>2031675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_Toc355540985</vt:lpwstr>
      </vt:variant>
      <vt:variant>
        <vt:i4>2031675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_Toc355540984</vt:lpwstr>
      </vt:variant>
      <vt:variant>
        <vt:i4>2031675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_Toc355540983</vt:lpwstr>
      </vt:variant>
      <vt:variant>
        <vt:i4>2031675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_Toc355540982</vt:lpwstr>
      </vt:variant>
      <vt:variant>
        <vt:i4>2031675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_Toc355540981</vt:lpwstr>
      </vt:variant>
      <vt:variant>
        <vt:i4>2031675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_Toc355540980</vt:lpwstr>
      </vt:variant>
      <vt:variant>
        <vt:i4>1048635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_Toc355540979</vt:lpwstr>
      </vt:variant>
      <vt:variant>
        <vt:i4>1048635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_Toc355540978</vt:lpwstr>
      </vt:variant>
      <vt:variant>
        <vt:i4>1048635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_Toc355540977</vt:lpwstr>
      </vt:variant>
      <vt:variant>
        <vt:i4>1048635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_Toc355540976</vt:lpwstr>
      </vt:variant>
      <vt:variant>
        <vt:i4>1048635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_Toc355540975</vt:lpwstr>
      </vt:variant>
      <vt:variant>
        <vt:i4>1048635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_Toc355540974</vt:lpwstr>
      </vt:variant>
      <vt:variant>
        <vt:i4>1048635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_Toc355540973</vt:lpwstr>
      </vt:variant>
      <vt:variant>
        <vt:i4>1048635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_Toc355540972</vt:lpwstr>
      </vt:variant>
      <vt:variant>
        <vt:i4>1048635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_Toc355540971</vt:lpwstr>
      </vt:variant>
      <vt:variant>
        <vt:i4>1048635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_Toc355540970</vt:lpwstr>
      </vt:variant>
      <vt:variant>
        <vt:i4>1114171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_Toc355540969</vt:lpwstr>
      </vt:variant>
      <vt:variant>
        <vt:i4>1114171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_Toc355540968</vt:lpwstr>
      </vt:variant>
      <vt:variant>
        <vt:i4>1114171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_Toc355540967</vt:lpwstr>
      </vt:variant>
      <vt:variant>
        <vt:i4>1114171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_Toc355540966</vt:lpwstr>
      </vt:variant>
      <vt:variant>
        <vt:i4>1114171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_Toc355540965</vt:lpwstr>
      </vt:variant>
      <vt:variant>
        <vt:i4>1114171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_Toc355540964</vt:lpwstr>
      </vt:variant>
      <vt:variant>
        <vt:i4>1114171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_Toc355540963</vt:lpwstr>
      </vt:variant>
      <vt:variant>
        <vt:i4>1114171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_Toc355540962</vt:lpwstr>
      </vt:variant>
      <vt:variant>
        <vt:i4>1114171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_Toc355540961</vt:lpwstr>
      </vt:variant>
      <vt:variant>
        <vt:i4>1114171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_Toc355540960</vt:lpwstr>
      </vt:variant>
      <vt:variant>
        <vt:i4>1179707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_Toc355540959</vt:lpwstr>
      </vt:variant>
      <vt:variant>
        <vt:i4>1179707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_Toc355540958</vt:lpwstr>
      </vt:variant>
      <vt:variant>
        <vt:i4>1179707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_Toc355540957</vt:lpwstr>
      </vt:variant>
      <vt:variant>
        <vt:i4>1179707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_Toc355540956</vt:lpwstr>
      </vt:variant>
      <vt:variant>
        <vt:i4>1179707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_Toc355540955</vt:lpwstr>
      </vt:variant>
      <vt:variant>
        <vt:i4>1179707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_Toc355540954</vt:lpwstr>
      </vt:variant>
      <vt:variant>
        <vt:i4>1179707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_Toc355540953</vt:lpwstr>
      </vt:variant>
      <vt:variant>
        <vt:i4>1179707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_Toc355540952</vt:lpwstr>
      </vt:variant>
      <vt:variant>
        <vt:i4>1179707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_Toc355540951</vt:lpwstr>
      </vt:variant>
      <vt:variant>
        <vt:i4>1179707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_Toc355540950</vt:lpwstr>
      </vt:variant>
      <vt:variant>
        <vt:i4>1245243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_Toc355540949</vt:lpwstr>
      </vt:variant>
      <vt:variant>
        <vt:i4>1245243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_Toc355540948</vt:lpwstr>
      </vt:variant>
      <vt:variant>
        <vt:i4>1245243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_Toc355540947</vt:lpwstr>
      </vt:variant>
      <vt:variant>
        <vt:i4>1245243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_Toc355540946</vt:lpwstr>
      </vt:variant>
      <vt:variant>
        <vt:i4>1245243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_Toc355540945</vt:lpwstr>
      </vt:variant>
      <vt:variant>
        <vt:i4>1245243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_Toc355540944</vt:lpwstr>
      </vt:variant>
      <vt:variant>
        <vt:i4>1245243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_Toc355540943</vt:lpwstr>
      </vt:variant>
      <vt:variant>
        <vt:i4>1245243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_Toc355540942</vt:lpwstr>
      </vt:variant>
      <vt:variant>
        <vt:i4>1245243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_Toc355540941</vt:lpwstr>
      </vt:variant>
      <vt:variant>
        <vt:i4>1245243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_Toc355540940</vt:lpwstr>
      </vt:variant>
      <vt:variant>
        <vt:i4>1310779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_Toc355540939</vt:lpwstr>
      </vt:variant>
      <vt:variant>
        <vt:i4>1310779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_Toc355540938</vt:lpwstr>
      </vt:variant>
      <vt:variant>
        <vt:i4>1310779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_Toc355540937</vt:lpwstr>
      </vt:variant>
      <vt:variant>
        <vt:i4>1310779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_Toc355540936</vt:lpwstr>
      </vt:variant>
      <vt:variant>
        <vt:i4>1310779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_Toc355540935</vt:lpwstr>
      </vt:variant>
      <vt:variant>
        <vt:i4>1310779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_Toc355540934</vt:lpwstr>
      </vt:variant>
      <vt:variant>
        <vt:i4>1310779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_Toc355540933</vt:lpwstr>
      </vt:variant>
      <vt:variant>
        <vt:i4>1310779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_Toc355540932</vt:lpwstr>
      </vt:variant>
      <vt:variant>
        <vt:i4>1310779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_Toc355540931</vt:lpwstr>
      </vt:variant>
      <vt:variant>
        <vt:i4>1310779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_Toc355540930</vt:lpwstr>
      </vt:variant>
      <vt:variant>
        <vt:i4>1376315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_Toc355540929</vt:lpwstr>
      </vt:variant>
      <vt:variant>
        <vt:i4>1376315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_Toc355540928</vt:lpwstr>
      </vt:variant>
      <vt:variant>
        <vt:i4>1376315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_Toc355540927</vt:lpwstr>
      </vt:variant>
      <vt:variant>
        <vt:i4>1376315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_Toc355540926</vt:lpwstr>
      </vt:variant>
      <vt:variant>
        <vt:i4>1376315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_Toc355540925</vt:lpwstr>
      </vt:variant>
      <vt:variant>
        <vt:i4>1376315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_Toc355540924</vt:lpwstr>
      </vt:variant>
      <vt:variant>
        <vt:i4>1376315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_Toc355540923</vt:lpwstr>
      </vt:variant>
      <vt:variant>
        <vt:i4>1376315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_Toc355540922</vt:lpwstr>
      </vt:variant>
      <vt:variant>
        <vt:i4>1376315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_Toc355540921</vt:lpwstr>
      </vt:variant>
      <vt:variant>
        <vt:i4>1376315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_Toc355540920</vt:lpwstr>
      </vt:variant>
      <vt:variant>
        <vt:i4>1441851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_Toc355540919</vt:lpwstr>
      </vt:variant>
      <vt:variant>
        <vt:i4>1441851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_Toc355540918</vt:lpwstr>
      </vt:variant>
      <vt:variant>
        <vt:i4>1441851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_Toc355540917</vt:lpwstr>
      </vt:variant>
      <vt:variant>
        <vt:i4>1441851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_Toc355540916</vt:lpwstr>
      </vt:variant>
      <vt:variant>
        <vt:i4>1441851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_Toc355540915</vt:lpwstr>
      </vt:variant>
      <vt:variant>
        <vt:i4>1441851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_Toc355540914</vt:lpwstr>
      </vt:variant>
      <vt:variant>
        <vt:i4>1441851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_Toc355540913</vt:lpwstr>
      </vt:variant>
      <vt:variant>
        <vt:i4>1441851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_Toc355540912</vt:lpwstr>
      </vt:variant>
      <vt:variant>
        <vt:i4>1441851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_Toc355540911</vt:lpwstr>
      </vt:variant>
      <vt:variant>
        <vt:i4>1441851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_Toc355540910</vt:lpwstr>
      </vt:variant>
      <vt:variant>
        <vt:i4>1507387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_Toc355540909</vt:lpwstr>
      </vt:variant>
      <vt:variant>
        <vt:i4>1507387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_Toc355540908</vt:lpwstr>
      </vt:variant>
      <vt:variant>
        <vt:i4>1507387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_Toc355540907</vt:lpwstr>
      </vt:variant>
      <vt:variant>
        <vt:i4>1507387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_Toc355540906</vt:lpwstr>
      </vt:variant>
      <vt:variant>
        <vt:i4>1507387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_Toc355540905</vt:lpwstr>
      </vt:variant>
      <vt:variant>
        <vt:i4>3342370</vt:i4>
      </vt:variant>
      <vt:variant>
        <vt:i4>-1</vt:i4>
      </vt:variant>
      <vt:variant>
        <vt:i4>1189</vt:i4>
      </vt:variant>
      <vt:variant>
        <vt:i4>1</vt:i4>
      </vt:variant>
      <vt:variant>
        <vt:lpwstr>http://nhsgintranet.grampian.scot.nhs.uk/Style%20Library/Images/NHSG/Logo/logo.png</vt:lpwstr>
      </vt:variant>
      <vt:variant>
        <vt:lpwstr/>
      </vt:variant>
      <vt:variant>
        <vt:i4>3342370</vt:i4>
      </vt:variant>
      <vt:variant>
        <vt:i4>-1</vt:i4>
      </vt:variant>
      <vt:variant>
        <vt:i4>1193</vt:i4>
      </vt:variant>
      <vt:variant>
        <vt:i4>1</vt:i4>
      </vt:variant>
      <vt:variant>
        <vt:lpwstr>http://nhsgintranet.grampian.scot.nhs.uk/Style%20Library/Images/NHSG/Logo/logo.png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Kirsten Cumming</dc:subject>
  <dc:creator>fac044</dc:creator>
  <cp:lastModifiedBy>colette cumming</cp:lastModifiedBy>
  <cp:revision>2</cp:revision>
  <cp:lastPrinted>2013-05-06T10:34:00Z</cp:lastPrinted>
  <dcterms:created xsi:type="dcterms:W3CDTF">2015-09-10T14:34:00Z</dcterms:created>
  <dcterms:modified xsi:type="dcterms:W3CDTF">2015-09-10T14:34:00Z</dcterms:modified>
</cp:coreProperties>
</file>