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050F" w:rsidRPr="0083050F" w:rsidRDefault="0083050F" w:rsidP="0083050F">
      <w:pPr>
        <w:jc w:val="center"/>
        <w:rPr>
          <w:b/>
        </w:rPr>
      </w:pPr>
      <w:r>
        <w:rPr>
          <w:b/>
        </w:rPr>
        <w:t>MINISTERIAL DUTIES UNDER THE WILD BIRDS DIRECTIVE</w:t>
      </w:r>
      <w:r w:rsidR="004F6365">
        <w:rPr>
          <w:b/>
        </w:rPr>
        <w:t xml:space="preserve"> AND JUDICIAL REVIEW</w:t>
      </w:r>
    </w:p>
    <w:p w:rsidR="001B39EA" w:rsidRDefault="001B39EA" w:rsidP="00E450EF">
      <w:pPr>
        <w:jc w:val="both"/>
      </w:pPr>
    </w:p>
    <w:p w:rsidR="00E450EF" w:rsidRDefault="00CB4470" w:rsidP="00E450EF">
      <w:pPr>
        <w:jc w:val="both"/>
      </w:pPr>
      <w:r>
        <w:t xml:space="preserve">The petitioner in </w:t>
      </w:r>
      <w:r>
        <w:rPr>
          <w:i/>
        </w:rPr>
        <w:t>Sustainable Shetland v Scottish Ministers</w:t>
      </w:r>
      <w:r>
        <w:t xml:space="preserve"> made two ma</w:t>
      </w:r>
      <w:r w:rsidR="00A55C60">
        <w:t>in arguments in support of its</w:t>
      </w:r>
      <w:r>
        <w:t xml:space="preserve"> application for judicial review of a decision to authorise construction of </w:t>
      </w:r>
      <w:r w:rsidR="00A737FC">
        <w:t xml:space="preserve">a </w:t>
      </w:r>
      <w:r>
        <w:t>wind farm</w:t>
      </w:r>
      <w:r w:rsidR="00A737FC">
        <w:t xml:space="preserve"> in the Shetland Islands</w:t>
      </w:r>
      <w:r>
        <w:t xml:space="preserve">.  The first, that the </w:t>
      </w:r>
      <w:r w:rsidR="00A737FC">
        <w:t>M</w:t>
      </w:r>
      <w:r>
        <w:t xml:space="preserve">inisters were not competent to award a licence to generate under Section 36 of the Electricity Act 1989, was examined by the author in an earlier edition of </w:t>
      </w:r>
      <w:r w:rsidRPr="00656933">
        <w:rPr>
          <w:i/>
        </w:rPr>
        <w:t xml:space="preserve">the </w:t>
      </w:r>
      <w:r>
        <w:rPr>
          <w:i/>
        </w:rPr>
        <w:t>Edinburgh Law Review</w:t>
      </w:r>
      <w:r>
        <w:t>.</w:t>
      </w:r>
      <w:r w:rsidR="00082FC8">
        <w:rPr>
          <w:rStyle w:val="FootnoteReference"/>
        </w:rPr>
        <w:footnoteReference w:id="1"/>
      </w:r>
      <w:r>
        <w:t xml:space="preserve">  This </w:t>
      </w:r>
      <w:r w:rsidR="00E96624">
        <w:t xml:space="preserve">note </w:t>
      </w:r>
      <w:r>
        <w:t xml:space="preserve">considers the second: that the decision was made in error of law due to the </w:t>
      </w:r>
      <w:r w:rsidR="00A737FC">
        <w:t>M</w:t>
      </w:r>
      <w:r>
        <w:t>inisters’ failure to take account of their duties under the Wild Birds Directive (WBD).</w:t>
      </w:r>
      <w:r w:rsidR="00082FC8">
        <w:rPr>
          <w:rStyle w:val="FootnoteReference"/>
        </w:rPr>
        <w:footnoteReference w:id="2"/>
      </w:r>
      <w:r>
        <w:t xml:space="preserve">  Lady Clark of Calton </w:t>
      </w:r>
      <w:r w:rsidR="00A737FC">
        <w:t>in the Outer House reduced the M</w:t>
      </w:r>
      <w:r>
        <w:t>inisters’ decision on the competence ground, but advised that she would also have accepted the petitioner</w:t>
      </w:r>
      <w:r w:rsidR="00997B58">
        <w:t>’</w:t>
      </w:r>
      <w:r>
        <w:t>s argument concerning the WBD.</w:t>
      </w:r>
      <w:r w:rsidR="00082FC8">
        <w:rPr>
          <w:rStyle w:val="FootnoteReference"/>
        </w:rPr>
        <w:footnoteReference w:id="3"/>
      </w:r>
      <w:r>
        <w:t xml:space="preserve">  </w:t>
      </w:r>
      <w:r w:rsidR="00E96624">
        <w:t xml:space="preserve">However, </w:t>
      </w:r>
      <w:r>
        <w:t xml:space="preserve">the </w:t>
      </w:r>
      <w:r w:rsidR="00FE483D">
        <w:t>error of law</w:t>
      </w:r>
      <w:r>
        <w:t xml:space="preserve"> argument</w:t>
      </w:r>
      <w:r w:rsidR="00E96624">
        <w:t xml:space="preserve"> was rejected</w:t>
      </w:r>
      <w:r w:rsidR="00683B63">
        <w:t xml:space="preserve"> on appeal to the Inner House</w:t>
      </w:r>
      <w:r w:rsidR="00082FC8">
        <w:rPr>
          <w:rStyle w:val="FootnoteReference"/>
        </w:rPr>
        <w:footnoteReference w:id="4"/>
      </w:r>
      <w:r w:rsidR="00683B63">
        <w:t>,</w:t>
      </w:r>
      <w:r>
        <w:t xml:space="preserve"> </w:t>
      </w:r>
      <w:r w:rsidR="00E96624">
        <w:t>and i</w:t>
      </w:r>
      <w:r w:rsidR="00A737FC">
        <w:t>t</w:t>
      </w:r>
      <w:r>
        <w:t xml:space="preserve"> was also rejected by </w:t>
      </w:r>
      <w:r w:rsidR="00187A44">
        <w:t>t</w:t>
      </w:r>
      <w:r w:rsidR="00A737FC">
        <w:t>he Supreme Court</w:t>
      </w:r>
      <w:r>
        <w:t xml:space="preserve"> i</w:t>
      </w:r>
      <w:r w:rsidR="00FE483D">
        <w:t>n its judgment of February 2015</w:t>
      </w:r>
      <w:r>
        <w:t xml:space="preserve"> </w:t>
      </w:r>
      <w:r w:rsidR="00187A44">
        <w:t>although the Court disagreed with the reasoning of the Inner House in one important respect.</w:t>
      </w:r>
      <w:r w:rsidR="00082FC8">
        <w:rPr>
          <w:rStyle w:val="FootnoteReference"/>
        </w:rPr>
        <w:footnoteReference w:id="5"/>
      </w:r>
      <w:r w:rsidR="00187A44">
        <w:t xml:space="preserve"> </w:t>
      </w:r>
      <w:r>
        <w:t xml:space="preserve">  </w:t>
      </w:r>
    </w:p>
    <w:p w:rsidR="00B16BEB" w:rsidRDefault="00E450EF" w:rsidP="00E450EF">
      <w:pPr>
        <w:jc w:val="both"/>
      </w:pPr>
      <w:r>
        <w:t xml:space="preserve">The </w:t>
      </w:r>
      <w:r w:rsidR="00FE483D">
        <w:t xml:space="preserve">following sections of this </w:t>
      </w:r>
      <w:r w:rsidR="00E96624">
        <w:t xml:space="preserve">note </w:t>
      </w:r>
      <w:r w:rsidR="00FE483D">
        <w:t xml:space="preserve">review the </w:t>
      </w:r>
      <w:r>
        <w:t xml:space="preserve">circumstances giving rise to the claim and the analyses of the error of law argument </w:t>
      </w:r>
      <w:r w:rsidR="00FE483D">
        <w:t>by the Outer and Inner Houses and the Supreme Court</w:t>
      </w:r>
      <w:r>
        <w:t xml:space="preserve">.  </w:t>
      </w:r>
      <w:r w:rsidR="00E96624">
        <w:t>It</w:t>
      </w:r>
      <w:r>
        <w:t xml:space="preserve"> concludes with a review of the relevant provision</w:t>
      </w:r>
      <w:r w:rsidR="00FE483D">
        <w:t>s</w:t>
      </w:r>
      <w:r>
        <w:t xml:space="preserve"> of the WBD</w:t>
      </w:r>
      <w:r w:rsidR="00656933">
        <w:t>,</w:t>
      </w:r>
      <w:r>
        <w:t xml:space="preserve"> and </w:t>
      </w:r>
      <w:r w:rsidR="00FE483D">
        <w:t>considers</w:t>
      </w:r>
      <w:r>
        <w:t xml:space="preserve"> whether fuller examination of them by the Supreme Court could have led to a different outcome. </w:t>
      </w:r>
      <w:r w:rsidR="00CB4470">
        <w:t xml:space="preserve">  </w:t>
      </w:r>
    </w:p>
    <w:p w:rsidR="00E450EF" w:rsidRDefault="00E450EF" w:rsidP="00E450EF">
      <w:pPr>
        <w:jc w:val="both"/>
        <w:rPr>
          <w:b/>
        </w:rPr>
      </w:pPr>
      <w:r>
        <w:rPr>
          <w:b/>
        </w:rPr>
        <w:t xml:space="preserve">Viking Wind, </w:t>
      </w:r>
      <w:r w:rsidR="00E767EA">
        <w:rPr>
          <w:b/>
        </w:rPr>
        <w:t>Whimbrel</w:t>
      </w:r>
      <w:r>
        <w:rPr>
          <w:b/>
        </w:rPr>
        <w:t xml:space="preserve"> and the Wild Birds Directive</w:t>
      </w:r>
    </w:p>
    <w:p w:rsidR="002E705E" w:rsidRDefault="00E450EF" w:rsidP="00E450EF">
      <w:pPr>
        <w:jc w:val="both"/>
      </w:pPr>
      <w:r>
        <w:t>The case concern</w:t>
      </w:r>
      <w:r w:rsidR="00240EFF">
        <w:t>ed</w:t>
      </w:r>
      <w:r>
        <w:t xml:space="preserve"> a proposal for </w:t>
      </w:r>
      <w:r w:rsidR="00FE483D">
        <w:t xml:space="preserve">the </w:t>
      </w:r>
      <w:r>
        <w:t xml:space="preserve">construction of </w:t>
      </w:r>
      <w:r w:rsidR="00FE483D">
        <w:t xml:space="preserve">Viking Wind, </w:t>
      </w:r>
      <w:r>
        <w:t>a very large wind farm in the Shetland</w:t>
      </w:r>
      <w:r w:rsidR="00187A44">
        <w:t xml:space="preserve"> Island</w:t>
      </w:r>
      <w:r>
        <w:t>s</w:t>
      </w:r>
      <w:r w:rsidR="00187A44">
        <w:t xml:space="preserve">.  Shetland </w:t>
      </w:r>
      <w:r>
        <w:t>host</w:t>
      </w:r>
      <w:r w:rsidR="00240EFF">
        <w:t>s</w:t>
      </w:r>
      <w:r>
        <w:t xml:space="preserve"> 95% of the UK’s population of </w:t>
      </w:r>
      <w:r w:rsidR="00FB1DFB">
        <w:t xml:space="preserve">the </w:t>
      </w:r>
      <w:r w:rsidR="00A55C60">
        <w:t>w</w:t>
      </w:r>
      <w:r>
        <w:t>himbrel, a migratory bird that visit</w:t>
      </w:r>
      <w:r w:rsidR="00187A44">
        <w:t>s</w:t>
      </w:r>
      <w:r>
        <w:t xml:space="preserve"> </w:t>
      </w:r>
      <w:r w:rsidR="00187A44">
        <w:t>the</w:t>
      </w:r>
      <w:r w:rsidR="00FE483D">
        <w:t xml:space="preserve"> Islands</w:t>
      </w:r>
      <w:r w:rsidR="00187A44">
        <w:t xml:space="preserve"> </w:t>
      </w:r>
      <w:r>
        <w:t>annually to breed.  Scottish Natural Heritage raised concerns as a consultee that the p</w:t>
      </w:r>
      <w:r w:rsidR="00FE483D">
        <w:t>roject</w:t>
      </w:r>
      <w:r>
        <w:t xml:space="preserve"> would have a negative impact on breeding pairs of </w:t>
      </w:r>
      <w:r w:rsidR="00E767EA">
        <w:t>whimbrel</w:t>
      </w:r>
      <w:r>
        <w:t xml:space="preserve"> at the development site</w:t>
      </w:r>
      <w:r w:rsidR="002E705E">
        <w:t xml:space="preserve">.  </w:t>
      </w:r>
      <w:r w:rsidR="00E767EA">
        <w:t xml:space="preserve">The developers responded to these concerns by preparing a habitat management plan, but Scottish Natural Heritage maintained its position, arguing that there was no evidence that the proposals for improving the condition of the whimbrel's habitat would compensate for the predicted impact of the wind farm.  </w:t>
      </w:r>
      <w:r w:rsidR="00FE483D">
        <w:t>T</w:t>
      </w:r>
      <w:r w:rsidR="002E705E">
        <w:t>he Scottish Ministers authorised the project</w:t>
      </w:r>
      <w:r w:rsidR="00FE483D">
        <w:t xml:space="preserve"> despite this opposition</w:t>
      </w:r>
      <w:r w:rsidR="002E705E">
        <w:t>, stating in their decision letter that they were not satisfied, having considered the various representations on the topic, that the estimated impact would be significant</w:t>
      </w:r>
      <w:r w:rsidR="00187A44">
        <w:t xml:space="preserve">.  They also </w:t>
      </w:r>
      <w:r w:rsidR="002E705E">
        <w:t>accept</w:t>
      </w:r>
      <w:r w:rsidR="00187A44">
        <w:t>ed</w:t>
      </w:r>
      <w:r w:rsidR="002E705E">
        <w:t xml:space="preserve"> the developer</w:t>
      </w:r>
      <w:r w:rsidR="00FB1DFB">
        <w:t>’</w:t>
      </w:r>
      <w:r w:rsidR="002E705E">
        <w:t xml:space="preserve">s claim that the habitat management plan could reasonably be expected to provide </w:t>
      </w:r>
      <w:r w:rsidR="00187A44">
        <w:t xml:space="preserve">positive </w:t>
      </w:r>
      <w:r w:rsidR="002E705E">
        <w:t>counterbalancing benefits</w:t>
      </w:r>
      <w:r w:rsidR="00FE483D">
        <w:t xml:space="preserve"> for the whimbrel population</w:t>
      </w:r>
      <w:r w:rsidR="002E705E">
        <w:t>.</w:t>
      </w:r>
      <w:r w:rsidR="00082FC8">
        <w:rPr>
          <w:rStyle w:val="FootnoteReference"/>
        </w:rPr>
        <w:footnoteReference w:id="6"/>
      </w:r>
    </w:p>
    <w:p w:rsidR="00091D3D" w:rsidRDefault="002E705E" w:rsidP="00E450EF">
      <w:pPr>
        <w:jc w:val="both"/>
      </w:pPr>
      <w:r>
        <w:t>The decision letter advise</w:t>
      </w:r>
      <w:r w:rsidR="00E96624">
        <w:t>d</w:t>
      </w:r>
      <w:r>
        <w:t xml:space="preserve"> that the Scottish Ministers had </w:t>
      </w:r>
      <w:r w:rsidR="00966644">
        <w:t xml:space="preserve">had </w:t>
      </w:r>
      <w:r>
        <w:t>regard to their obligations und</w:t>
      </w:r>
      <w:r w:rsidR="00570C8A">
        <w:t xml:space="preserve">er EU environmental legislation, but </w:t>
      </w:r>
      <w:r w:rsidR="00E96624">
        <w:t xml:space="preserve">did </w:t>
      </w:r>
      <w:r w:rsidR="00570C8A">
        <w:t>not refer to the WBD.</w:t>
      </w:r>
      <w:r w:rsidR="00966644">
        <w:rPr>
          <w:rStyle w:val="FootnoteReference"/>
        </w:rPr>
        <w:footnoteReference w:id="7"/>
      </w:r>
      <w:r w:rsidR="00570C8A">
        <w:t xml:space="preserve">  Sustainable Shetland argued</w:t>
      </w:r>
      <w:r w:rsidR="00FE483D">
        <w:t xml:space="preserve"> </w:t>
      </w:r>
      <w:r w:rsidR="00570C8A">
        <w:t>that this evidence</w:t>
      </w:r>
      <w:r w:rsidR="00656933">
        <w:t>d</w:t>
      </w:r>
      <w:r w:rsidR="00570C8A">
        <w:t xml:space="preserve"> a failure by the Ministers to take account of their </w:t>
      </w:r>
      <w:r w:rsidR="00FB1DFB">
        <w:t>duties</w:t>
      </w:r>
      <w:r w:rsidR="00570C8A">
        <w:t xml:space="preserve"> under Articles 2 and 4 of the WBD in reaching their decision.  Article 2 places a general obligation on Member States to take the “requisite measures” to maintain the populations of all species of wild birds naturally occurring in </w:t>
      </w:r>
      <w:r w:rsidR="00570C8A">
        <w:lastRenderedPageBreak/>
        <w:t xml:space="preserve">their territories “at a level which corresponds in particular to ecological, scientific and cultural requirements, while taking account of economic and recreational requirements, or to adapt the population of these species to that level”.  </w:t>
      </w:r>
      <w:r w:rsidR="00091D3D">
        <w:t>Article 4</w:t>
      </w:r>
      <w:r w:rsidR="00581BE7">
        <w:t xml:space="preserve"> requires that</w:t>
      </w:r>
      <w:r w:rsidR="00091D3D">
        <w:t xml:space="preserve"> birds listed under Annex I to the WBD and “regularly occurring migratory species not listed in Annex I” should be made subject to “special conservation measures concerning their habitat in order to ensure their survival and reproduction in their area of distribution”.  Member States should also classify “the most suitable territories in number and size” for such species as special protection areas</w:t>
      </w:r>
      <w:r w:rsidR="00240EFF">
        <w:t xml:space="preserve"> (SPAs)</w:t>
      </w:r>
      <w:r w:rsidR="001B6B6F">
        <w:t>.  O</w:t>
      </w:r>
      <w:r w:rsidR="00FE483D">
        <w:t>nce classified</w:t>
      </w:r>
      <w:r w:rsidR="00091D3D">
        <w:t xml:space="preserve">, </w:t>
      </w:r>
      <w:r w:rsidR="001B6B6F">
        <w:t>SPAs</w:t>
      </w:r>
      <w:r w:rsidR="00091D3D">
        <w:t xml:space="preserve"> enjoy protection under Article 6 of the Habitats Directive</w:t>
      </w:r>
      <w:r w:rsidR="001B6B6F">
        <w:t>.</w:t>
      </w:r>
      <w:r w:rsidR="00966644">
        <w:rPr>
          <w:rStyle w:val="FootnoteReference"/>
        </w:rPr>
        <w:footnoteReference w:id="8"/>
      </w:r>
      <w:r w:rsidR="00091D3D">
        <w:t xml:space="preserve">  </w:t>
      </w:r>
    </w:p>
    <w:p w:rsidR="001B6B6F" w:rsidRDefault="00091D3D" w:rsidP="00E450EF">
      <w:pPr>
        <w:jc w:val="both"/>
      </w:pPr>
      <w:r>
        <w:t xml:space="preserve">A special protection area for </w:t>
      </w:r>
      <w:r w:rsidR="00E767EA">
        <w:t>whimbrel</w:t>
      </w:r>
      <w:r>
        <w:t xml:space="preserve"> </w:t>
      </w:r>
      <w:r w:rsidR="00F621B2">
        <w:t xml:space="preserve">(the Fetlar SPA) </w:t>
      </w:r>
      <w:r>
        <w:t xml:space="preserve">has been designated in Shetland, but it was </w:t>
      </w:r>
      <w:r w:rsidR="00F621B2">
        <w:t>argued</w:t>
      </w:r>
      <w:r w:rsidR="005D42A5">
        <w:t xml:space="preserve"> by the petitioner</w:t>
      </w:r>
      <w:r>
        <w:t xml:space="preserve"> that</w:t>
      </w:r>
      <w:r w:rsidR="00F621B2">
        <w:t xml:space="preserve"> this did not discharge the minsters</w:t>
      </w:r>
      <w:r w:rsidR="00997B58">
        <w:t>’</w:t>
      </w:r>
      <w:r w:rsidR="00F621B2">
        <w:t xml:space="preserve"> obligations under Article 4 due to its deteriorating condition.  The</w:t>
      </w:r>
      <w:r w:rsidR="005D42A5">
        <w:t xml:space="preserve"> petitioner</w:t>
      </w:r>
      <w:r w:rsidR="00F621B2">
        <w:t xml:space="preserve"> </w:t>
      </w:r>
      <w:r w:rsidR="00FE483D">
        <w:t xml:space="preserve">also </w:t>
      </w:r>
      <w:r w:rsidR="00F621B2">
        <w:t xml:space="preserve">contended in the appeal to the Supreme Court that the site of the proposed wind farm had become a more important breeding area for </w:t>
      </w:r>
      <w:r w:rsidR="00E767EA">
        <w:t>whimbrel</w:t>
      </w:r>
      <w:r w:rsidR="00F621B2">
        <w:t xml:space="preserve"> than the Fetlar SPA, and that </w:t>
      </w:r>
      <w:r w:rsidR="001B6B6F">
        <w:t xml:space="preserve">the Ministers should have appreciated this in making their decision.  Sites that should </w:t>
      </w:r>
      <w:r w:rsidR="00187A44">
        <w:t xml:space="preserve">have been </w:t>
      </w:r>
      <w:r w:rsidR="001B6B6F">
        <w:t>designated as SPAs</w:t>
      </w:r>
      <w:r w:rsidR="00187A44">
        <w:t xml:space="preserve"> by Member States remain </w:t>
      </w:r>
      <w:r w:rsidR="001B6B6F">
        <w:t>subject</w:t>
      </w:r>
      <w:r w:rsidR="00187A44">
        <w:t>,</w:t>
      </w:r>
      <w:r w:rsidR="001B6B6F">
        <w:t xml:space="preserve"> until classification</w:t>
      </w:r>
      <w:r w:rsidR="00187A44">
        <w:t>,</w:t>
      </w:r>
      <w:r w:rsidR="001B6B6F">
        <w:t xml:space="preserve"> to the original</w:t>
      </w:r>
      <w:r w:rsidR="00187A44">
        <w:t xml:space="preserve"> </w:t>
      </w:r>
      <w:r w:rsidR="001B6B6F">
        <w:t>and stricter protection regime under the first sentence of Article 4(4) of the WBD</w:t>
      </w:r>
      <w:r w:rsidR="00240EFF">
        <w:t xml:space="preserve"> that Article 6 of the Habitats Directive replaces</w:t>
      </w:r>
      <w:r w:rsidR="00FB1DFB">
        <w:t xml:space="preserve"> for designated sites</w:t>
      </w:r>
      <w:r w:rsidR="001B6B6F">
        <w:t>.</w:t>
      </w:r>
      <w:r w:rsidR="00966644">
        <w:rPr>
          <w:rStyle w:val="FootnoteReference"/>
        </w:rPr>
        <w:footnoteReference w:id="9"/>
      </w:r>
      <w:r w:rsidR="00FE483D">
        <w:t xml:space="preserve">  </w:t>
      </w:r>
      <w:r w:rsidR="00240EFF">
        <w:t>Article 4(4)</w:t>
      </w:r>
      <w:r w:rsidR="00FE483D">
        <w:t xml:space="preserve"> requires Member States to “take appropriate steps to avoid pollution or deterioration of habitats or any disturbances affecting the birds so far as these would be significant having regard to the objectives of </w:t>
      </w:r>
      <w:r w:rsidR="00FB1DFB">
        <w:t>this article [Article 4]</w:t>
      </w:r>
      <w:r w:rsidR="00FE483D">
        <w:t>”.</w:t>
      </w:r>
      <w:r w:rsidR="001B6B6F">
        <w:t xml:space="preserve">  </w:t>
      </w:r>
    </w:p>
    <w:p w:rsidR="001B6B6F" w:rsidRDefault="001B6B6F" w:rsidP="00E450EF">
      <w:pPr>
        <w:jc w:val="both"/>
        <w:rPr>
          <w:b/>
        </w:rPr>
      </w:pPr>
      <w:r>
        <w:rPr>
          <w:b/>
        </w:rPr>
        <w:t>Judicial Analyses of the Error of Law Argument</w:t>
      </w:r>
    </w:p>
    <w:p w:rsidR="00CB0A72" w:rsidRDefault="00CB1DC4" w:rsidP="00E450EF">
      <w:pPr>
        <w:jc w:val="both"/>
      </w:pPr>
      <w:r>
        <w:t>La</w:t>
      </w:r>
      <w:r w:rsidR="00D3128E">
        <w:t>dy</w:t>
      </w:r>
      <w:r>
        <w:t xml:space="preserve"> Clark in the Outer House considered th</w:t>
      </w:r>
      <w:r w:rsidR="00E453A6">
        <w:t>e error of law argument</w:t>
      </w:r>
      <w:r>
        <w:t xml:space="preserve"> by assessing whether there had been a “proper consideration and meaningful engagement and regard for the Wild Birds Directive 2009 as properly interpreted…” by the Scottish Ministers</w:t>
      </w:r>
      <w:r w:rsidR="00E453A6">
        <w:t xml:space="preserve"> in making th</w:t>
      </w:r>
      <w:r w:rsidR="00656933">
        <w:t>eir</w:t>
      </w:r>
      <w:r w:rsidR="00E453A6">
        <w:t xml:space="preserve"> decision</w:t>
      </w:r>
      <w:r>
        <w:t>.</w:t>
      </w:r>
      <w:r w:rsidR="005260AA">
        <w:rPr>
          <w:rStyle w:val="FootnoteReference"/>
        </w:rPr>
        <w:footnoteReference w:id="10"/>
      </w:r>
      <w:r>
        <w:t xml:space="preserve">  Her starting point was to </w:t>
      </w:r>
      <w:r w:rsidR="00E453A6">
        <w:t>ascertain</w:t>
      </w:r>
      <w:r>
        <w:t xml:space="preserve"> </w:t>
      </w:r>
      <w:r w:rsidR="00E21E1F">
        <w:t xml:space="preserve">what </w:t>
      </w:r>
      <w:r>
        <w:t>obligations Articles 2 and 4 of the Di</w:t>
      </w:r>
      <w:r w:rsidR="00656933">
        <w:t>rective place on Member States</w:t>
      </w:r>
      <w:r>
        <w:t xml:space="preserve">.  She </w:t>
      </w:r>
      <w:r w:rsidR="00581BE7">
        <w:t xml:space="preserve">concluded </w:t>
      </w:r>
      <w:r>
        <w:t xml:space="preserve">that </w:t>
      </w:r>
      <w:r w:rsidR="00E453A6">
        <w:t>t</w:t>
      </w:r>
      <w:r>
        <w:t xml:space="preserve">he Scottish Minsters were required by Article 2 to “take requisite measures to </w:t>
      </w:r>
      <w:r w:rsidR="005260AA">
        <w:t>maintain</w:t>
      </w:r>
      <w:r>
        <w:t xml:space="preserve"> or to adapt the population of</w:t>
      </w:r>
      <w:r w:rsidR="00CB0A72">
        <w:t xml:space="preserve"> whimbrel to an appropriate level”</w:t>
      </w:r>
      <w:r>
        <w:t>, and</w:t>
      </w:r>
      <w:r w:rsidR="00E453A6">
        <w:t xml:space="preserve"> by Article 4 to</w:t>
      </w:r>
      <w:r w:rsidR="00997B58">
        <w:t xml:space="preserve"> consider whether </w:t>
      </w:r>
      <w:r w:rsidR="00E453A6">
        <w:t>special conservation measures</w:t>
      </w:r>
      <w:r w:rsidR="00997B58">
        <w:t xml:space="preserve"> should be applied and how that would affect </w:t>
      </w:r>
      <w:r w:rsidR="00E453A6">
        <w:t xml:space="preserve">the wind farm </w:t>
      </w:r>
      <w:r w:rsidR="00997B58">
        <w:t>proposal</w:t>
      </w:r>
      <w:r w:rsidR="00E453A6">
        <w:t xml:space="preserve"> in view of the deteriorating condition of the Fetlar SPA.</w:t>
      </w:r>
      <w:r w:rsidR="005260AA">
        <w:rPr>
          <w:rStyle w:val="FootnoteReference"/>
        </w:rPr>
        <w:footnoteReference w:id="11"/>
      </w:r>
      <w:r w:rsidR="00E453A6">
        <w:t xml:space="preserve">  However, she found no evidence from the decision letter </w:t>
      </w:r>
      <w:r w:rsidR="00CB0A72">
        <w:t>of ministerial consideration of or compliance with th</w:t>
      </w:r>
      <w:r w:rsidR="00E453A6">
        <w:t>ese</w:t>
      </w:r>
      <w:r w:rsidR="00CB0A72">
        <w:t xml:space="preserve"> obligation</w:t>
      </w:r>
      <w:r w:rsidR="00E453A6">
        <w:t>s</w:t>
      </w:r>
      <w:r w:rsidR="00240EFF">
        <w:t xml:space="preserve">, and </w:t>
      </w:r>
      <w:r w:rsidR="00581BE7">
        <w:t>accepted</w:t>
      </w:r>
      <w:r w:rsidR="00240EFF">
        <w:t xml:space="preserve"> the </w:t>
      </w:r>
      <w:r w:rsidR="00581BE7">
        <w:t>petitioner</w:t>
      </w:r>
      <w:r w:rsidR="00997B58">
        <w:t>’</w:t>
      </w:r>
      <w:r w:rsidR="00581BE7">
        <w:t xml:space="preserve">s error of law argument </w:t>
      </w:r>
      <w:r w:rsidR="00FB1DFB">
        <w:t>on the ground that there had been</w:t>
      </w:r>
      <w:r w:rsidR="00240EFF">
        <w:t xml:space="preserve"> a failure by the Ministers to take these relevant considerations into account</w:t>
      </w:r>
      <w:r w:rsidR="00FB1DFB">
        <w:t xml:space="preserve"> in making their decision</w:t>
      </w:r>
      <w:r w:rsidR="00CB0A72">
        <w:t>.</w:t>
      </w:r>
      <w:r w:rsidR="005260AA">
        <w:rPr>
          <w:rStyle w:val="FootnoteReference"/>
        </w:rPr>
        <w:footnoteReference w:id="12"/>
      </w:r>
      <w:r w:rsidR="00CB0A72">
        <w:t xml:space="preserve">  </w:t>
      </w:r>
    </w:p>
    <w:p w:rsidR="007B1418" w:rsidRDefault="005E174B" w:rsidP="00E450EF">
      <w:pPr>
        <w:jc w:val="both"/>
      </w:pPr>
      <w:r>
        <w:t>The Inner House adopted a radically different approa</w:t>
      </w:r>
      <w:r w:rsidR="00BE3CEF">
        <w:t>ch.  The single opinion of the c</w:t>
      </w:r>
      <w:r>
        <w:t>ourt, delivered by Lord Brodie, criticise</w:t>
      </w:r>
      <w:r w:rsidR="00E21E1F">
        <w:t>d</w:t>
      </w:r>
      <w:r>
        <w:t xml:space="preserve"> Lady Clark for undertaking a detailed review of whether the Scottish Ministers had understood and complied with their </w:t>
      </w:r>
      <w:r w:rsidR="00581BE7">
        <w:t>o</w:t>
      </w:r>
      <w:r>
        <w:t xml:space="preserve">bligations under the </w:t>
      </w:r>
      <w:r w:rsidR="00581BE7">
        <w:t>WBD</w:t>
      </w:r>
      <w:r>
        <w:t xml:space="preserve"> rather than focussing on the question that the circumstances required</w:t>
      </w:r>
      <w:r w:rsidR="00E21E1F">
        <w:t xml:space="preserve"> to be</w:t>
      </w:r>
      <w:r>
        <w:t xml:space="preserve"> examin</w:t>
      </w:r>
      <w:r w:rsidR="00E21E1F">
        <w:t>ed</w:t>
      </w:r>
      <w:r>
        <w:t>: “whether the grant of consent by the Scottish Ministers had been a lawful decision, once due account was taken of, inter alia, the Wild Birds Directive”.</w:t>
      </w:r>
      <w:r w:rsidR="005260AA">
        <w:rPr>
          <w:rStyle w:val="FootnoteReference"/>
        </w:rPr>
        <w:footnoteReference w:id="13"/>
      </w:r>
      <w:r>
        <w:t xml:space="preserve">  </w:t>
      </w:r>
      <w:r w:rsidR="00E453A6">
        <w:t>The o</w:t>
      </w:r>
      <w:r w:rsidR="007B1418">
        <w:t>pinion</w:t>
      </w:r>
      <w:r w:rsidR="00E453A6">
        <w:t xml:space="preserve"> </w:t>
      </w:r>
      <w:r w:rsidR="00E21E1F">
        <w:t xml:space="preserve">went </w:t>
      </w:r>
      <w:r w:rsidR="00E453A6">
        <w:t xml:space="preserve">on to advise that it was not necessary in any event for the Scottish Ministers to identify and assess compliance with their duties under the WBD, stating that </w:t>
      </w:r>
      <w:r w:rsidR="007B1418">
        <w:t xml:space="preserve">“the Wild Birds Directive, and any associated problems of interpretation and application, fell out of </w:t>
      </w:r>
      <w:r w:rsidR="007B1418">
        <w:lastRenderedPageBreak/>
        <w:t>the picture as far as this proposal was concerned”</w:t>
      </w:r>
      <w:r w:rsidR="00E453A6">
        <w:t xml:space="preserve"> once the finding of fact had been made that the project would not have a significant impact</w:t>
      </w:r>
      <w:r w:rsidR="007B1418">
        <w:t>.</w:t>
      </w:r>
      <w:r w:rsidR="005260AA">
        <w:rPr>
          <w:rStyle w:val="FootnoteReference"/>
        </w:rPr>
        <w:footnoteReference w:id="14"/>
      </w:r>
      <w:r w:rsidR="00CA7EAF">
        <w:t xml:space="preserve">  </w:t>
      </w:r>
    </w:p>
    <w:p w:rsidR="000B71D7" w:rsidRDefault="00204042" w:rsidP="00E450EF">
      <w:pPr>
        <w:jc w:val="both"/>
      </w:pPr>
      <w:r>
        <w:t xml:space="preserve">The judgment of the Supreme Court, delivered by Lord Carnwath, </w:t>
      </w:r>
      <w:r w:rsidR="00BA4FC9">
        <w:t>also criticise</w:t>
      </w:r>
      <w:r w:rsidR="00E21E1F">
        <w:t>d</w:t>
      </w:r>
      <w:r w:rsidR="00BA4FC9">
        <w:t xml:space="preserve"> </w:t>
      </w:r>
      <w:r>
        <w:t>Lady Clark</w:t>
      </w:r>
      <w:r w:rsidR="00BA4FC9">
        <w:t xml:space="preserve">’s view </w:t>
      </w:r>
      <w:r>
        <w:t xml:space="preserve">that the starting point for the Scottish Ministers should have been “to </w:t>
      </w:r>
      <w:r w:rsidR="005260AA">
        <w:t>conduct a full review of their functions under the Birds Directive</w:t>
      </w:r>
      <w:r>
        <w:t>”</w:t>
      </w:r>
      <w:r w:rsidR="00BA4FC9">
        <w:t>.</w:t>
      </w:r>
      <w:r w:rsidR="005260AA">
        <w:rPr>
          <w:rStyle w:val="FootnoteReference"/>
        </w:rPr>
        <w:footnoteReference w:id="15"/>
      </w:r>
      <w:r w:rsidR="00BA4FC9">
        <w:t xml:space="preserve">  It concurs with the Inner House </w:t>
      </w:r>
      <w:r>
        <w:t xml:space="preserve">that their duty </w:t>
      </w:r>
      <w:r w:rsidR="00CA7EAF">
        <w:t xml:space="preserve">instead </w:t>
      </w:r>
      <w:r>
        <w:t xml:space="preserve">was to determine whether to grant consent to the proposal with the Wild Birds Directive forming part of the </w:t>
      </w:r>
      <w:r w:rsidR="005260AA">
        <w:t>“</w:t>
      </w:r>
      <w:r>
        <w:t>material considerations”.</w:t>
      </w:r>
      <w:r w:rsidR="005260AA">
        <w:rPr>
          <w:rStyle w:val="FootnoteReference"/>
        </w:rPr>
        <w:footnoteReference w:id="16"/>
      </w:r>
      <w:r>
        <w:t xml:space="preserve">  </w:t>
      </w:r>
      <w:r w:rsidR="00BA4FC9">
        <w:t>Lord Carnwath</w:t>
      </w:r>
      <w:r>
        <w:t xml:space="preserve"> did not agree with the Inner House that the Directive ceased to be relevan</w:t>
      </w:r>
      <w:r w:rsidR="00E21E1F">
        <w:t>t</w:t>
      </w:r>
      <w:r>
        <w:t xml:space="preserve"> following the factual finding that the proposal would not have a significant effect</w:t>
      </w:r>
      <w:r w:rsidR="00BA4FC9">
        <w:t xml:space="preserve">.  </w:t>
      </w:r>
      <w:r w:rsidR="00581BE7">
        <w:t>T</w:t>
      </w:r>
      <w:r w:rsidR="00BA4FC9">
        <w:t>o the contrary</w:t>
      </w:r>
      <w:r w:rsidR="00E767EA">
        <w:t>, evidence</w:t>
      </w:r>
      <w:r w:rsidR="00D8511E">
        <w:t xml:space="preserve"> that </w:t>
      </w:r>
      <w:r w:rsidR="005260AA">
        <w:t>“</w:t>
      </w:r>
      <w:r w:rsidR="00D8511E">
        <w:t>the proposal</w:t>
      </w:r>
      <w:r w:rsidR="005260AA">
        <w:t>, while having no significant effect in itself on the whimbrel population, m</w:t>
      </w:r>
      <w:r w:rsidR="00D8511E">
        <w:t>ight prejudice th</w:t>
      </w:r>
      <w:r w:rsidR="000B71D7">
        <w:t xml:space="preserve">e fulfilment of the </w:t>
      </w:r>
      <w:r w:rsidR="009D24B4">
        <w:t>M</w:t>
      </w:r>
      <w:r w:rsidR="000B71D7">
        <w:t>inisters</w:t>
      </w:r>
      <w:r w:rsidR="009D24B4">
        <w:t>’</w:t>
      </w:r>
      <w:r w:rsidR="000B71D7">
        <w:t xml:space="preserve"> duties under the directive” would have been a potential objection which the</w:t>
      </w:r>
      <w:r w:rsidR="009D24B4">
        <w:t>y</w:t>
      </w:r>
      <w:r w:rsidR="000B71D7">
        <w:t xml:space="preserve"> should have considered.</w:t>
      </w:r>
      <w:r w:rsidR="005260AA">
        <w:rPr>
          <w:rStyle w:val="FootnoteReference"/>
        </w:rPr>
        <w:footnoteReference w:id="17"/>
      </w:r>
      <w:r w:rsidR="000B71D7">
        <w:t xml:space="preserve">  </w:t>
      </w:r>
      <w:r w:rsidR="00656933">
        <w:t xml:space="preserve">However, </w:t>
      </w:r>
      <w:r w:rsidR="00DC0E17">
        <w:t>Lord Carnwath</w:t>
      </w:r>
      <w:bookmarkStart w:id="0" w:name="_GoBack"/>
      <w:bookmarkEnd w:id="0"/>
      <w:r w:rsidR="00DC0E17">
        <w:t xml:space="preserve"> </w:t>
      </w:r>
      <w:r w:rsidR="00E21E1F">
        <w:t>considered</w:t>
      </w:r>
      <w:r w:rsidR="00DC0E17">
        <w:t xml:space="preserve"> that </w:t>
      </w:r>
      <w:r w:rsidR="00656933">
        <w:t>t</w:t>
      </w:r>
      <w:r w:rsidR="00CA7EAF">
        <w:t xml:space="preserve">his situation did not </w:t>
      </w:r>
      <w:r w:rsidR="00656933">
        <w:t>arise</w:t>
      </w:r>
      <w:r w:rsidR="00BA4FC9">
        <w:t xml:space="preserve"> </w:t>
      </w:r>
      <w:r w:rsidR="000B71D7">
        <w:t xml:space="preserve">as no representations were made to </w:t>
      </w:r>
      <w:r w:rsidR="00BA4FC9">
        <w:t xml:space="preserve">the Scottish Ministers </w:t>
      </w:r>
      <w:r w:rsidR="000B71D7">
        <w:t>concerning duties that they may have other than to consider the impact of the proposed development on the Whimbrel population during the decision-making process.</w:t>
      </w:r>
      <w:r w:rsidR="00DC0E17">
        <w:rPr>
          <w:rStyle w:val="FootnoteReference"/>
        </w:rPr>
        <w:footnoteReference w:id="18"/>
      </w:r>
      <w:r w:rsidR="000B71D7">
        <w:t xml:space="preserve">  Accordingly, </w:t>
      </w:r>
      <w:r w:rsidR="0083050F">
        <w:t xml:space="preserve">their decision </w:t>
      </w:r>
      <w:r w:rsidR="000B71D7">
        <w:t xml:space="preserve">to authorise the wind farm </w:t>
      </w:r>
      <w:r w:rsidR="0083050F">
        <w:t xml:space="preserve">was justified </w:t>
      </w:r>
      <w:r w:rsidR="000B71D7">
        <w:t>on the evidence before them.</w:t>
      </w:r>
    </w:p>
    <w:p w:rsidR="004402D3" w:rsidRDefault="004402D3" w:rsidP="00E450EF">
      <w:pPr>
        <w:jc w:val="both"/>
        <w:rPr>
          <w:b/>
        </w:rPr>
      </w:pPr>
      <w:r>
        <w:rPr>
          <w:b/>
        </w:rPr>
        <w:t>Discussion</w:t>
      </w:r>
    </w:p>
    <w:p w:rsidR="00F10964" w:rsidRDefault="00CA7EAF" w:rsidP="00E450EF">
      <w:pPr>
        <w:jc w:val="both"/>
      </w:pPr>
      <w:r>
        <w:t xml:space="preserve">There is some merit in the criticisms made by the Inner House and Supreme Court of Lady Clark’s conclusions.  Her judgment identifies aspects of the </w:t>
      </w:r>
      <w:r w:rsidR="00D3128E">
        <w:t>WBD</w:t>
      </w:r>
      <w:r>
        <w:t xml:space="preserve"> that the Scottish Ministers </w:t>
      </w:r>
      <w:r w:rsidR="00FB1DFB">
        <w:t>may have failed to consider</w:t>
      </w:r>
      <w:r w:rsidR="004E72BA">
        <w:t>,</w:t>
      </w:r>
      <w:r>
        <w:t xml:space="preserve"> but does not explain clearly how th</w:t>
      </w:r>
      <w:r w:rsidR="00FB1DFB">
        <w:t>is failure</w:t>
      </w:r>
      <w:r>
        <w:t xml:space="preserve"> would affect the legality of the decision.  </w:t>
      </w:r>
      <w:r w:rsidR="00656933">
        <w:t xml:space="preserve">Even so, that does not mean </w:t>
      </w:r>
      <w:r w:rsidR="007960AE">
        <w:t xml:space="preserve">that the approach she adopted of identifying the duties of the Ministers under the Directive </w:t>
      </w:r>
      <w:r w:rsidR="00656933">
        <w:t xml:space="preserve">as a starting point for considering whether they had made an error of law </w:t>
      </w:r>
      <w:r w:rsidR="007960AE">
        <w:t xml:space="preserve">was inappropriate.  </w:t>
      </w:r>
      <w:r w:rsidR="004402D3">
        <w:t>The premise of the error of law ground for judicial review is that decision-makers must understand clearly the law that regulates their decision-making power and give effect to it.</w:t>
      </w:r>
      <w:r w:rsidR="00DC0E17">
        <w:rPr>
          <w:rStyle w:val="FootnoteReference"/>
        </w:rPr>
        <w:footnoteReference w:id="19"/>
      </w:r>
      <w:r w:rsidR="004402D3">
        <w:t xml:space="preserve">  </w:t>
      </w:r>
      <w:r w:rsidR="007960AE">
        <w:t>Ignorance of th</w:t>
      </w:r>
      <w:r w:rsidR="00656933">
        <w:t>e relevant legal framework</w:t>
      </w:r>
      <w:r w:rsidR="007960AE">
        <w:t xml:space="preserve"> may</w:t>
      </w:r>
      <w:r w:rsidR="004402D3">
        <w:t xml:space="preserve"> lead to </w:t>
      </w:r>
      <w:r w:rsidR="00FC4244">
        <w:t xml:space="preserve">consequences </w:t>
      </w:r>
      <w:r w:rsidR="00581BE7">
        <w:t xml:space="preserve">that could undermine the lawfulness of a decision </w:t>
      </w:r>
      <w:r w:rsidR="00FC4244">
        <w:t xml:space="preserve">such as </w:t>
      </w:r>
      <w:r w:rsidR="00F10964">
        <w:t xml:space="preserve">a failure </w:t>
      </w:r>
      <w:r w:rsidR="007960AE">
        <w:t xml:space="preserve">by decision-makers </w:t>
      </w:r>
      <w:r w:rsidR="00F10964">
        <w:t>to take into account a matter that the law requires them to have regard to</w:t>
      </w:r>
      <w:r w:rsidR="00FB1DFB">
        <w:t xml:space="preserve"> in a particular conte</w:t>
      </w:r>
      <w:r w:rsidR="00A41FE9">
        <w:t>x</w:t>
      </w:r>
      <w:r w:rsidR="00FB1DFB">
        <w:t>t</w:t>
      </w:r>
      <w:r w:rsidR="00F10964">
        <w:t>.</w:t>
      </w:r>
      <w:r w:rsidR="00DC0E17">
        <w:rPr>
          <w:rStyle w:val="FootnoteReference"/>
        </w:rPr>
        <w:footnoteReference w:id="20"/>
      </w:r>
      <w:r w:rsidR="00DC0E17">
        <w:t xml:space="preserve"> </w:t>
      </w:r>
      <w:r w:rsidR="00FC4244">
        <w:t xml:space="preserve"> </w:t>
      </w:r>
      <w:r w:rsidR="007960AE">
        <w:t>This does not mean that any omission will create grounds for reduction of a decision.  This is only justified where the error of law is one which can be said to have “</w:t>
      </w:r>
      <w:r w:rsidR="00656933">
        <w:t xml:space="preserve">affected the actual making of the decision and </w:t>
      </w:r>
      <w:r w:rsidR="007960AE">
        <w:t>affected the decision itself</w:t>
      </w:r>
      <w:r w:rsidR="00656933">
        <w:t>”</w:t>
      </w:r>
      <w:r w:rsidR="007960AE">
        <w:t>.</w:t>
      </w:r>
      <w:r w:rsidR="00DC0E17">
        <w:rPr>
          <w:rStyle w:val="FootnoteReference"/>
        </w:rPr>
        <w:footnoteReference w:id="21"/>
      </w:r>
      <w:r w:rsidR="007960AE">
        <w:t xml:space="preserve">  It is surely necessary therefore</w:t>
      </w:r>
      <w:r w:rsidR="004E72BA">
        <w:t>,</w:t>
      </w:r>
      <w:r w:rsidR="007960AE">
        <w:t xml:space="preserve"> in assessing an </w:t>
      </w:r>
      <w:r w:rsidR="00FB1DFB">
        <w:t xml:space="preserve">error of law </w:t>
      </w:r>
      <w:r w:rsidR="007960AE">
        <w:t>argument</w:t>
      </w:r>
      <w:r w:rsidR="004E72BA">
        <w:t>,</w:t>
      </w:r>
      <w:r w:rsidR="007960AE">
        <w:t xml:space="preserve"> to understand the duties that the </w:t>
      </w:r>
      <w:r w:rsidR="00656933">
        <w:t xml:space="preserve">petitioners allege formed </w:t>
      </w:r>
      <w:r w:rsidR="00A41FE9">
        <w:t>part of the legal framework which</w:t>
      </w:r>
      <w:r w:rsidR="00656933">
        <w:t xml:space="preserve"> the decision-makers should have taken into account</w:t>
      </w:r>
      <w:r w:rsidR="007960AE">
        <w:t>.  This knowledge is essen</w:t>
      </w:r>
      <w:r w:rsidR="00997B58">
        <w:t>tial for determining whether a</w:t>
      </w:r>
      <w:r w:rsidR="007960AE">
        <w:t xml:space="preserve"> </w:t>
      </w:r>
      <w:r w:rsidR="00FB1DFB">
        <w:t xml:space="preserve">failure to identify and apply </w:t>
      </w:r>
      <w:r w:rsidR="00BE3CEF">
        <w:t xml:space="preserve">relevant </w:t>
      </w:r>
      <w:r w:rsidR="00FB1DFB">
        <w:t xml:space="preserve">laws </w:t>
      </w:r>
      <w:r w:rsidR="007960AE">
        <w:t>impacts materially on the decision.</w:t>
      </w:r>
      <w:r w:rsidR="00F10964">
        <w:t xml:space="preserve">  </w:t>
      </w:r>
    </w:p>
    <w:p w:rsidR="004402D3" w:rsidRPr="004402D3" w:rsidRDefault="009F5436" w:rsidP="00E450EF">
      <w:pPr>
        <w:jc w:val="both"/>
      </w:pPr>
      <w:r>
        <w:t xml:space="preserve">Would the appeal courts have reached a different conclusion on the legality of the decision if they had reviewed the provisions of the </w:t>
      </w:r>
      <w:r w:rsidR="00D3128E">
        <w:t>WBD</w:t>
      </w:r>
      <w:r>
        <w:t xml:space="preserve"> relied on by the petitioners?  </w:t>
      </w:r>
      <w:r w:rsidR="00414E72">
        <w:t xml:space="preserve">Articles 2 and 4 both place obligations on Member States to take measures </w:t>
      </w:r>
      <w:r w:rsidR="00997B58">
        <w:t xml:space="preserve">with a view </w:t>
      </w:r>
      <w:r w:rsidR="00414E72">
        <w:t>to maintain</w:t>
      </w:r>
      <w:r w:rsidR="00997B58">
        <w:t>ing</w:t>
      </w:r>
      <w:r w:rsidR="00414E72">
        <w:t xml:space="preserve"> populations of birds.  It seems unlikely that reflection on these duties would have led to any different outcome in view of the factual finding that the project would not have a significant impact on the W</w:t>
      </w:r>
      <w:r w:rsidR="004E72BA">
        <w:t>himbrel population</w:t>
      </w:r>
      <w:r w:rsidR="0090675F">
        <w:t xml:space="preserve">. </w:t>
      </w:r>
      <w:r w:rsidR="00D3128E">
        <w:t xml:space="preserve"> </w:t>
      </w:r>
      <w:r w:rsidR="00997B58">
        <w:t>With regard to t</w:t>
      </w:r>
      <w:r w:rsidR="0090675F">
        <w:t>he argument that the Scottish Ministers had a</w:t>
      </w:r>
      <w:r w:rsidR="0083050F">
        <w:t xml:space="preserve"> duty</w:t>
      </w:r>
      <w:r w:rsidR="0090675F">
        <w:t xml:space="preserve"> to prevent deterioration of the </w:t>
      </w:r>
      <w:r w:rsidR="0090675F">
        <w:lastRenderedPageBreak/>
        <w:t xml:space="preserve">habitat </w:t>
      </w:r>
      <w:r w:rsidR="0002010D">
        <w:t xml:space="preserve">for </w:t>
      </w:r>
      <w:r w:rsidR="005D42A5">
        <w:t>w</w:t>
      </w:r>
      <w:r w:rsidR="0090675F">
        <w:t>himbrel at the wind farm site because this should have been classified as a</w:t>
      </w:r>
      <w:r w:rsidR="00D3128E">
        <w:t>n</w:t>
      </w:r>
      <w:r w:rsidR="0090675F">
        <w:t xml:space="preserve"> SP</w:t>
      </w:r>
      <w:r w:rsidR="00D3128E">
        <w:t>A</w:t>
      </w:r>
      <w:r w:rsidR="0002010D">
        <w:t xml:space="preserve">, </w:t>
      </w:r>
      <w:r w:rsidR="00ED3A42">
        <w:t xml:space="preserve">the obligation of </w:t>
      </w:r>
      <w:r w:rsidR="0002010D">
        <w:t>Member State</w:t>
      </w:r>
      <w:r w:rsidR="00D3128E">
        <w:t>s</w:t>
      </w:r>
      <w:r w:rsidR="0083050F">
        <w:t xml:space="preserve"> </w:t>
      </w:r>
      <w:r w:rsidR="00ED3A42">
        <w:t xml:space="preserve">under the WBD, </w:t>
      </w:r>
      <w:r w:rsidR="00997B58">
        <w:t>as interpreted by the European C</w:t>
      </w:r>
      <w:r w:rsidR="00ED3A42">
        <w:t xml:space="preserve">ourt of Justice, is </w:t>
      </w:r>
      <w:r w:rsidR="00D3128E">
        <w:t>to classify and pr</w:t>
      </w:r>
      <w:r w:rsidR="00F9167D">
        <w:t>event harm to</w:t>
      </w:r>
      <w:r w:rsidR="00D3128E">
        <w:t xml:space="preserve"> sites that appear to be the most suitable for conse</w:t>
      </w:r>
      <w:r w:rsidR="001D6BD9">
        <w:t>rvation</w:t>
      </w:r>
      <w:r w:rsidR="00997B58">
        <w:t xml:space="preserve"> of a </w:t>
      </w:r>
      <w:r w:rsidR="00F9167D">
        <w:t xml:space="preserve">protected </w:t>
      </w:r>
      <w:r w:rsidR="00997B58">
        <w:t>species</w:t>
      </w:r>
      <w:r w:rsidR="007E052E">
        <w:rPr>
          <w:rStyle w:val="FootnoteReference"/>
        </w:rPr>
        <w:footnoteReference w:id="22"/>
      </w:r>
      <w:r w:rsidR="00997B58">
        <w:t>.</w:t>
      </w:r>
      <w:r w:rsidR="00ED3A42">
        <w:t xml:space="preserve"> </w:t>
      </w:r>
      <w:r w:rsidR="00997B58">
        <w:t>S</w:t>
      </w:r>
      <w:r w:rsidR="0002476E">
        <w:t xml:space="preserve">ubmissions to the Scottish Ministers provided some evidence of the growing importance of breeding areas for </w:t>
      </w:r>
      <w:r w:rsidR="005D42A5">
        <w:t>w</w:t>
      </w:r>
      <w:r w:rsidR="0002476E">
        <w:t xml:space="preserve">himbrel within the vicinity of the proposed wind farm compared to </w:t>
      </w:r>
      <w:r w:rsidR="001C0196">
        <w:t xml:space="preserve">other </w:t>
      </w:r>
      <w:r w:rsidR="00134B09">
        <w:t xml:space="preserve">Shetland </w:t>
      </w:r>
      <w:r w:rsidR="001C0196">
        <w:t xml:space="preserve">sites, particularly the </w:t>
      </w:r>
      <w:r w:rsidR="0002476E">
        <w:t>Fetlar SPA.</w:t>
      </w:r>
      <w:r w:rsidR="00C73F40">
        <w:rPr>
          <w:rStyle w:val="FootnoteReference"/>
        </w:rPr>
        <w:footnoteReference w:id="23"/>
      </w:r>
      <w:r w:rsidR="0002476E">
        <w:t xml:space="preserve"> </w:t>
      </w:r>
      <w:r w:rsidR="00DD14C4">
        <w:t xml:space="preserve"> C</w:t>
      </w:r>
      <w:r w:rsidR="0002010D">
        <w:t>onsideration should therefore have been given by the Supreme Court to whether obligation</w:t>
      </w:r>
      <w:r w:rsidR="00134B09">
        <w:t>s</w:t>
      </w:r>
      <w:r w:rsidR="0002010D">
        <w:t xml:space="preserve"> to </w:t>
      </w:r>
      <w:r w:rsidR="00DD14C4">
        <w:t>classify and</w:t>
      </w:r>
      <w:r w:rsidR="00134B09">
        <w:t>, as a result of this, to</w:t>
      </w:r>
      <w:r w:rsidR="00DD14C4">
        <w:t xml:space="preserve"> </w:t>
      </w:r>
      <w:r w:rsidR="0002010D">
        <w:t>pr</w:t>
      </w:r>
      <w:r w:rsidR="00C73F40">
        <w:t>event deterioration of</w:t>
      </w:r>
      <w:r w:rsidR="00ED3A42">
        <w:t xml:space="preserve"> the site under Article 4(4) arose</w:t>
      </w:r>
      <w:r w:rsidR="0002010D">
        <w:t xml:space="preserve"> in this case, and, if so, the effect that this could have had on the decision by the Scottish </w:t>
      </w:r>
      <w:r w:rsidR="00E767EA">
        <w:t>Ministers.</w:t>
      </w:r>
      <w:r w:rsidR="00997B58">
        <w:t xml:space="preserve">  Again however</w:t>
      </w:r>
      <w:r w:rsidR="005B0D89">
        <w:t>,</w:t>
      </w:r>
      <w:r w:rsidR="00997B58">
        <w:t xml:space="preserve"> it is doubtful that this would have led to a different outcome because of the finding of fact that the wind farm did not pose a significant threat.  The duty to take appropriate steps under Article 4(4) applies only where a species’ ability to survive and reproduce in its area of distribution would be impaired. </w:t>
      </w:r>
      <w:r w:rsidR="0002010D">
        <w:t xml:space="preserve">   </w:t>
      </w:r>
      <w:r w:rsidR="0090675F">
        <w:t xml:space="preserve">     </w:t>
      </w:r>
      <w:r w:rsidR="00F10964">
        <w:t xml:space="preserve">   </w:t>
      </w:r>
      <w:r w:rsidR="004402D3">
        <w:t xml:space="preserve">     </w:t>
      </w:r>
    </w:p>
    <w:p w:rsidR="00FE77C4" w:rsidRDefault="00FE77C4" w:rsidP="00E450EF">
      <w:pPr>
        <w:jc w:val="both"/>
      </w:pPr>
      <w:r>
        <w:t xml:space="preserve"> </w:t>
      </w:r>
    </w:p>
    <w:p w:rsidR="00536196" w:rsidRDefault="00FE77C4" w:rsidP="00FE77C4">
      <w:pPr>
        <w:spacing w:after="0"/>
        <w:jc w:val="right"/>
      </w:pPr>
      <w:r>
        <w:rPr>
          <w:i/>
        </w:rPr>
        <w:t>Olivia Woolley</w:t>
      </w:r>
      <w:r w:rsidR="00204042">
        <w:t xml:space="preserve">    </w:t>
      </w:r>
      <w:r w:rsidR="007B1418">
        <w:t xml:space="preserve">     </w:t>
      </w:r>
      <w:r w:rsidR="005E174B">
        <w:t xml:space="preserve">  </w:t>
      </w:r>
      <w:r w:rsidR="00291DEA">
        <w:t xml:space="preserve">     </w:t>
      </w:r>
      <w:r w:rsidR="00536196">
        <w:t xml:space="preserve">       </w:t>
      </w:r>
    </w:p>
    <w:p w:rsidR="00E450EF" w:rsidRPr="00FE77C4" w:rsidRDefault="00FE77C4" w:rsidP="00FE77C4">
      <w:pPr>
        <w:spacing w:after="0"/>
        <w:jc w:val="right"/>
      </w:pPr>
      <w:r w:rsidRPr="00FE77C4">
        <w:rPr>
          <w:i/>
        </w:rPr>
        <w:t>University of Aberdeen</w:t>
      </w:r>
      <w:r w:rsidR="00F621B2" w:rsidRPr="00FE77C4">
        <w:rPr>
          <w:i/>
        </w:rPr>
        <w:t xml:space="preserve">   </w:t>
      </w:r>
      <w:r w:rsidR="00091D3D" w:rsidRPr="00FE77C4">
        <w:rPr>
          <w:i/>
        </w:rPr>
        <w:t xml:space="preserve"> </w:t>
      </w:r>
      <w:r w:rsidR="00091D3D" w:rsidRPr="00FE77C4">
        <w:t xml:space="preserve">   </w:t>
      </w:r>
      <w:r w:rsidR="00570C8A" w:rsidRPr="00FE77C4">
        <w:t xml:space="preserve">             </w:t>
      </w:r>
      <w:r w:rsidR="002E705E" w:rsidRPr="00FE77C4">
        <w:t xml:space="preserve">        </w:t>
      </w:r>
    </w:p>
    <w:sectPr w:rsidR="00E450EF" w:rsidRPr="00FE77C4" w:rsidSect="00B16BEB">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1D86" w:rsidRDefault="00851D86" w:rsidP="00082FC8">
      <w:pPr>
        <w:spacing w:after="0"/>
      </w:pPr>
      <w:r>
        <w:separator/>
      </w:r>
    </w:p>
  </w:endnote>
  <w:endnote w:type="continuationSeparator" w:id="0">
    <w:p w:rsidR="00851D86" w:rsidRDefault="00851D86" w:rsidP="00082FC8">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1D86" w:rsidRDefault="00851D86" w:rsidP="00082FC8">
      <w:pPr>
        <w:spacing w:after="0"/>
      </w:pPr>
      <w:r>
        <w:separator/>
      </w:r>
    </w:p>
  </w:footnote>
  <w:footnote w:type="continuationSeparator" w:id="0">
    <w:p w:rsidR="00851D86" w:rsidRDefault="00851D86" w:rsidP="00082FC8">
      <w:pPr>
        <w:spacing w:after="0"/>
      </w:pPr>
      <w:r>
        <w:continuationSeparator/>
      </w:r>
    </w:p>
  </w:footnote>
  <w:footnote w:id="1">
    <w:p w:rsidR="00082FC8" w:rsidRPr="00082FC8" w:rsidRDefault="00082FC8">
      <w:pPr>
        <w:pStyle w:val="FootnoteText"/>
      </w:pPr>
      <w:r>
        <w:rPr>
          <w:rStyle w:val="FootnoteReference"/>
        </w:rPr>
        <w:footnoteRef/>
      </w:r>
      <w:r>
        <w:t xml:space="preserve"> O Woolley, “Interpreting Section 36 of the Electricity Act 1989: Has Clarity Been Restored?” (2015) 19 </w:t>
      </w:r>
      <w:r w:rsidRPr="00082FC8">
        <w:t xml:space="preserve">The Edinburgh Law Review </w:t>
      </w:r>
      <w:r>
        <w:t>124.</w:t>
      </w:r>
    </w:p>
  </w:footnote>
  <w:footnote w:id="2">
    <w:p w:rsidR="00082FC8" w:rsidRDefault="00082FC8">
      <w:pPr>
        <w:pStyle w:val="FootnoteText"/>
      </w:pPr>
      <w:r>
        <w:rPr>
          <w:rStyle w:val="FootnoteReference"/>
        </w:rPr>
        <w:footnoteRef/>
      </w:r>
      <w:r>
        <w:t xml:space="preserve"> Directive 2009/147/EC of the European Parliament and of the Council on the conservation of wild birds (codification) [2010] OJ L 20/7.</w:t>
      </w:r>
    </w:p>
  </w:footnote>
  <w:footnote w:id="3">
    <w:p w:rsidR="00082FC8" w:rsidRPr="00082FC8" w:rsidRDefault="00082FC8">
      <w:pPr>
        <w:pStyle w:val="FootnoteText"/>
      </w:pPr>
      <w:r>
        <w:rPr>
          <w:rStyle w:val="FootnoteReference"/>
        </w:rPr>
        <w:footnoteRef/>
      </w:r>
      <w:r>
        <w:t xml:space="preserve"> </w:t>
      </w:r>
      <w:r>
        <w:rPr>
          <w:i/>
        </w:rPr>
        <w:t xml:space="preserve">Sustainable Shetland v Scottish Ministers </w:t>
      </w:r>
      <w:r>
        <w:t xml:space="preserve">[2013] CSOH 158, 2013 SLT 1173 (henceforth </w:t>
      </w:r>
      <w:r>
        <w:rPr>
          <w:i/>
        </w:rPr>
        <w:t>Sustainable Shetland OH</w:t>
      </w:r>
      <w:r>
        <w:t>).</w:t>
      </w:r>
    </w:p>
  </w:footnote>
  <w:footnote w:id="4">
    <w:p w:rsidR="00082FC8" w:rsidRPr="00082FC8" w:rsidRDefault="00082FC8">
      <w:pPr>
        <w:pStyle w:val="FootnoteText"/>
      </w:pPr>
      <w:r>
        <w:rPr>
          <w:rStyle w:val="FootnoteReference"/>
        </w:rPr>
        <w:footnoteRef/>
      </w:r>
      <w:r>
        <w:t xml:space="preserve"> </w:t>
      </w:r>
      <w:r>
        <w:rPr>
          <w:i/>
        </w:rPr>
        <w:t>Sustainable Shetland v Scottish Ministers</w:t>
      </w:r>
      <w:r>
        <w:t xml:space="preserve"> [2014] CSIH 60, 2014 SLT 806 (henceforth </w:t>
      </w:r>
      <w:r>
        <w:rPr>
          <w:i/>
        </w:rPr>
        <w:t>Sustainable Shetland IH</w:t>
      </w:r>
      <w:r>
        <w:t>)</w:t>
      </w:r>
      <w:r w:rsidR="00997B58">
        <w:t>.</w:t>
      </w:r>
    </w:p>
  </w:footnote>
  <w:footnote w:id="5">
    <w:p w:rsidR="00082FC8" w:rsidRPr="00082FC8" w:rsidRDefault="00082FC8">
      <w:pPr>
        <w:pStyle w:val="FootnoteText"/>
      </w:pPr>
      <w:r>
        <w:rPr>
          <w:rStyle w:val="FootnoteReference"/>
        </w:rPr>
        <w:footnoteRef/>
      </w:r>
      <w:r>
        <w:t xml:space="preserve"> </w:t>
      </w:r>
      <w:r>
        <w:rPr>
          <w:i/>
        </w:rPr>
        <w:t>Sustainable Shetland v Scottish Ministers</w:t>
      </w:r>
      <w:r>
        <w:t xml:space="preserve"> [2015] UK SC 4 (henceforth </w:t>
      </w:r>
      <w:r>
        <w:rPr>
          <w:i/>
        </w:rPr>
        <w:t>Sustainable Shetland SC</w:t>
      </w:r>
      <w:r>
        <w:t>).</w:t>
      </w:r>
    </w:p>
  </w:footnote>
  <w:footnote w:id="6">
    <w:p w:rsidR="00966644" w:rsidRPr="00997B58" w:rsidRDefault="00082FC8">
      <w:pPr>
        <w:pStyle w:val="FootnoteText"/>
      </w:pPr>
      <w:r>
        <w:rPr>
          <w:rStyle w:val="FootnoteReference"/>
        </w:rPr>
        <w:footnoteRef/>
      </w:r>
      <w:r>
        <w:t xml:space="preserve"> Submissions by Scottish Natural Heritage and the decision letter are available at </w:t>
      </w:r>
      <w:hyperlink r:id="rId1" w:history="1">
        <w:r w:rsidR="00966644" w:rsidRPr="00F84993">
          <w:rPr>
            <w:rStyle w:val="Hyperlink"/>
            <w:i/>
          </w:rPr>
          <w:t>http://www.gov.scot/Topics/Business-Industry/Energy/Infrastructure/Energy-Consents/Applications-Database/Wind/Viking-Index</w:t>
        </w:r>
      </w:hyperlink>
      <w:r w:rsidR="00997B58">
        <w:rPr>
          <w:rStyle w:val="Hyperlink"/>
          <w:u w:val="none"/>
        </w:rPr>
        <w:t>.</w:t>
      </w:r>
    </w:p>
  </w:footnote>
  <w:footnote w:id="7">
    <w:p w:rsidR="00966644" w:rsidRPr="00966644" w:rsidRDefault="00966644">
      <w:pPr>
        <w:pStyle w:val="FootnoteText"/>
      </w:pPr>
      <w:r>
        <w:rPr>
          <w:rStyle w:val="FootnoteReference"/>
        </w:rPr>
        <w:footnoteRef/>
      </w:r>
      <w:r>
        <w:t xml:space="preserve"> </w:t>
      </w:r>
      <w:r>
        <w:rPr>
          <w:i/>
        </w:rPr>
        <w:t xml:space="preserve">Sustainable Shetland SC </w:t>
      </w:r>
      <w:r>
        <w:t>para 9.</w:t>
      </w:r>
    </w:p>
  </w:footnote>
  <w:footnote w:id="8">
    <w:p w:rsidR="00966644" w:rsidRDefault="00966644">
      <w:pPr>
        <w:pStyle w:val="FootnoteText"/>
      </w:pPr>
      <w:r>
        <w:rPr>
          <w:rStyle w:val="FootnoteReference"/>
        </w:rPr>
        <w:footnoteRef/>
      </w:r>
      <w:r>
        <w:t xml:space="preserve"> Council Directive 92/43/EEC on the conservation of natural habitats and of wild fauna and flora [1992] OJ L 206/7.</w:t>
      </w:r>
    </w:p>
  </w:footnote>
  <w:footnote w:id="9">
    <w:p w:rsidR="00966644" w:rsidRPr="005260AA" w:rsidRDefault="00966644" w:rsidP="005260AA">
      <w:pPr>
        <w:pStyle w:val="FootnoteText"/>
      </w:pPr>
      <w:r>
        <w:rPr>
          <w:rStyle w:val="FootnoteReference"/>
        </w:rPr>
        <w:footnoteRef/>
      </w:r>
      <w:r>
        <w:t xml:space="preserve"> Case C-374/98 </w:t>
      </w:r>
      <w:r>
        <w:rPr>
          <w:i/>
        </w:rPr>
        <w:t xml:space="preserve">Commission v France </w:t>
      </w:r>
      <w:r>
        <w:t>[2000</w:t>
      </w:r>
      <w:r w:rsidR="00491A9D">
        <w:t>] ECR I-10799.</w:t>
      </w:r>
    </w:p>
  </w:footnote>
  <w:footnote w:id="10">
    <w:p w:rsidR="005260AA" w:rsidRPr="005260AA" w:rsidRDefault="005260AA">
      <w:pPr>
        <w:pStyle w:val="FootnoteText"/>
      </w:pPr>
      <w:r>
        <w:rPr>
          <w:rStyle w:val="FootnoteReference"/>
        </w:rPr>
        <w:footnoteRef/>
      </w:r>
      <w:r>
        <w:t xml:space="preserve"> </w:t>
      </w:r>
      <w:r>
        <w:rPr>
          <w:i/>
        </w:rPr>
        <w:t xml:space="preserve">Sustainable Shetland OH </w:t>
      </w:r>
      <w:r>
        <w:t>para 242.</w:t>
      </w:r>
    </w:p>
  </w:footnote>
  <w:footnote w:id="11">
    <w:p w:rsidR="005260AA" w:rsidRPr="005260AA" w:rsidRDefault="005260AA">
      <w:pPr>
        <w:pStyle w:val="FootnoteText"/>
      </w:pPr>
      <w:r>
        <w:rPr>
          <w:rStyle w:val="FootnoteReference"/>
        </w:rPr>
        <w:footnoteRef/>
      </w:r>
      <w:r>
        <w:t xml:space="preserve"> Para</w:t>
      </w:r>
      <w:r w:rsidR="00BE3CEF">
        <w:t>s 267-271 and</w:t>
      </w:r>
      <w:r>
        <w:t xml:space="preserve"> 287.</w:t>
      </w:r>
    </w:p>
  </w:footnote>
  <w:footnote w:id="12">
    <w:p w:rsidR="005260AA" w:rsidRDefault="005260AA">
      <w:pPr>
        <w:pStyle w:val="FootnoteText"/>
      </w:pPr>
      <w:r>
        <w:rPr>
          <w:rStyle w:val="FootnoteReference"/>
        </w:rPr>
        <w:footnoteRef/>
      </w:r>
      <w:r>
        <w:t xml:space="preserve"> Para</w:t>
      </w:r>
      <w:r w:rsidR="00BE3CEF">
        <w:t>s</w:t>
      </w:r>
      <w:r>
        <w:t xml:space="preserve"> 290-2.</w:t>
      </w:r>
    </w:p>
  </w:footnote>
  <w:footnote w:id="13">
    <w:p w:rsidR="005260AA" w:rsidRPr="005260AA" w:rsidRDefault="005260AA">
      <w:pPr>
        <w:pStyle w:val="FootnoteText"/>
      </w:pPr>
      <w:r>
        <w:rPr>
          <w:rStyle w:val="FootnoteReference"/>
        </w:rPr>
        <w:footnoteRef/>
      </w:r>
      <w:r>
        <w:t xml:space="preserve"> </w:t>
      </w:r>
      <w:r>
        <w:rPr>
          <w:i/>
        </w:rPr>
        <w:t xml:space="preserve">Sustainable Shetland IH </w:t>
      </w:r>
      <w:r>
        <w:t>para 26.</w:t>
      </w:r>
    </w:p>
  </w:footnote>
  <w:footnote w:id="14">
    <w:p w:rsidR="005260AA" w:rsidRPr="005260AA" w:rsidRDefault="005260AA">
      <w:pPr>
        <w:pStyle w:val="FootnoteText"/>
      </w:pPr>
      <w:r>
        <w:rPr>
          <w:rStyle w:val="FootnoteReference"/>
        </w:rPr>
        <w:footnoteRef/>
      </w:r>
      <w:r>
        <w:t xml:space="preserve"> Para 27.</w:t>
      </w:r>
    </w:p>
  </w:footnote>
  <w:footnote w:id="15">
    <w:p w:rsidR="005260AA" w:rsidRPr="005260AA" w:rsidRDefault="005260AA">
      <w:pPr>
        <w:pStyle w:val="FootnoteText"/>
      </w:pPr>
      <w:r>
        <w:rPr>
          <w:rStyle w:val="FootnoteReference"/>
        </w:rPr>
        <w:footnoteRef/>
      </w:r>
      <w:r>
        <w:t xml:space="preserve"> </w:t>
      </w:r>
      <w:r>
        <w:rPr>
          <w:i/>
        </w:rPr>
        <w:t>Sustainable Shetland SC</w:t>
      </w:r>
      <w:r>
        <w:t xml:space="preserve"> para 29.</w:t>
      </w:r>
    </w:p>
  </w:footnote>
  <w:footnote w:id="16">
    <w:p w:rsidR="005260AA" w:rsidRDefault="005260AA">
      <w:pPr>
        <w:pStyle w:val="FootnoteText"/>
      </w:pPr>
      <w:r>
        <w:rPr>
          <w:rStyle w:val="FootnoteReference"/>
        </w:rPr>
        <w:footnoteRef/>
      </w:r>
      <w:r>
        <w:t xml:space="preserve"> Para 32.</w:t>
      </w:r>
    </w:p>
  </w:footnote>
  <w:footnote w:id="17">
    <w:p w:rsidR="005260AA" w:rsidRDefault="005260AA">
      <w:pPr>
        <w:pStyle w:val="FootnoteText"/>
      </w:pPr>
      <w:r>
        <w:rPr>
          <w:rStyle w:val="FootnoteReference"/>
        </w:rPr>
        <w:footnoteRef/>
      </w:r>
      <w:r>
        <w:t xml:space="preserve"> Para 33.</w:t>
      </w:r>
    </w:p>
  </w:footnote>
  <w:footnote w:id="18">
    <w:p w:rsidR="00DC0E17" w:rsidRDefault="00DC0E17">
      <w:pPr>
        <w:pStyle w:val="FootnoteText"/>
      </w:pPr>
      <w:r>
        <w:rPr>
          <w:rStyle w:val="FootnoteReference"/>
        </w:rPr>
        <w:footnoteRef/>
      </w:r>
      <w:r>
        <w:t xml:space="preserve"> Para 34.</w:t>
      </w:r>
    </w:p>
  </w:footnote>
  <w:footnote w:id="19">
    <w:p w:rsidR="00DC0E17" w:rsidRPr="007E052E" w:rsidRDefault="00DC0E17">
      <w:pPr>
        <w:pStyle w:val="FootnoteText"/>
      </w:pPr>
      <w:r>
        <w:rPr>
          <w:rStyle w:val="FootnoteReference"/>
        </w:rPr>
        <w:footnoteRef/>
      </w:r>
      <w:r>
        <w:t xml:space="preserve"> </w:t>
      </w:r>
      <w:r w:rsidR="007E052E">
        <w:rPr>
          <w:i/>
        </w:rPr>
        <w:t>Council of Civil Service Unions v Minister for the Civil Service</w:t>
      </w:r>
      <w:r w:rsidR="007E052E">
        <w:t xml:space="preserve"> [1985] AC 374 at 410, [1984] 3 All ER 935 at 950, HL, per Lord Diplock.</w:t>
      </w:r>
    </w:p>
  </w:footnote>
  <w:footnote w:id="20">
    <w:p w:rsidR="00DC0E17" w:rsidRDefault="00DC0E17">
      <w:pPr>
        <w:pStyle w:val="FootnoteText"/>
      </w:pPr>
      <w:r>
        <w:rPr>
          <w:rStyle w:val="FootnoteReference"/>
        </w:rPr>
        <w:footnoteRef/>
      </w:r>
      <w:r w:rsidR="007E052E">
        <w:t xml:space="preserve"> </w:t>
      </w:r>
      <w:r w:rsidR="00134B09">
        <w:t>A Bradley and C Himsworth</w:t>
      </w:r>
      <w:r w:rsidR="007E052E">
        <w:t xml:space="preserve">, </w:t>
      </w:r>
      <w:r w:rsidR="00134B09">
        <w:t>“Administrative Law”</w:t>
      </w:r>
      <w:r w:rsidR="00BE3CEF">
        <w:t>,</w:t>
      </w:r>
      <w:r w:rsidR="007E052E">
        <w:t xml:space="preserve"> in </w:t>
      </w:r>
      <w:r w:rsidR="007E052E">
        <w:rPr>
          <w:i/>
        </w:rPr>
        <w:t xml:space="preserve">The Laws of Scotland: Stair Memorial </w:t>
      </w:r>
      <w:r w:rsidR="00E767EA">
        <w:rPr>
          <w:i/>
        </w:rPr>
        <w:t>Encyclopaedia</w:t>
      </w:r>
      <w:r w:rsidR="007E052E">
        <w:t xml:space="preserve">, Reissue </w:t>
      </w:r>
      <w:r w:rsidR="00134B09">
        <w:t>(2000)</w:t>
      </w:r>
      <w:r w:rsidR="007E052E">
        <w:t xml:space="preserve"> para 48.</w:t>
      </w:r>
    </w:p>
  </w:footnote>
  <w:footnote w:id="21">
    <w:p w:rsidR="00DC0E17" w:rsidRDefault="00DC0E17">
      <w:pPr>
        <w:pStyle w:val="FootnoteText"/>
      </w:pPr>
      <w:r>
        <w:rPr>
          <w:rStyle w:val="FootnoteReference"/>
        </w:rPr>
        <w:footnoteRef/>
      </w:r>
      <w:r w:rsidR="007E052E">
        <w:rPr>
          <w:i/>
        </w:rPr>
        <w:t xml:space="preserve">R v Hull University Visitor, Ex p. Page </w:t>
      </w:r>
      <w:r w:rsidR="007E052E">
        <w:t>[1993] A.C. 682 HL.</w:t>
      </w:r>
    </w:p>
  </w:footnote>
  <w:footnote w:id="22">
    <w:p w:rsidR="007E052E" w:rsidRPr="007E052E" w:rsidRDefault="007E052E">
      <w:pPr>
        <w:pStyle w:val="FootnoteText"/>
      </w:pPr>
      <w:r>
        <w:rPr>
          <w:rStyle w:val="FootnoteReference"/>
        </w:rPr>
        <w:footnoteRef/>
      </w:r>
      <w:r>
        <w:t xml:space="preserve"> </w:t>
      </w:r>
      <w:r w:rsidR="00D3128E">
        <w:t xml:space="preserve">Case C-3/96 </w:t>
      </w:r>
      <w:r w:rsidR="00D3128E">
        <w:rPr>
          <w:i/>
        </w:rPr>
        <w:t xml:space="preserve">Commission v Netherlands </w:t>
      </w:r>
      <w:r w:rsidR="00D3128E">
        <w:t xml:space="preserve">[1998] ECR I-3031; </w:t>
      </w:r>
      <w:r w:rsidR="00134B09">
        <w:t>N de Sadeleer, “</w:t>
      </w:r>
      <w:r>
        <w:t>Habitats Conservation in EC Law – from Nature San</w:t>
      </w:r>
      <w:r w:rsidR="00134B09">
        <w:t>ctuaries to Ecological Networks”</w:t>
      </w:r>
      <w:r>
        <w:t xml:space="preserve"> 5 </w:t>
      </w:r>
      <w:r w:rsidRPr="00134B09">
        <w:t>The Yearbook of European Environmental Law</w:t>
      </w:r>
      <w:r>
        <w:t xml:space="preserve"> 215 at 221-5.</w:t>
      </w:r>
    </w:p>
  </w:footnote>
  <w:footnote w:id="23">
    <w:p w:rsidR="00C73F40" w:rsidRPr="00C73F40" w:rsidRDefault="00C73F40">
      <w:pPr>
        <w:pStyle w:val="FootnoteText"/>
      </w:pPr>
      <w:r>
        <w:rPr>
          <w:rStyle w:val="FootnoteReference"/>
        </w:rPr>
        <w:footnoteRef/>
      </w:r>
      <w:r>
        <w:t xml:space="preserve"> For example see National Research (Projects) Limited and Alba Ecology Limited, </w:t>
      </w:r>
      <w:r w:rsidRPr="00C73F40">
        <w:rPr>
          <w:i/>
        </w:rPr>
        <w:t>Environmental Statement</w:t>
      </w:r>
      <w:r>
        <w:rPr>
          <w:i/>
        </w:rPr>
        <w:t xml:space="preserve"> Addendum Chapter 11 Ornithology</w:t>
      </w:r>
      <w:r>
        <w:t xml:space="preserve">, 2010, A11-120 to A11-122, available at </w:t>
      </w:r>
      <w:r w:rsidRPr="00C73F40">
        <w:t>http://www.vikingenergy.co.uk/assets/files/addendum2010/written-statement/Chapter-A11-Ornithology.pdf</w:t>
      </w:r>
      <w:r>
        <w:t xml:space="preserve">.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1"/>
    <w:footnote w:id="0"/>
  </w:footnotePr>
  <w:endnotePr>
    <w:endnote w:id="-1"/>
    <w:endnote w:id="0"/>
  </w:endnotePr>
  <w:compat/>
  <w:rsids>
    <w:rsidRoot w:val="00CB4470"/>
    <w:rsid w:val="0002010D"/>
    <w:rsid w:val="0002476E"/>
    <w:rsid w:val="000417C8"/>
    <w:rsid w:val="00064ECA"/>
    <w:rsid w:val="00082FC8"/>
    <w:rsid w:val="00091D3D"/>
    <w:rsid w:val="000B71D7"/>
    <w:rsid w:val="000D72F8"/>
    <w:rsid w:val="00106290"/>
    <w:rsid w:val="00134B09"/>
    <w:rsid w:val="001570FD"/>
    <w:rsid w:val="00187A44"/>
    <w:rsid w:val="001B39EA"/>
    <w:rsid w:val="001B6B6F"/>
    <w:rsid w:val="001C0196"/>
    <w:rsid w:val="001D6BD9"/>
    <w:rsid w:val="001E0C4C"/>
    <w:rsid w:val="00204042"/>
    <w:rsid w:val="0021310A"/>
    <w:rsid w:val="0023728A"/>
    <w:rsid w:val="00240EFF"/>
    <w:rsid w:val="00291DEA"/>
    <w:rsid w:val="002A5E64"/>
    <w:rsid w:val="002E705E"/>
    <w:rsid w:val="00300AE1"/>
    <w:rsid w:val="00365425"/>
    <w:rsid w:val="0036783D"/>
    <w:rsid w:val="003D2392"/>
    <w:rsid w:val="00414E72"/>
    <w:rsid w:val="004402D3"/>
    <w:rsid w:val="00450933"/>
    <w:rsid w:val="00491A9D"/>
    <w:rsid w:val="004B1B1A"/>
    <w:rsid w:val="004D540F"/>
    <w:rsid w:val="004E72BA"/>
    <w:rsid w:val="004F41D5"/>
    <w:rsid w:val="004F6365"/>
    <w:rsid w:val="00522ADD"/>
    <w:rsid w:val="005260AA"/>
    <w:rsid w:val="00536196"/>
    <w:rsid w:val="0054377D"/>
    <w:rsid w:val="00570C8A"/>
    <w:rsid w:val="00581702"/>
    <w:rsid w:val="00581BE7"/>
    <w:rsid w:val="00596A23"/>
    <w:rsid w:val="005B0D89"/>
    <w:rsid w:val="005C5CEA"/>
    <w:rsid w:val="005D42A5"/>
    <w:rsid w:val="005E174B"/>
    <w:rsid w:val="00641A5E"/>
    <w:rsid w:val="00656933"/>
    <w:rsid w:val="0067379F"/>
    <w:rsid w:val="00683B63"/>
    <w:rsid w:val="00745BB8"/>
    <w:rsid w:val="00765BB8"/>
    <w:rsid w:val="007960AE"/>
    <w:rsid w:val="007B1418"/>
    <w:rsid w:val="007B5B8F"/>
    <w:rsid w:val="007B7DFF"/>
    <w:rsid w:val="007D7E40"/>
    <w:rsid w:val="007E052E"/>
    <w:rsid w:val="008240DD"/>
    <w:rsid w:val="0083050F"/>
    <w:rsid w:val="00851D86"/>
    <w:rsid w:val="00865182"/>
    <w:rsid w:val="0090675F"/>
    <w:rsid w:val="00966644"/>
    <w:rsid w:val="00997B58"/>
    <w:rsid w:val="009A3E77"/>
    <w:rsid w:val="009D24B4"/>
    <w:rsid w:val="009F5436"/>
    <w:rsid w:val="00A41FE9"/>
    <w:rsid w:val="00A55C60"/>
    <w:rsid w:val="00A737FC"/>
    <w:rsid w:val="00A85F4F"/>
    <w:rsid w:val="00AF4AD2"/>
    <w:rsid w:val="00B16BEB"/>
    <w:rsid w:val="00B521CC"/>
    <w:rsid w:val="00B60307"/>
    <w:rsid w:val="00B96E63"/>
    <w:rsid w:val="00BA4FC9"/>
    <w:rsid w:val="00BD2596"/>
    <w:rsid w:val="00BE3CEF"/>
    <w:rsid w:val="00C041CC"/>
    <w:rsid w:val="00C420D9"/>
    <w:rsid w:val="00C42B4F"/>
    <w:rsid w:val="00C73F40"/>
    <w:rsid w:val="00C873CC"/>
    <w:rsid w:val="00CA7EAF"/>
    <w:rsid w:val="00CB0A72"/>
    <w:rsid w:val="00CB1DC4"/>
    <w:rsid w:val="00CB4470"/>
    <w:rsid w:val="00D20983"/>
    <w:rsid w:val="00D3128E"/>
    <w:rsid w:val="00D8511E"/>
    <w:rsid w:val="00DC0E17"/>
    <w:rsid w:val="00DD14C4"/>
    <w:rsid w:val="00DE2E43"/>
    <w:rsid w:val="00E21E1F"/>
    <w:rsid w:val="00E40011"/>
    <w:rsid w:val="00E450EF"/>
    <w:rsid w:val="00E453A6"/>
    <w:rsid w:val="00E52DBA"/>
    <w:rsid w:val="00E53E69"/>
    <w:rsid w:val="00E67D44"/>
    <w:rsid w:val="00E70305"/>
    <w:rsid w:val="00E767EA"/>
    <w:rsid w:val="00E96624"/>
    <w:rsid w:val="00ED3A42"/>
    <w:rsid w:val="00ED68A4"/>
    <w:rsid w:val="00F10964"/>
    <w:rsid w:val="00F30635"/>
    <w:rsid w:val="00F5103A"/>
    <w:rsid w:val="00F520DB"/>
    <w:rsid w:val="00F621B2"/>
    <w:rsid w:val="00F73952"/>
    <w:rsid w:val="00F9167D"/>
    <w:rsid w:val="00FB0AF5"/>
    <w:rsid w:val="00FB1DFB"/>
    <w:rsid w:val="00FC4244"/>
    <w:rsid w:val="00FE483D"/>
    <w:rsid w:val="00FE77C4"/>
    <w:rsid w:val="00FF6E8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BE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82FC8"/>
    <w:pPr>
      <w:spacing w:after="0"/>
    </w:pPr>
    <w:rPr>
      <w:sz w:val="20"/>
      <w:szCs w:val="20"/>
    </w:rPr>
  </w:style>
  <w:style w:type="character" w:customStyle="1" w:styleId="FootnoteTextChar">
    <w:name w:val="Footnote Text Char"/>
    <w:basedOn w:val="DefaultParagraphFont"/>
    <w:link w:val="FootnoteText"/>
    <w:uiPriority w:val="99"/>
    <w:semiHidden/>
    <w:rsid w:val="00082FC8"/>
    <w:rPr>
      <w:sz w:val="20"/>
      <w:szCs w:val="20"/>
    </w:rPr>
  </w:style>
  <w:style w:type="character" w:styleId="FootnoteReference">
    <w:name w:val="footnote reference"/>
    <w:basedOn w:val="DefaultParagraphFont"/>
    <w:uiPriority w:val="99"/>
    <w:semiHidden/>
    <w:unhideWhenUsed/>
    <w:rsid w:val="00082FC8"/>
    <w:rPr>
      <w:vertAlign w:val="superscript"/>
    </w:rPr>
  </w:style>
  <w:style w:type="character" w:styleId="Hyperlink">
    <w:name w:val="Hyperlink"/>
    <w:basedOn w:val="DefaultParagraphFont"/>
    <w:uiPriority w:val="99"/>
    <w:unhideWhenUsed/>
    <w:rsid w:val="00966644"/>
    <w:rPr>
      <w:color w:val="0000FF" w:themeColor="hyperlink"/>
      <w:u w:val="single"/>
    </w:rPr>
  </w:style>
  <w:style w:type="paragraph" w:styleId="BalloonText">
    <w:name w:val="Balloon Text"/>
    <w:basedOn w:val="Normal"/>
    <w:link w:val="BalloonTextChar"/>
    <w:uiPriority w:val="99"/>
    <w:semiHidden/>
    <w:unhideWhenUsed/>
    <w:rsid w:val="00FB0AF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0A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BE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82FC8"/>
    <w:pPr>
      <w:spacing w:after="0"/>
    </w:pPr>
    <w:rPr>
      <w:sz w:val="20"/>
      <w:szCs w:val="20"/>
    </w:rPr>
  </w:style>
  <w:style w:type="character" w:customStyle="1" w:styleId="FootnoteTextChar">
    <w:name w:val="Footnote Text Char"/>
    <w:basedOn w:val="DefaultParagraphFont"/>
    <w:link w:val="FootnoteText"/>
    <w:uiPriority w:val="99"/>
    <w:semiHidden/>
    <w:rsid w:val="00082FC8"/>
    <w:rPr>
      <w:sz w:val="20"/>
      <w:szCs w:val="20"/>
    </w:rPr>
  </w:style>
  <w:style w:type="character" w:styleId="FootnoteReference">
    <w:name w:val="footnote reference"/>
    <w:basedOn w:val="DefaultParagraphFont"/>
    <w:uiPriority w:val="99"/>
    <w:semiHidden/>
    <w:unhideWhenUsed/>
    <w:rsid w:val="00082FC8"/>
    <w:rPr>
      <w:vertAlign w:val="superscript"/>
    </w:rPr>
  </w:style>
  <w:style w:type="character" w:styleId="Hyperlink">
    <w:name w:val="Hyperlink"/>
    <w:basedOn w:val="DefaultParagraphFont"/>
    <w:uiPriority w:val="99"/>
    <w:unhideWhenUsed/>
    <w:rsid w:val="0096664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_rels/footnotes.xml.rels><?xml version="1.0" encoding="UTF-8" standalone="yes"?>
<Relationships xmlns="http://schemas.openxmlformats.org/package/2006/relationships"><Relationship Id="rId1" Type="http://schemas.openxmlformats.org/officeDocument/2006/relationships/hyperlink" Target="http://www.gov.scot/Topics/Business-Industry/Energy/Infrastructure/Energy-Consents/Applications-Database/Wind/Viking-Inde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6036A0-1568-4E83-AB57-DA9D89831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Pages>
  <Words>1745</Words>
  <Characters>9951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11673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s01ow3</dc:creator>
  <cp:lastModifiedBy>s01ow3</cp:lastModifiedBy>
  <cp:revision>4</cp:revision>
  <cp:lastPrinted>2015-06-01T13:02:00Z</cp:lastPrinted>
  <dcterms:created xsi:type="dcterms:W3CDTF">2015-06-04T08:22:00Z</dcterms:created>
  <dcterms:modified xsi:type="dcterms:W3CDTF">2015-06-04T08:40:00Z</dcterms:modified>
</cp:coreProperties>
</file>