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ustomizations.xml" ContentType="application/vnd.ms-word.keyMapCustomization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ayout w:type="fixed"/>
        <w:tblLook w:val="0000"/>
      </w:tblPr>
      <w:tblGrid>
        <w:gridCol w:w="7338"/>
        <w:gridCol w:w="1275"/>
      </w:tblGrid>
      <w:tr w:rsidR="00D97EC9">
        <w:trPr>
          <w:cantSplit/>
        </w:trPr>
        <w:tc>
          <w:tcPr>
            <w:tcW w:w="7338" w:type="dxa"/>
          </w:tcPr>
          <w:p w:rsidR="00D97EC9" w:rsidRPr="00FF11A4" w:rsidRDefault="0019117D" w:rsidP="0019117D">
            <w:pPr>
              <w:pStyle w:val="Papertitle"/>
            </w:pPr>
            <w:r>
              <w:t>Pre and post-earthquake dynamic analysis of an RC building including soil-structure interaction</w:t>
            </w:r>
          </w:p>
        </w:tc>
        <w:tc>
          <w:tcPr>
            <w:tcW w:w="1275" w:type="dxa"/>
            <w:vMerge w:val="restart"/>
          </w:tcPr>
          <w:p w:rsidR="00D97EC9" w:rsidRDefault="005F386C" w:rsidP="00755032">
            <w:pPr>
              <w:pStyle w:val="Year"/>
            </w:pPr>
            <w:r>
              <w:rPr>
                <w:noProof/>
                <w:lang w:eastAsia="en-NZ"/>
              </w:rPr>
              <w:drawing>
                <wp:inline distT="0" distB="0" distL="0" distR="0">
                  <wp:extent cx="494665" cy="1290955"/>
                  <wp:effectExtent l="0" t="0" r="635" b="4445"/>
                  <wp:docPr id="1" name="Picture 1" descr="lh_raumo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h_raumoko"/>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32320"/>
                          <a:stretch>
                            <a:fillRect/>
                          </a:stretch>
                        </pic:blipFill>
                        <pic:spPr bwMode="auto">
                          <a:xfrm>
                            <a:off x="0" y="0"/>
                            <a:ext cx="494665" cy="1290955"/>
                          </a:xfrm>
                          <a:prstGeom prst="rect">
                            <a:avLst/>
                          </a:prstGeom>
                          <a:noFill/>
                          <a:ln>
                            <a:noFill/>
                          </a:ln>
                        </pic:spPr>
                      </pic:pic>
                    </a:graphicData>
                  </a:graphic>
                </wp:inline>
              </w:drawing>
            </w:r>
          </w:p>
          <w:p w:rsidR="00D97EC9" w:rsidRPr="00755032" w:rsidRDefault="00D97EC9" w:rsidP="00755032">
            <w:pPr>
              <w:pStyle w:val="Year"/>
            </w:pPr>
            <w:r w:rsidRPr="00755032">
              <w:t>20</w:t>
            </w:r>
            <w:r w:rsidR="00FF11A4" w:rsidRPr="00755032">
              <w:t>1</w:t>
            </w:r>
            <w:r w:rsidR="009012A7">
              <w:t>2</w:t>
            </w:r>
            <w:r w:rsidRPr="00755032">
              <w:t xml:space="preserve"> NZSEE Conference</w:t>
            </w:r>
          </w:p>
        </w:tc>
      </w:tr>
      <w:tr w:rsidR="00D97EC9">
        <w:trPr>
          <w:cantSplit/>
        </w:trPr>
        <w:tc>
          <w:tcPr>
            <w:tcW w:w="7338" w:type="dxa"/>
          </w:tcPr>
          <w:p w:rsidR="00D97EC9" w:rsidRDefault="0019117D">
            <w:pPr>
              <w:pStyle w:val="Author"/>
            </w:pPr>
            <w:r>
              <w:t>F. Butt</w:t>
            </w:r>
            <w:r w:rsidR="00D97EC9">
              <w:t xml:space="preserve"> &amp; </w:t>
            </w:r>
            <w:r>
              <w:t>P. Omenzetter</w:t>
            </w:r>
          </w:p>
          <w:p w:rsidR="00D97EC9" w:rsidRDefault="0019117D" w:rsidP="0019117D">
            <w:pPr>
              <w:pStyle w:val="Affiliation"/>
            </w:pPr>
            <w:r>
              <w:t>Department of Civil &amp; Environmental Engineering, The University of Auckland, Auckland</w:t>
            </w:r>
            <w:r w:rsidR="00D97EC9">
              <w:t>.</w:t>
            </w:r>
          </w:p>
        </w:tc>
        <w:tc>
          <w:tcPr>
            <w:tcW w:w="1275" w:type="dxa"/>
            <w:vMerge/>
          </w:tcPr>
          <w:p w:rsidR="00D97EC9" w:rsidRDefault="00D97EC9" w:rsidP="00FF11A4">
            <w:pPr>
              <w:pStyle w:val="Papertitle"/>
            </w:pPr>
          </w:p>
        </w:tc>
      </w:tr>
    </w:tbl>
    <w:p w:rsidR="00D97EC9" w:rsidRDefault="00D97EC9" w:rsidP="0019117D">
      <w:pPr>
        <w:tabs>
          <w:tab w:val="left" w:pos="5625"/>
        </w:tabs>
        <w:spacing w:before="240"/>
        <w:ind w:left="567" w:right="567"/>
      </w:pPr>
      <w:r>
        <w:rPr>
          <w:b/>
          <w:bCs/>
        </w:rPr>
        <w:t>ABSTRACT:</w:t>
      </w:r>
      <w:r>
        <w:t xml:space="preserve"> </w:t>
      </w:r>
      <w:r w:rsidR="0019117D">
        <w:rPr>
          <w:lang w:val="en-US"/>
        </w:rPr>
        <w:t xml:space="preserve">This paper presents a study of the dynamic analysis </w:t>
      </w:r>
      <w:r w:rsidR="00E529B0">
        <w:rPr>
          <w:lang w:val="en-US"/>
        </w:rPr>
        <w:t xml:space="preserve">of a building before and after devastating earthquakes </w:t>
      </w:r>
      <w:r w:rsidR="0019117D">
        <w:rPr>
          <w:lang w:val="en-US"/>
        </w:rPr>
        <w:t xml:space="preserve">using </w:t>
      </w:r>
      <w:r w:rsidR="00E529B0">
        <w:rPr>
          <w:lang w:val="en-US"/>
        </w:rPr>
        <w:t>system</w:t>
      </w:r>
      <w:r w:rsidR="0019117D">
        <w:rPr>
          <w:lang w:val="en-US"/>
        </w:rPr>
        <w:t xml:space="preserve"> identification. The eight storey reinforced concrete building is instrumented with </w:t>
      </w:r>
      <w:r w:rsidR="00CE70BE" w:rsidRPr="0075514E">
        <w:rPr>
          <w:color w:val="000000" w:themeColor="text1"/>
          <w:lang w:val="en-US"/>
        </w:rPr>
        <w:t>10</w:t>
      </w:r>
      <w:r w:rsidR="0019117D">
        <w:rPr>
          <w:lang w:val="en-US"/>
        </w:rPr>
        <w:t xml:space="preserve"> accelerometers. The time domain </w:t>
      </w:r>
      <w:r w:rsidR="00E529B0">
        <w:rPr>
          <w:lang w:val="en-US"/>
        </w:rPr>
        <w:t>N4SID</w:t>
      </w:r>
      <w:r w:rsidR="0019117D">
        <w:rPr>
          <w:lang w:val="en-US"/>
        </w:rPr>
        <w:t xml:space="preserve"> system identification technique was used to obtain the frequencies, damping ratios and mode shapes considering fixed and </w:t>
      </w:r>
      <w:r w:rsidR="00E529B0">
        <w:rPr>
          <w:lang w:val="en-US"/>
        </w:rPr>
        <w:t xml:space="preserve">pseudo </w:t>
      </w:r>
      <w:r w:rsidR="0019117D">
        <w:rPr>
          <w:lang w:val="en-US"/>
        </w:rPr>
        <w:t xml:space="preserve">flexible base models taking into account the soil-structure-interaction. The response of the building before and after the </w:t>
      </w:r>
      <w:r w:rsidR="00E529B0">
        <w:rPr>
          <w:lang w:val="en-US"/>
        </w:rPr>
        <w:t>Darfield (04/09/2010) and Christchurch (</w:t>
      </w:r>
      <w:r w:rsidR="0019117D">
        <w:rPr>
          <w:lang w:val="en-US"/>
        </w:rPr>
        <w:t>22</w:t>
      </w:r>
      <w:r w:rsidR="00E529B0">
        <w:rPr>
          <w:lang w:val="en-US"/>
        </w:rPr>
        <w:t>/02/</w:t>
      </w:r>
      <w:r w:rsidR="0019117D">
        <w:rPr>
          <w:lang w:val="en-US"/>
        </w:rPr>
        <w:t>2011</w:t>
      </w:r>
      <w:r w:rsidR="00E529B0">
        <w:rPr>
          <w:lang w:val="en-US"/>
        </w:rPr>
        <w:t>)</w:t>
      </w:r>
      <w:r w:rsidR="0019117D">
        <w:rPr>
          <w:lang w:val="en-US"/>
        </w:rPr>
        <w:t xml:space="preserve"> earthquake</w:t>
      </w:r>
      <w:r w:rsidR="00E529B0">
        <w:rPr>
          <w:lang w:val="en-US"/>
        </w:rPr>
        <w:t>s was ascertained</w:t>
      </w:r>
      <w:r w:rsidR="0019117D">
        <w:rPr>
          <w:lang w:val="en-US"/>
        </w:rPr>
        <w:t xml:space="preserve"> to evaluate the significant changes in the behavior. </w:t>
      </w:r>
      <w:r w:rsidR="0019117D" w:rsidRPr="00DE07A5">
        <w:t xml:space="preserve">It </w:t>
      </w:r>
      <w:r w:rsidR="0019117D">
        <w:t>wa</w:t>
      </w:r>
      <w:r w:rsidR="0019117D" w:rsidRPr="00DE07A5">
        <w:t xml:space="preserve">s concluded from the investigation that </w:t>
      </w:r>
      <w:r w:rsidR="005B5EE1" w:rsidRPr="00B21BDC">
        <w:t>monitoring</w:t>
      </w:r>
      <w:r w:rsidR="0019117D" w:rsidRPr="00B21BDC">
        <w:t xml:space="preserve"> </w:t>
      </w:r>
      <w:r w:rsidR="008A7DE7" w:rsidRPr="00B21BDC">
        <w:t xml:space="preserve">the </w:t>
      </w:r>
      <w:r w:rsidR="0019117D" w:rsidRPr="00B21BDC">
        <w:t xml:space="preserve">seismic response of </w:t>
      </w:r>
      <w:r w:rsidR="008A7DE7" w:rsidRPr="00B21BDC">
        <w:t xml:space="preserve">the </w:t>
      </w:r>
      <w:r w:rsidR="0019117D" w:rsidRPr="00B21BDC">
        <w:t xml:space="preserve">building is </w:t>
      </w:r>
      <w:r w:rsidR="005B5EE1" w:rsidRPr="00B21BDC">
        <w:t xml:space="preserve">useful </w:t>
      </w:r>
      <w:r w:rsidR="00CE0136" w:rsidRPr="00B21BDC">
        <w:t xml:space="preserve">for a </w:t>
      </w:r>
      <w:r w:rsidR="0019117D" w:rsidRPr="00B21BDC">
        <w:t>better understand</w:t>
      </w:r>
      <w:r w:rsidR="00CE0136" w:rsidRPr="00B21BDC">
        <w:t>ing of</w:t>
      </w:r>
      <w:r w:rsidR="0019117D" w:rsidRPr="00DE07A5">
        <w:t xml:space="preserve"> </w:t>
      </w:r>
      <w:r w:rsidR="008A7DE7">
        <w:t>its</w:t>
      </w:r>
      <w:r w:rsidR="0019117D" w:rsidRPr="00DE07A5">
        <w:t xml:space="preserve"> </w:t>
      </w:r>
      <w:r w:rsidR="0019117D">
        <w:t>behaviour</w:t>
      </w:r>
      <w:r w:rsidR="0019117D" w:rsidRPr="00DE07A5">
        <w:t xml:space="preserve"> during earthquakes</w:t>
      </w:r>
      <w:r w:rsidR="0019117D">
        <w:t>, and also</w:t>
      </w:r>
      <w:r w:rsidR="0019117D">
        <w:rPr>
          <w:lang w:val="en-US"/>
        </w:rPr>
        <w:t xml:space="preserve"> that the participation of soil is significant towards the seismic response of the building and </w:t>
      </w:r>
      <w:r w:rsidR="008A7DE7">
        <w:rPr>
          <w:lang w:val="en-US"/>
        </w:rPr>
        <w:t>it</w:t>
      </w:r>
      <w:r w:rsidR="0019117D">
        <w:rPr>
          <w:lang w:val="en-US"/>
        </w:rPr>
        <w:t xml:space="preserve"> should be considered in models to simulate the real behavior.</w:t>
      </w:r>
    </w:p>
    <w:p w:rsidR="00D97EC9" w:rsidRDefault="00D97EC9">
      <w:pPr>
        <w:pStyle w:val="Heading1"/>
      </w:pPr>
      <w:r>
        <w:t>INTRODUCTION</w:t>
      </w:r>
    </w:p>
    <w:p w:rsidR="00D97EC9" w:rsidRDefault="000A2F18" w:rsidP="00807D0A">
      <w:pPr>
        <w:pStyle w:val="PaperText"/>
        <w:spacing w:line="240" w:lineRule="atLeast"/>
      </w:pPr>
      <w:r>
        <w:t>The full scale</w:t>
      </w:r>
      <w:r w:rsidR="00463353">
        <w:t>,</w:t>
      </w:r>
      <w:r>
        <w:t xml:space="preserve"> in-situ </w:t>
      </w:r>
      <w:r w:rsidR="00463353">
        <w:t>investigations</w:t>
      </w:r>
      <w:r>
        <w:t xml:space="preserve"> </w:t>
      </w:r>
      <w:r w:rsidR="00463353">
        <w:t xml:space="preserve">of </w:t>
      </w:r>
      <w:r>
        <w:t>instrumented buildings present an excellent opportunity to o</w:t>
      </w:r>
      <w:r>
        <w:t>b</w:t>
      </w:r>
      <w:r>
        <w:t>serve their dynamic response in as-built environment</w:t>
      </w:r>
      <w:r w:rsidR="00463353">
        <w:t>,</w:t>
      </w:r>
      <w:r>
        <w:t xml:space="preserve"> which includes all the real physical properties of a structure under study</w:t>
      </w:r>
      <w:r w:rsidR="00463353">
        <w:t xml:space="preserve"> and its environment</w:t>
      </w:r>
      <w:r>
        <w:t>. These studies are useful for the improvement of metho</w:t>
      </w:r>
      <w:r>
        <w:t>d</w:t>
      </w:r>
      <w:r>
        <w:t>ologies involved in e.g. design and analyses of structures, model updating and structural health mon</w:t>
      </w:r>
      <w:r>
        <w:t>i</w:t>
      </w:r>
      <w:r>
        <w:t>toring. Researchers are using system identification techniques to extract dynamic properties of stru</w:t>
      </w:r>
      <w:r>
        <w:t>c</w:t>
      </w:r>
      <w:r>
        <w:t xml:space="preserve">tures from the recorded responses of ambient or forced excitations </w:t>
      </w:r>
      <w:r w:rsidR="00807D0A">
        <w:t>(De Roeck et al. 2000; Skolnik et al. 2006)</w:t>
      </w:r>
      <w:r>
        <w:t>.</w:t>
      </w:r>
      <w:r w:rsidR="00807D0A">
        <w:t xml:space="preserve"> </w:t>
      </w:r>
      <w:r>
        <w:t xml:space="preserve">A </w:t>
      </w:r>
      <w:r w:rsidR="005F386C">
        <w:t>major portion of the system identification procedures are concerned with computing pol</w:t>
      </w:r>
      <w:r w:rsidR="005F386C">
        <w:t>y</w:t>
      </w:r>
      <w:r w:rsidR="005F386C">
        <w:t xml:space="preserve">nomial models which are known to give rise to ill-conditioned mathematical problems. This is mostly the case for multiple-input/multiple-output systems. Numerical algorithms for subspace state-space system identification (such as N4SID) can perform better, especially for higher order systems </w:t>
      </w:r>
      <w:r w:rsidR="00384B97">
        <w:fldChar w:fldCharType="begin"/>
      </w:r>
      <w:r w:rsidR="005F386C">
        <w:instrText xml:space="preserve"> ADDIN EN.CITE &lt;EndNote&gt;&lt;Cite&gt;&lt;Author&gt;Van Overschee&lt;/Author&gt;&lt;Year&gt;1994&lt;/Year&gt;&lt;RecNum&gt;611&lt;/RecNum&gt;&lt;DisplayText&gt;(Van Overschee and De Moor 1994)&lt;/DisplayText&gt;&lt;record&gt;&lt;rec-number&gt;611&lt;/rec-number&gt;&lt;foreign-keys&gt;&lt;key app="EN" db-id="svxfdfstlxwz04eep2cx5sdbv5p5esfxvdtd"&gt;611&lt;/key&gt;&lt;/foreign-keys&gt;&lt;ref-type name="Journal Article"&gt;17&lt;/ref-type&gt;&lt;contributors&gt;&lt;authors&gt;&lt;author&gt;Van Overschee, P.&lt;/author&gt;&lt;author&gt;De Moor, B.&lt;/author&gt;&lt;/authors&gt;&lt;/contributors&gt;&lt;auth-address&gt;ESAT, Department of Electrical Engineering, Katholieke Universiteit Leuven, Kardinaal Mercierlaan 94, 3001, Heverlee, Belgium&amp;#xD;Belgian National Fund for Scientific Research, Belgium&lt;/auth-address&gt;&lt;titles&gt;&lt;title&gt;N4SID: Subspace algorithms for the identification of combined deterministic-stochastic systems&lt;/title&gt;&lt;secondary-title&gt;Automatica&lt;/secondary-title&gt;&lt;/titles&gt;&lt;periodical&gt;&lt;full-title&gt;Automatica&lt;/full-title&gt;&lt;/periodical&gt;&lt;pages&gt;75-93&lt;/pages&gt;&lt;volume&gt;30&lt;/volume&gt;&lt;number&gt;1&lt;/number&gt;&lt;keywords&gt;&lt;keyword&gt;Difference equations&lt;/keyword&gt;&lt;keyword&gt;Kalman filters&lt;/keyword&gt;&lt;keyword&gt;Multivariable systems&lt;/keyword&gt;&lt;keyword&gt;QR and singular value decomposition&lt;/keyword&gt;&lt;keyword&gt;State space methods&lt;/keyword&gt;&lt;keyword&gt;System identification&lt;/keyword&gt;&lt;keyword&gt;Algorithms&lt;/keyword&gt;&lt;keyword&gt;Convergence of numerical methods&lt;/keyword&gt;&lt;keyword&gt;Kalman filtering&lt;/keyword&gt;&lt;keyword&gt;Mathematical models&lt;/keyword&gt;&lt;keyword&gt;Matrix algebra&lt;/keyword&gt;&lt;keyword&gt;Random processes&lt;/keyword&gt;&lt;keyword&gt;Numerical algorithms for subspace state space system identification&lt;/keyword&gt;&lt;keyword&gt;Singular value decomposition&lt;/keyword&gt;&lt;keyword&gt;Identification (control systems)&lt;/keyword&gt;&lt;/keywords&gt;&lt;dates&gt;&lt;year&gt;1994&lt;/year&gt;&lt;/dates&gt;&lt;isbn&gt;00051098 (ISSN)&lt;/isbn&gt;&lt;urls&gt;&lt;related-urls&gt;&lt;url&gt;http://www.scopus.com/inward/record.url?eid=2-s2.0-0028330583&amp;amp;partnerID=40&amp;amp;md5=c60d076af9df60d971fa5e6d31f54933&lt;/url&gt;&lt;/related-urls&gt;&lt;/urls&gt;&lt;/record&gt;&lt;/Cite&gt;&lt;/EndNote&gt;</w:instrText>
      </w:r>
      <w:r w:rsidR="00384B97">
        <w:fldChar w:fldCharType="separate"/>
      </w:r>
      <w:r w:rsidR="005F386C">
        <w:rPr>
          <w:noProof/>
        </w:rPr>
        <w:t>(</w:t>
      </w:r>
      <w:hyperlink w:anchor="_ENREF_19" w:tooltip="Van Overschee, 1994 #611" w:history="1">
        <w:r w:rsidR="005F386C">
          <w:rPr>
            <w:noProof/>
          </w:rPr>
          <w:t xml:space="preserve">Van Overschee </w:t>
        </w:r>
        <w:r w:rsidR="004A13B2">
          <w:rPr>
            <w:noProof/>
          </w:rPr>
          <w:t>&amp;</w:t>
        </w:r>
        <w:r w:rsidR="005F386C">
          <w:rPr>
            <w:noProof/>
          </w:rPr>
          <w:t xml:space="preserve"> De Moor 1994</w:t>
        </w:r>
      </w:hyperlink>
      <w:r w:rsidR="005F386C">
        <w:rPr>
          <w:noProof/>
        </w:rPr>
        <w:t>)</w:t>
      </w:r>
      <w:r w:rsidR="00384B97">
        <w:fldChar w:fldCharType="end"/>
      </w:r>
      <w:r w:rsidR="005F386C">
        <w:t xml:space="preserve">. Another major advantage is their non-iterative nature, which guarantees convergence, insensitivity to initial estimates and absence of local minima of the objective function. It is therefore recommended that such procedures should be followed in the analysis to provide reliable solutions. N4SID is considered to be one of the most powerful classes of known system identification techniques in the time domain </w:t>
      </w:r>
      <w:r w:rsidR="00384B97">
        <w:fldChar w:fldCharType="begin"/>
      </w:r>
      <w:r w:rsidR="005F386C">
        <w:instrText xml:space="preserve"> ADDIN EN.CITE &lt;EndNote&gt;&lt;Cite&gt;&lt;Author&gt;Van Overschee&lt;/Author&gt;&lt;Year&gt;1994&lt;/Year&gt;&lt;RecNum&gt;611&lt;/RecNum&gt;&lt;DisplayText&gt;(Van Overschee and De Moor 1994)&lt;/DisplayText&gt;&lt;record&gt;&lt;rec-number&gt;611&lt;/rec-number&gt;&lt;foreign-keys&gt;&lt;key app="EN" db-id="svxfdfstlxwz04eep2cx5sdbv5p5esfxvdtd"&gt;611&lt;/key&gt;&lt;/foreign-keys&gt;&lt;ref-type name="Journal Article"&gt;17&lt;/ref-type&gt;&lt;contributors&gt;&lt;authors&gt;&lt;author&gt;Van Overschee, P.&lt;/author&gt;&lt;author&gt;De Moor, B.&lt;/author&gt;&lt;/authors&gt;&lt;/contributors&gt;&lt;auth-address&gt;ESAT, Department of Electrical Engineering, Katholieke Universiteit Leuven, Kardinaal Mercierlaan 94, 3001, Heverlee, Belgium&amp;#xD;Belgian National Fund for Scientific Research, Belgium&lt;/auth-address&gt;&lt;titles&gt;&lt;title&gt;N4SID: Subspace algorithms for the identification of combined deterministic-stochastic systems&lt;/title&gt;&lt;secondary-title&gt;Automatica&lt;/secondary-title&gt;&lt;/titles&gt;&lt;periodical&gt;&lt;full-title&gt;Automatica&lt;/full-title&gt;&lt;/periodical&gt;&lt;pages&gt;75-93&lt;/pages&gt;&lt;volume&gt;30&lt;/volume&gt;&lt;number&gt;1&lt;/number&gt;&lt;keywords&gt;&lt;keyword&gt;Difference equations&lt;/keyword&gt;&lt;keyword&gt;Kalman filters&lt;/keyword&gt;&lt;keyword&gt;Multivariable systems&lt;/keyword&gt;&lt;keyword&gt;QR and singular value decomposition&lt;/keyword&gt;&lt;keyword&gt;State space methods&lt;/keyword&gt;&lt;keyword&gt;System identification&lt;/keyword&gt;&lt;keyword&gt;Algorithms&lt;/keyword&gt;&lt;keyword&gt;Convergence of numerical methods&lt;/keyword&gt;&lt;keyword&gt;Kalman filtering&lt;/keyword&gt;&lt;keyword&gt;Mathematical models&lt;/keyword&gt;&lt;keyword&gt;Matrix algebra&lt;/keyword&gt;&lt;keyword&gt;Random processes&lt;/keyword&gt;&lt;keyword&gt;Numerical algorithms for subspace state space system identification&lt;/keyword&gt;&lt;keyword&gt;Singular value decomposition&lt;/keyword&gt;&lt;keyword&gt;Identification (control systems)&lt;/keyword&gt;&lt;/keywords&gt;&lt;dates&gt;&lt;year&gt;1994&lt;/year&gt;&lt;/dates&gt;&lt;isbn&gt;00051098 (ISSN)&lt;/isbn&gt;&lt;urls&gt;&lt;related-urls&gt;&lt;url&gt;http://www.scopus.com/inward/record.url?eid=2-s2.0-0028330583&amp;amp;partnerID=40&amp;amp;md5=c60d076af9df60d971fa5e6d31f54933&lt;/url&gt;&lt;/related-urls&gt;&lt;/urls&gt;&lt;/record&gt;&lt;/Cite&gt;&lt;/EndNote&gt;</w:instrText>
      </w:r>
      <w:r w:rsidR="00384B97">
        <w:fldChar w:fldCharType="separate"/>
      </w:r>
      <w:r w:rsidR="005F386C">
        <w:rPr>
          <w:noProof/>
        </w:rPr>
        <w:t>(</w:t>
      </w:r>
      <w:hyperlink w:anchor="_ENREF_19" w:tooltip="Van Overschee, 1994 #611" w:history="1">
        <w:r w:rsidR="005F386C">
          <w:rPr>
            <w:noProof/>
          </w:rPr>
          <w:t xml:space="preserve">Van Overschee </w:t>
        </w:r>
        <w:r w:rsidR="004A13B2">
          <w:rPr>
            <w:noProof/>
          </w:rPr>
          <w:t>&amp;</w:t>
        </w:r>
        <w:r w:rsidR="005F386C">
          <w:rPr>
            <w:noProof/>
          </w:rPr>
          <w:t xml:space="preserve"> De Moor 1994</w:t>
        </w:r>
      </w:hyperlink>
      <w:r w:rsidR="005F386C">
        <w:rPr>
          <w:noProof/>
        </w:rPr>
        <w:t>)</w:t>
      </w:r>
      <w:r w:rsidR="00384B97">
        <w:fldChar w:fldCharType="end"/>
      </w:r>
      <w:r w:rsidR="005F386C">
        <w:t xml:space="preserve"> and is, therefore, used in the present study for estimating frequencies, damping ratios and mode shapes.</w:t>
      </w:r>
    </w:p>
    <w:p w:rsidR="00F80909" w:rsidRDefault="00F80909" w:rsidP="00F80909">
      <w:pPr>
        <w:rPr>
          <w:lang w:val="en-GB" w:eastAsia="en-GB"/>
        </w:rPr>
      </w:pPr>
      <w:r w:rsidRPr="00F80909">
        <w:t>A structure, its foundation and the surrounding soil constitute a system of dynamically interacting parts. Due to the flexibility of soil, the system period can be longer than the period of the fixed base building.</w:t>
      </w:r>
      <w:r w:rsidRPr="008D3A78">
        <w:rPr>
          <w:rFonts w:ascii="Arial" w:hAnsi="Arial" w:cs="Arial"/>
        </w:rPr>
        <w:t xml:space="preserve"> </w:t>
      </w:r>
      <w:r w:rsidRPr="00F80909">
        <w:t>Building period constitutes an important part in the design and analysis of earthquake resistant structures. Soil-structure-interaction investigations, therefore, are necessary to better understand the actual response of structures during earthquakes.</w:t>
      </w:r>
      <w:r w:rsidR="003E2ACB">
        <w:t xml:space="preserve"> </w:t>
      </w:r>
      <w:r w:rsidRPr="0023229F">
        <w:rPr>
          <w:lang w:val="en-GB" w:eastAsia="en-GB"/>
        </w:rPr>
        <w:t>The objective of th</w:t>
      </w:r>
      <w:r w:rsidR="003E2ACB">
        <w:rPr>
          <w:lang w:val="en-GB" w:eastAsia="en-GB"/>
        </w:rPr>
        <w:t>is study</w:t>
      </w:r>
      <w:r w:rsidRPr="0023229F">
        <w:rPr>
          <w:lang w:val="en-GB" w:eastAsia="en-GB"/>
        </w:rPr>
        <w:t xml:space="preserve"> is to assess and understand the seismic response of </w:t>
      </w:r>
      <w:r>
        <w:rPr>
          <w:lang w:val="en-GB" w:eastAsia="en-GB"/>
        </w:rPr>
        <w:t xml:space="preserve">the </w:t>
      </w:r>
      <w:r w:rsidR="003E2ACB">
        <w:rPr>
          <w:lang w:val="en-GB" w:eastAsia="en-GB"/>
        </w:rPr>
        <w:t xml:space="preserve">instrumented </w:t>
      </w:r>
      <w:r w:rsidRPr="0023229F">
        <w:rPr>
          <w:lang w:val="en-GB" w:eastAsia="en-GB"/>
        </w:rPr>
        <w:t xml:space="preserve">building </w:t>
      </w:r>
      <w:r>
        <w:rPr>
          <w:lang w:val="en-GB" w:eastAsia="en-GB"/>
        </w:rPr>
        <w:t xml:space="preserve">before and after </w:t>
      </w:r>
      <w:r w:rsidR="00D97D0B">
        <w:rPr>
          <w:lang w:val="en-GB" w:eastAsia="en-GB"/>
        </w:rPr>
        <w:t xml:space="preserve">the </w:t>
      </w:r>
      <w:r>
        <w:rPr>
          <w:lang w:val="en-GB" w:eastAsia="en-GB"/>
        </w:rPr>
        <w:t xml:space="preserve">devastating </w:t>
      </w:r>
      <w:r w:rsidR="00D97D0B">
        <w:rPr>
          <w:lang w:val="en-US"/>
        </w:rPr>
        <w:t xml:space="preserve">Darfield (04/09/2010) and Christchurch (22/02/2011) </w:t>
      </w:r>
      <w:r>
        <w:rPr>
          <w:lang w:val="en-GB" w:eastAsia="en-GB"/>
        </w:rPr>
        <w:t xml:space="preserve">earthquakes to ascertain the </w:t>
      </w:r>
      <w:r w:rsidR="003E2ACB">
        <w:rPr>
          <w:lang w:val="en-GB" w:eastAsia="en-GB"/>
        </w:rPr>
        <w:t>behaviour</w:t>
      </w:r>
      <w:r>
        <w:rPr>
          <w:lang w:val="en-GB" w:eastAsia="en-GB"/>
        </w:rPr>
        <w:t xml:space="preserve"> of the building system </w:t>
      </w:r>
      <w:r w:rsidR="003E2ACB">
        <w:rPr>
          <w:lang w:val="en-GB" w:eastAsia="en-GB"/>
        </w:rPr>
        <w:t xml:space="preserve">(soil-foundation-structure) </w:t>
      </w:r>
      <w:r>
        <w:rPr>
          <w:lang w:val="en-GB" w:eastAsia="en-GB"/>
        </w:rPr>
        <w:t xml:space="preserve">based on the frequency versus response levels. </w:t>
      </w:r>
      <w:r w:rsidR="003E2ACB">
        <w:rPr>
          <w:lang w:val="en-GB" w:eastAsia="en-GB"/>
        </w:rPr>
        <w:t>In particular, trend</w:t>
      </w:r>
      <w:r w:rsidR="00D97D0B">
        <w:rPr>
          <w:lang w:val="en-GB" w:eastAsia="en-GB"/>
        </w:rPr>
        <w:t>s</w:t>
      </w:r>
      <w:r w:rsidRPr="0023229F">
        <w:rPr>
          <w:lang w:val="en-GB" w:eastAsia="en-GB"/>
        </w:rPr>
        <w:t xml:space="preserve"> between </w:t>
      </w:r>
      <w:r w:rsidR="003E2ACB">
        <w:rPr>
          <w:lang w:val="en-GB" w:eastAsia="en-GB"/>
        </w:rPr>
        <w:t>peak response acceleration (</w:t>
      </w:r>
      <w:r w:rsidRPr="0023229F">
        <w:rPr>
          <w:lang w:val="en-GB" w:eastAsia="en-GB"/>
        </w:rPr>
        <w:t>PRA</w:t>
      </w:r>
      <w:r w:rsidR="003E2ACB">
        <w:rPr>
          <w:lang w:val="en-GB" w:eastAsia="en-GB"/>
        </w:rPr>
        <w:t>)</w:t>
      </w:r>
      <w:r w:rsidRPr="0023229F">
        <w:rPr>
          <w:lang w:val="en-GB" w:eastAsia="en-GB"/>
        </w:rPr>
        <w:t xml:space="preserve"> and the identified first three frequencies of the building</w:t>
      </w:r>
      <w:r>
        <w:rPr>
          <w:lang w:val="en-GB" w:eastAsia="en-GB"/>
        </w:rPr>
        <w:t xml:space="preserve"> </w:t>
      </w:r>
      <w:r w:rsidR="00D97D0B">
        <w:rPr>
          <w:lang w:val="en-GB" w:eastAsia="en-GB"/>
        </w:rPr>
        <w:t>will be</w:t>
      </w:r>
      <w:r w:rsidR="00D97D0B" w:rsidRPr="0023229F">
        <w:rPr>
          <w:lang w:val="en-GB" w:eastAsia="en-GB"/>
        </w:rPr>
        <w:t xml:space="preserve"> investigated</w:t>
      </w:r>
      <w:r w:rsidR="00D97D0B">
        <w:rPr>
          <w:lang w:val="en-GB" w:eastAsia="en-GB"/>
        </w:rPr>
        <w:t xml:space="preserve"> </w:t>
      </w:r>
      <w:r>
        <w:rPr>
          <w:lang w:val="en-GB" w:eastAsia="en-GB"/>
        </w:rPr>
        <w:t xml:space="preserve">using nine </w:t>
      </w:r>
      <w:r w:rsidR="003E2ACB">
        <w:rPr>
          <w:lang w:val="en-GB" w:eastAsia="en-GB"/>
        </w:rPr>
        <w:t xml:space="preserve">recorded </w:t>
      </w:r>
      <w:r w:rsidR="00D97D0B">
        <w:rPr>
          <w:lang w:val="en-GB" w:eastAsia="en-GB"/>
        </w:rPr>
        <w:t xml:space="preserve">seismic </w:t>
      </w:r>
      <w:r>
        <w:rPr>
          <w:lang w:val="en-GB" w:eastAsia="en-GB"/>
        </w:rPr>
        <w:t>events</w:t>
      </w:r>
      <w:r w:rsidR="003E2ACB">
        <w:rPr>
          <w:lang w:val="en-GB" w:eastAsia="en-GB"/>
        </w:rPr>
        <w:t>. This paper will</w:t>
      </w:r>
      <w:r w:rsidRPr="0023229F">
        <w:rPr>
          <w:lang w:val="en-GB" w:eastAsia="en-GB"/>
        </w:rPr>
        <w:t xml:space="preserve"> thus </w:t>
      </w:r>
      <w:r w:rsidR="003E2ACB">
        <w:rPr>
          <w:lang w:val="en-GB" w:eastAsia="en-GB"/>
        </w:rPr>
        <w:t xml:space="preserve">firstly </w:t>
      </w:r>
      <w:r w:rsidR="00A01881">
        <w:rPr>
          <w:lang w:val="en-GB" w:eastAsia="en-GB"/>
        </w:rPr>
        <w:t>describe</w:t>
      </w:r>
      <w:r w:rsidR="003E2ACB">
        <w:rPr>
          <w:lang w:val="en-GB" w:eastAsia="en-GB"/>
        </w:rPr>
        <w:t xml:space="preserve"> the building and sensor array,</w:t>
      </w:r>
      <w:r w:rsidRPr="0023229F">
        <w:rPr>
          <w:lang w:val="en-GB" w:eastAsia="en-GB"/>
        </w:rPr>
        <w:t xml:space="preserve"> </w:t>
      </w:r>
      <w:r w:rsidR="003E2ACB">
        <w:rPr>
          <w:lang w:val="en-GB" w:eastAsia="en-GB"/>
        </w:rPr>
        <w:t xml:space="preserve">secondly </w:t>
      </w:r>
      <w:r w:rsidR="000477C0">
        <w:rPr>
          <w:lang w:val="en-GB" w:eastAsia="en-GB"/>
        </w:rPr>
        <w:t xml:space="preserve">the methodology detailing the N4SID system identification technique with a </w:t>
      </w:r>
      <w:r w:rsidR="00265718">
        <w:rPr>
          <w:lang w:val="en-GB" w:eastAsia="en-GB"/>
        </w:rPr>
        <w:t xml:space="preserve">simple </w:t>
      </w:r>
      <w:r w:rsidR="000477C0">
        <w:rPr>
          <w:lang w:val="en-GB" w:eastAsia="en-GB"/>
        </w:rPr>
        <w:t>model to evaluate the SSI using system identification</w:t>
      </w:r>
      <w:r w:rsidR="00A01881">
        <w:rPr>
          <w:lang w:val="en-GB" w:eastAsia="en-GB"/>
        </w:rPr>
        <w:t>,</w:t>
      </w:r>
      <w:r w:rsidR="00265718">
        <w:rPr>
          <w:lang w:val="en-GB" w:eastAsia="en-GB"/>
        </w:rPr>
        <w:t xml:space="preserve"> and </w:t>
      </w:r>
      <w:r w:rsidR="00265718">
        <w:rPr>
          <w:lang w:val="en-GB" w:eastAsia="en-GB"/>
        </w:rPr>
        <w:lastRenderedPageBreak/>
        <w:t xml:space="preserve">finally </w:t>
      </w:r>
      <w:r w:rsidR="00A01881">
        <w:rPr>
          <w:lang w:val="en-GB" w:eastAsia="en-GB"/>
        </w:rPr>
        <w:t xml:space="preserve">the </w:t>
      </w:r>
      <w:r w:rsidR="00265718">
        <w:rPr>
          <w:lang w:val="en-GB" w:eastAsia="en-GB"/>
        </w:rPr>
        <w:t>analysis of the seismic response of the building describing</w:t>
      </w:r>
      <w:r w:rsidR="000477C0">
        <w:rPr>
          <w:lang w:val="en-GB" w:eastAsia="en-GB"/>
        </w:rPr>
        <w:t xml:space="preserve"> </w:t>
      </w:r>
      <w:r w:rsidRPr="0023229F">
        <w:rPr>
          <w:lang w:val="en-GB" w:eastAsia="en-GB"/>
        </w:rPr>
        <w:t>selection of earthquak</w:t>
      </w:r>
      <w:r>
        <w:rPr>
          <w:lang w:val="en-GB" w:eastAsia="en-GB"/>
        </w:rPr>
        <w:t xml:space="preserve">es, modal system identification </w:t>
      </w:r>
      <w:r w:rsidR="00A01881">
        <w:rPr>
          <w:lang w:val="en-GB" w:eastAsia="en-GB"/>
        </w:rPr>
        <w:t xml:space="preserve">results </w:t>
      </w:r>
      <w:r>
        <w:rPr>
          <w:lang w:val="en-GB" w:eastAsia="en-GB"/>
        </w:rPr>
        <w:t>and</w:t>
      </w:r>
      <w:r w:rsidRPr="0023229F">
        <w:rPr>
          <w:lang w:val="en-GB" w:eastAsia="en-GB"/>
        </w:rPr>
        <w:t xml:space="preserve"> </w:t>
      </w:r>
      <w:r w:rsidR="003E2ACB">
        <w:rPr>
          <w:lang w:val="en-GB" w:eastAsia="en-GB"/>
        </w:rPr>
        <w:t xml:space="preserve">the </w:t>
      </w:r>
      <w:r w:rsidRPr="0023229F">
        <w:rPr>
          <w:lang w:val="en-GB" w:eastAsia="en-GB"/>
        </w:rPr>
        <w:t>evaluati</w:t>
      </w:r>
      <w:r w:rsidR="003E2ACB">
        <w:rPr>
          <w:lang w:val="en-GB" w:eastAsia="en-GB"/>
        </w:rPr>
        <w:t>o</w:t>
      </w:r>
      <w:r w:rsidRPr="0023229F">
        <w:rPr>
          <w:lang w:val="en-GB" w:eastAsia="en-GB"/>
        </w:rPr>
        <w:t>n</w:t>
      </w:r>
      <w:r w:rsidR="003E2ACB">
        <w:rPr>
          <w:lang w:val="en-GB" w:eastAsia="en-GB"/>
        </w:rPr>
        <w:t xml:space="preserve"> of</w:t>
      </w:r>
      <w:r w:rsidRPr="0023229F">
        <w:rPr>
          <w:lang w:val="en-GB" w:eastAsia="en-GB"/>
        </w:rPr>
        <w:t xml:space="preserve"> the difference in the behaviour of </w:t>
      </w:r>
      <w:r w:rsidR="00A01881">
        <w:rPr>
          <w:lang w:val="en-GB" w:eastAsia="en-GB"/>
        </w:rPr>
        <w:t xml:space="preserve">the </w:t>
      </w:r>
      <w:r w:rsidRPr="0023229F">
        <w:rPr>
          <w:lang w:val="en-GB" w:eastAsia="en-GB"/>
        </w:rPr>
        <w:t xml:space="preserve">building </w:t>
      </w:r>
      <w:r>
        <w:rPr>
          <w:lang w:val="en-GB" w:eastAsia="en-GB"/>
        </w:rPr>
        <w:t>before and after the strong events</w:t>
      </w:r>
      <w:r w:rsidRPr="0023229F">
        <w:rPr>
          <w:lang w:val="en-GB" w:eastAsia="en-GB"/>
        </w:rPr>
        <w:t xml:space="preserve"> </w:t>
      </w:r>
      <w:r>
        <w:rPr>
          <w:lang w:val="en-GB" w:eastAsia="en-GB"/>
        </w:rPr>
        <w:t>including</w:t>
      </w:r>
      <w:r w:rsidRPr="0023229F">
        <w:rPr>
          <w:lang w:val="en-GB" w:eastAsia="en-GB"/>
        </w:rPr>
        <w:t xml:space="preserve"> effects of SSI.</w:t>
      </w:r>
    </w:p>
    <w:p w:rsidR="00B050E3" w:rsidRDefault="00A01881" w:rsidP="00B050E3">
      <w:pPr>
        <w:pStyle w:val="Heading1"/>
      </w:pPr>
      <w:r>
        <w:t xml:space="preserve">description OF THE </w:t>
      </w:r>
      <w:r w:rsidR="00B050E3">
        <w:t>Building and sensor array</w:t>
      </w:r>
    </w:p>
    <w:p w:rsidR="00B050E3" w:rsidRDefault="00E675A6" w:rsidP="00B050E3">
      <w:r>
        <w:t xml:space="preserve">The building studied is an eight storey RC building made up of </w:t>
      </w:r>
      <w:r w:rsidRPr="001342EA">
        <w:rPr>
          <w:color w:val="000000" w:themeColor="text1"/>
        </w:rPr>
        <w:t>2</w:t>
      </w:r>
      <w:r w:rsidR="001342EA">
        <w:rPr>
          <w:color w:val="000000" w:themeColor="text1"/>
        </w:rPr>
        <w:t>1</w:t>
      </w:r>
      <w:r>
        <w:t xml:space="preserve"> moment resisting frames </w:t>
      </w:r>
      <w:r w:rsidR="00CE70BE">
        <w:t>positioned</w:t>
      </w:r>
      <w:r>
        <w:t xml:space="preserve"> at 2.74m centres along the longitudinal axis of the building as shown in Figure </w:t>
      </w:r>
      <w:r w:rsidR="0097057B">
        <w:t>1</w:t>
      </w:r>
      <w:r>
        <w:t>. In addition to the frames the building is stiffened with three shear walls standing near both ends and in the middle along the length</w:t>
      </w:r>
      <w:r w:rsidR="00196C3B">
        <w:t xml:space="preserve"> of the building</w:t>
      </w:r>
      <w:r>
        <w:t>.</w:t>
      </w:r>
      <w:r w:rsidR="00AD68C8">
        <w:t xml:space="preserve"> </w:t>
      </w:r>
      <w:r w:rsidR="003E5F33">
        <w:t>The building is 58.8m long and 14.9m wide with</w:t>
      </w:r>
      <w:r w:rsidR="00AD68C8">
        <w:t xml:space="preserve"> inter-storey height </w:t>
      </w:r>
      <w:r w:rsidR="003E5F33">
        <w:t>of</w:t>
      </w:r>
      <w:r w:rsidR="00AD68C8">
        <w:t xml:space="preserve"> 4.32m</w:t>
      </w:r>
      <w:r w:rsidR="00506C7F">
        <w:t xml:space="preserve"> and t</w:t>
      </w:r>
      <w:r w:rsidR="003E5F33">
        <w:t xml:space="preserve">he foundation system consists of </w:t>
      </w:r>
      <w:r w:rsidR="00AD68C8">
        <w:t>shallow pad type footings.</w:t>
      </w:r>
      <w:r w:rsidR="003E5F33">
        <w:t xml:space="preserve"> </w:t>
      </w:r>
    </w:p>
    <w:p w:rsidR="003E5F33" w:rsidRDefault="003E5F33" w:rsidP="00B050E3">
      <w:r>
        <w:t>Th</w:t>
      </w:r>
      <w:r w:rsidR="00506C7F">
        <w:t>is</w:t>
      </w:r>
      <w:r>
        <w:t xml:space="preserve"> building was instrumented in 2006 and </w:t>
      </w:r>
      <w:r w:rsidRPr="0075514E">
        <w:rPr>
          <w:color w:val="000000" w:themeColor="text1"/>
        </w:rPr>
        <w:t>1</w:t>
      </w:r>
      <w:r w:rsidR="0075514E" w:rsidRPr="0075514E">
        <w:rPr>
          <w:color w:val="000000" w:themeColor="text1"/>
        </w:rPr>
        <w:t>0</w:t>
      </w:r>
      <w:r>
        <w:t xml:space="preserve"> sensors were installed at different floors and ground levels</w:t>
      </w:r>
      <w:r w:rsidR="00404E37">
        <w:t xml:space="preserve"> as shown in Figure 2</w:t>
      </w:r>
      <w:r>
        <w:t xml:space="preserve">. Initially, three tri-axial and one vertical sensor at </w:t>
      </w:r>
      <w:r w:rsidR="00CE70BE">
        <w:t xml:space="preserve">the </w:t>
      </w:r>
      <w:r>
        <w:t>ground level, two sensors (one vertical and the other bi-axial) at level 4, two bi-axial sensors at level 7 and two vertical senso</w:t>
      </w:r>
      <w:r w:rsidR="00404E37">
        <w:t>rs at level 8 were installed. Later on</w:t>
      </w:r>
      <w:r w:rsidR="00CE70BE">
        <w:t>,</w:t>
      </w:r>
      <w:r w:rsidR="00404E37">
        <w:t xml:space="preserve"> this sensor array was upgraded and all the vertical and biaxial sensors were replaced by tri-axial sensors except sensor 24 and 28 at </w:t>
      </w:r>
      <w:r w:rsidR="00CE70BE">
        <w:t xml:space="preserve">the </w:t>
      </w:r>
      <w:r w:rsidR="00404E37">
        <w:t>ground level and level 7 respectively.</w:t>
      </w:r>
      <w:r w:rsidR="001B6322">
        <w:t xml:space="preserve"> This building does not have a free-field sensor.</w:t>
      </w:r>
    </w:p>
    <w:p w:rsidR="00501723" w:rsidRDefault="00C03668" w:rsidP="00501723">
      <w:pPr>
        <w:jc w:val="center"/>
      </w:pPr>
      <w:r>
        <w:rPr>
          <w:noProof/>
          <w:lang w:eastAsia="en-NZ"/>
        </w:rPr>
        <w:drawing>
          <wp:inline distT="0" distB="0" distL="0" distR="0">
            <wp:extent cx="3317966" cy="121877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CP_plan_sketch_1.tif"/>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330575" cy="1223403"/>
                    </a:xfrm>
                    <a:prstGeom prst="rect">
                      <a:avLst/>
                    </a:prstGeom>
                  </pic:spPr>
                </pic:pic>
              </a:graphicData>
            </a:graphic>
          </wp:inline>
        </w:drawing>
      </w:r>
    </w:p>
    <w:p w:rsidR="00501723" w:rsidRPr="00501723" w:rsidRDefault="00501723" w:rsidP="00501723">
      <w:pPr>
        <w:spacing w:line="220" w:lineRule="atLeast"/>
        <w:jc w:val="center"/>
        <w:rPr>
          <w:sz w:val="20"/>
        </w:rPr>
      </w:pPr>
      <w:r w:rsidRPr="00501723">
        <w:rPr>
          <w:sz w:val="20"/>
        </w:rPr>
        <w:t xml:space="preserve">Figure 1. </w:t>
      </w:r>
      <w:r w:rsidR="006276C9">
        <w:rPr>
          <w:sz w:val="20"/>
        </w:rPr>
        <w:t xml:space="preserve">Sketch of </w:t>
      </w:r>
      <w:r w:rsidR="00D77DE5">
        <w:rPr>
          <w:sz w:val="20"/>
        </w:rPr>
        <w:t xml:space="preserve">typical </w:t>
      </w:r>
      <w:r w:rsidR="006276C9">
        <w:rPr>
          <w:sz w:val="20"/>
        </w:rPr>
        <w:t>f</w:t>
      </w:r>
      <w:r w:rsidRPr="00501723">
        <w:rPr>
          <w:sz w:val="20"/>
        </w:rPr>
        <w:t>loor plan of the building showing location of shear walls</w:t>
      </w:r>
    </w:p>
    <w:p w:rsidR="00501723" w:rsidRDefault="00501723" w:rsidP="006276C9">
      <w:pPr>
        <w:spacing w:before="240"/>
        <w:jc w:val="center"/>
      </w:pPr>
      <w:r>
        <w:rPr>
          <w:noProof/>
          <w:lang w:eastAsia="en-NZ"/>
        </w:rPr>
        <w:drawing>
          <wp:inline distT="0" distB="0" distL="0" distR="0">
            <wp:extent cx="4432663" cy="2237590"/>
            <wp:effectExtent l="19050" t="0" r="5987"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CP_sensor_array_1.tif"/>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450411" cy="2246549"/>
                    </a:xfrm>
                    <a:prstGeom prst="rect">
                      <a:avLst/>
                    </a:prstGeom>
                  </pic:spPr>
                </pic:pic>
              </a:graphicData>
            </a:graphic>
          </wp:inline>
        </w:drawing>
      </w:r>
    </w:p>
    <w:p w:rsidR="00501723" w:rsidRDefault="00501723" w:rsidP="00501723">
      <w:pPr>
        <w:spacing w:line="220" w:lineRule="atLeast"/>
        <w:jc w:val="center"/>
        <w:rPr>
          <w:sz w:val="20"/>
        </w:rPr>
      </w:pPr>
      <w:r w:rsidRPr="00501723">
        <w:rPr>
          <w:sz w:val="20"/>
        </w:rPr>
        <w:t>Figure 2. Location of sensors within the building</w:t>
      </w:r>
    </w:p>
    <w:p w:rsidR="00B050E3" w:rsidRDefault="00B050E3" w:rsidP="00B050E3">
      <w:pPr>
        <w:pStyle w:val="Heading1"/>
      </w:pPr>
      <w:r>
        <w:t>Methodology</w:t>
      </w:r>
    </w:p>
    <w:p w:rsidR="00B050E3" w:rsidRPr="00AA1F4E" w:rsidRDefault="00B050E3" w:rsidP="007F6A93">
      <w:pPr>
        <w:pStyle w:val="Heading2"/>
      </w:pPr>
      <w:r w:rsidRPr="00AA1F4E">
        <w:t xml:space="preserve">N4SID system </w:t>
      </w:r>
      <w:r w:rsidRPr="007F6A93">
        <w:t>identification</w:t>
      </w:r>
      <w:r w:rsidRPr="00AA1F4E">
        <w:t xml:space="preserve"> technique</w:t>
      </w:r>
    </w:p>
    <w:p w:rsidR="00272753" w:rsidRDefault="00272753" w:rsidP="00272753">
      <w:r>
        <w:t xml:space="preserve">This section provides a brief explanation of the N4SID system identification technique. Full details of the technique can be found in Van Overschee </w:t>
      </w:r>
      <w:r w:rsidR="004A13B2">
        <w:t>and</w:t>
      </w:r>
      <w:r>
        <w:t xml:space="preserve"> De Moor </w:t>
      </w:r>
      <w:r w:rsidR="00384B97">
        <w:fldChar w:fldCharType="begin"/>
      </w:r>
      <w:r>
        <w:instrText xml:space="preserve"> ADDIN EN.CITE &lt;EndNote&gt;&lt;Cite ExcludeAuth="1"&gt;&lt;Author&gt;Van Overschee&lt;/Author&gt;&lt;Year&gt;1996&lt;/Year&gt;&lt;RecNum&gt;589&lt;/RecNum&gt;&lt;DisplayText&gt;(1996)&lt;/DisplayText&gt;&lt;record&gt;&lt;rec-number&gt;589&lt;/rec-number&gt;&lt;foreign-keys&gt;&lt;key app="EN" db-id="svxfdfstlxwz04eep2cx5sdbv5p5esfxvdtd"&gt;589&lt;/key&gt;&lt;/foreign-keys&gt;&lt;ref-type name="Book"&gt;6&lt;/ref-type&gt;&lt;contributors&gt;&lt;authors&gt;&lt;author&gt;Van Overschee, P.&lt;/author&gt;&lt;author&gt;De Moor, B.&lt;/author&gt;&lt;/authors&gt;&lt;/contributors&gt;&lt;titles&gt;&lt;title&gt;Subspace identification for linear systems&lt;/title&gt;&lt;/titles&gt;&lt;dates&gt;&lt;year&gt;1996&lt;/year&gt;&lt;/dates&gt;&lt;pub-location&gt;Dordrecht, Netherlands&lt;/pub-location&gt;&lt;publisher&gt;Kluwer Academic Publishers&lt;/publisher&gt;&lt;urls&gt;&lt;/urls&gt;&lt;/record&gt;&lt;/Cite&gt;&lt;/EndNote&gt;</w:instrText>
      </w:r>
      <w:r w:rsidR="00384B97">
        <w:fldChar w:fldCharType="separate"/>
      </w:r>
      <w:r>
        <w:rPr>
          <w:noProof/>
        </w:rPr>
        <w:t>(</w:t>
      </w:r>
      <w:hyperlink w:anchor="_ENREF_20" w:tooltip="Van Overschee, 1996 #589" w:history="1">
        <w:r>
          <w:rPr>
            <w:noProof/>
          </w:rPr>
          <w:t>1996</w:t>
        </w:r>
      </w:hyperlink>
      <w:r>
        <w:rPr>
          <w:noProof/>
        </w:rPr>
        <w:t>)</w:t>
      </w:r>
      <w:r w:rsidR="00384B97">
        <w:fldChar w:fldCharType="end"/>
      </w:r>
      <w:r w:rsidRPr="00C41C12">
        <w:t>.</w:t>
      </w:r>
      <w:r>
        <w:t xml:space="preserve"> </w:t>
      </w:r>
      <w:r w:rsidRPr="00C41C12">
        <w:t>After sampling of a continuous time state space model, the discrete time state space model can be written as:</w:t>
      </w:r>
    </w:p>
    <w:p w:rsidR="00272753" w:rsidRPr="00272753" w:rsidRDefault="00384B97" w:rsidP="00272753">
      <w:pPr>
        <w:ind w:left="624"/>
      </w:pPr>
      <m:oMath>
        <m:sSub>
          <m:sSubPr>
            <m:ctrlPr>
              <w:rPr>
                <w:rFonts w:ascii="Cambria Math" w:hAnsi="Cambria Math"/>
                <w:i/>
                <w:sz w:val="20"/>
              </w:rPr>
            </m:ctrlPr>
          </m:sSubPr>
          <m:e>
            <m:r>
              <m:rPr>
                <m:sty m:val="bi"/>
              </m:rPr>
              <w:rPr>
                <w:rFonts w:ascii="Cambria Math" w:hAnsi="Cambria Math"/>
                <w:sz w:val="20"/>
              </w:rPr>
              <m:t>x</m:t>
            </m:r>
          </m:e>
          <m:sub>
            <m:r>
              <w:rPr>
                <w:rFonts w:ascii="Cambria Math" w:hAnsi="Cambria Math"/>
                <w:sz w:val="20"/>
              </w:rPr>
              <m:t>k+1</m:t>
            </m:r>
          </m:sub>
        </m:sSub>
        <m:r>
          <m:rPr>
            <m:sty m:val="p"/>
          </m:rPr>
          <w:rPr>
            <w:rFonts w:ascii="Cambria Math" w:hAnsi="Cambria Math"/>
            <w:sz w:val="20"/>
          </w:rPr>
          <m:t>=</m:t>
        </m:r>
        <m:r>
          <m:rPr>
            <m:sty m:val="bi"/>
          </m:rPr>
          <w:rPr>
            <w:rFonts w:ascii="Cambria Math" w:hAnsi="Cambria Math"/>
            <w:sz w:val="20"/>
          </w:rPr>
          <m:t>A</m:t>
        </m:r>
        <m:sSub>
          <m:sSubPr>
            <m:ctrlPr>
              <w:rPr>
                <w:rFonts w:ascii="Cambria Math" w:hAnsi="Cambria Math"/>
                <w:sz w:val="20"/>
              </w:rPr>
            </m:ctrlPr>
          </m:sSubPr>
          <m:e>
            <m:r>
              <m:rPr>
                <m:sty m:val="bi"/>
              </m:rPr>
              <w:rPr>
                <w:rFonts w:ascii="Cambria Math" w:hAnsi="Cambria Math"/>
                <w:sz w:val="20"/>
              </w:rPr>
              <m:t>x</m:t>
            </m:r>
          </m:e>
          <m:sub>
            <m:r>
              <w:rPr>
                <w:rFonts w:ascii="Cambria Math" w:hAnsi="Cambria Math"/>
                <w:sz w:val="20"/>
              </w:rPr>
              <m:t>k</m:t>
            </m:r>
          </m:sub>
        </m:sSub>
        <m:r>
          <m:rPr>
            <m:sty m:val="p"/>
          </m:rPr>
          <w:rPr>
            <w:rFonts w:ascii="Cambria Math" w:hAnsi="Cambria Math"/>
            <w:sz w:val="20"/>
          </w:rPr>
          <m:t>+</m:t>
        </m:r>
        <m:r>
          <m:rPr>
            <m:sty m:val="bi"/>
          </m:rPr>
          <w:rPr>
            <w:rFonts w:ascii="Cambria Math" w:hAnsi="Cambria Math"/>
            <w:sz w:val="20"/>
          </w:rPr>
          <m:t>B</m:t>
        </m:r>
        <m:sSub>
          <m:sSubPr>
            <m:ctrlPr>
              <w:rPr>
                <w:rFonts w:ascii="Cambria Math" w:hAnsi="Cambria Math"/>
                <w:sz w:val="20"/>
              </w:rPr>
            </m:ctrlPr>
          </m:sSubPr>
          <m:e>
            <m:r>
              <m:rPr>
                <m:sty m:val="bi"/>
              </m:rPr>
              <w:rPr>
                <w:rFonts w:ascii="Cambria Math" w:hAnsi="Cambria Math"/>
                <w:sz w:val="20"/>
              </w:rPr>
              <m:t>u</m:t>
            </m:r>
          </m:e>
          <m:sub>
            <m:r>
              <w:rPr>
                <w:rFonts w:ascii="Cambria Math" w:hAnsi="Cambria Math"/>
                <w:sz w:val="20"/>
              </w:rPr>
              <m:t>k</m:t>
            </m:r>
          </m:sub>
        </m:sSub>
        <m:r>
          <m:rPr>
            <m:sty m:val="p"/>
          </m:rPr>
          <w:rPr>
            <w:rFonts w:ascii="Cambria Math" w:hAnsi="Cambria Math"/>
            <w:sz w:val="20"/>
          </w:rPr>
          <m:t>+</m:t>
        </m:r>
        <m:sSub>
          <m:sSubPr>
            <m:ctrlPr>
              <w:rPr>
                <w:rFonts w:ascii="Cambria Math" w:hAnsi="Cambria Math"/>
                <w:sz w:val="20"/>
              </w:rPr>
            </m:ctrlPr>
          </m:sSubPr>
          <m:e>
            <m:r>
              <m:rPr>
                <m:sty m:val="bi"/>
              </m:rPr>
              <w:rPr>
                <w:rFonts w:ascii="Cambria Math" w:hAnsi="Cambria Math"/>
                <w:sz w:val="20"/>
              </w:rPr>
              <m:t>w</m:t>
            </m:r>
          </m:e>
          <m:sub>
            <m:r>
              <w:rPr>
                <w:rFonts w:ascii="Cambria Math" w:hAnsi="Cambria Math"/>
                <w:sz w:val="20"/>
              </w:rPr>
              <m:t>k</m:t>
            </m:r>
          </m:sub>
        </m:sSub>
      </m:oMath>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t>(1)</w:t>
      </w:r>
    </w:p>
    <w:p w:rsidR="00272753" w:rsidRPr="00272753" w:rsidRDefault="00384B97" w:rsidP="00272753">
      <w:pPr>
        <w:ind w:left="624"/>
      </w:pPr>
      <m:oMath>
        <m:sSub>
          <m:sSubPr>
            <m:ctrlPr>
              <w:rPr>
                <w:rFonts w:ascii="Cambria Math" w:hAnsi="Cambria Math"/>
                <w:sz w:val="20"/>
              </w:rPr>
            </m:ctrlPr>
          </m:sSubPr>
          <m:e>
            <m:r>
              <m:rPr>
                <m:sty m:val="bi"/>
              </m:rPr>
              <w:rPr>
                <w:rFonts w:ascii="Cambria Math" w:hAnsi="Cambria Math"/>
                <w:sz w:val="20"/>
              </w:rPr>
              <m:t>y</m:t>
            </m:r>
          </m:e>
          <m:sub>
            <m:r>
              <w:rPr>
                <w:rFonts w:ascii="Cambria Math" w:hAnsi="Cambria Math"/>
                <w:sz w:val="20"/>
              </w:rPr>
              <m:t>k</m:t>
            </m:r>
          </m:sub>
        </m:sSub>
        <m:r>
          <m:rPr>
            <m:sty m:val="p"/>
          </m:rPr>
          <w:rPr>
            <w:rFonts w:ascii="Cambria Math" w:hAnsi="Cambria Math"/>
            <w:sz w:val="20"/>
          </w:rPr>
          <m:t>=</m:t>
        </m:r>
        <m:r>
          <m:rPr>
            <m:sty m:val="bi"/>
          </m:rPr>
          <w:rPr>
            <w:rFonts w:ascii="Cambria Math" w:hAnsi="Cambria Math"/>
            <w:sz w:val="20"/>
          </w:rPr>
          <m:t>C</m:t>
        </m:r>
        <m:sSub>
          <m:sSubPr>
            <m:ctrlPr>
              <w:rPr>
                <w:rFonts w:ascii="Cambria Math" w:hAnsi="Cambria Math"/>
                <w:sz w:val="20"/>
              </w:rPr>
            </m:ctrlPr>
          </m:sSubPr>
          <m:e>
            <m:r>
              <m:rPr>
                <m:sty m:val="bi"/>
              </m:rPr>
              <w:rPr>
                <w:rFonts w:ascii="Cambria Math" w:hAnsi="Cambria Math"/>
                <w:sz w:val="20"/>
              </w:rPr>
              <m:t>x</m:t>
            </m:r>
          </m:e>
          <m:sub>
            <m:r>
              <w:rPr>
                <w:rFonts w:ascii="Cambria Math" w:hAnsi="Cambria Math"/>
                <w:sz w:val="20"/>
              </w:rPr>
              <m:t>k</m:t>
            </m:r>
          </m:sub>
        </m:sSub>
        <m:r>
          <m:rPr>
            <m:sty m:val="p"/>
          </m:rPr>
          <w:rPr>
            <w:rFonts w:ascii="Cambria Math" w:hAnsi="Cambria Math"/>
            <w:sz w:val="20"/>
          </w:rPr>
          <m:t>+</m:t>
        </m:r>
        <m:r>
          <m:rPr>
            <m:sty m:val="bi"/>
          </m:rPr>
          <w:rPr>
            <w:rFonts w:ascii="Cambria Math" w:hAnsi="Cambria Math"/>
            <w:sz w:val="20"/>
          </w:rPr>
          <m:t>D</m:t>
        </m:r>
        <m:sSub>
          <m:sSubPr>
            <m:ctrlPr>
              <w:rPr>
                <w:rFonts w:ascii="Cambria Math" w:hAnsi="Cambria Math"/>
                <w:sz w:val="20"/>
              </w:rPr>
            </m:ctrlPr>
          </m:sSubPr>
          <m:e>
            <m:r>
              <m:rPr>
                <m:sty m:val="bi"/>
              </m:rPr>
              <w:rPr>
                <w:rFonts w:ascii="Cambria Math" w:hAnsi="Cambria Math"/>
                <w:sz w:val="20"/>
              </w:rPr>
              <m:t>u</m:t>
            </m:r>
          </m:e>
          <m:sub>
            <m:r>
              <w:rPr>
                <w:rFonts w:ascii="Cambria Math" w:hAnsi="Cambria Math"/>
                <w:sz w:val="20"/>
              </w:rPr>
              <m:t>k</m:t>
            </m:r>
          </m:sub>
        </m:sSub>
        <m:r>
          <m:rPr>
            <m:sty m:val="p"/>
          </m:rPr>
          <w:rPr>
            <w:rFonts w:ascii="Cambria Math" w:hAnsi="Cambria Math"/>
            <w:sz w:val="20"/>
          </w:rPr>
          <m:t>+</m:t>
        </m:r>
        <m:sSub>
          <m:sSubPr>
            <m:ctrlPr>
              <w:rPr>
                <w:rFonts w:ascii="Cambria Math" w:hAnsi="Cambria Math"/>
                <w:sz w:val="20"/>
              </w:rPr>
            </m:ctrlPr>
          </m:sSubPr>
          <m:e>
            <m:r>
              <m:rPr>
                <m:sty m:val="bi"/>
              </m:rPr>
              <w:rPr>
                <w:rFonts w:ascii="Cambria Math" w:hAnsi="Cambria Math"/>
                <w:sz w:val="20"/>
              </w:rPr>
              <m:t>v</m:t>
            </m:r>
          </m:e>
          <m:sub>
            <m:r>
              <w:rPr>
                <w:rFonts w:ascii="Cambria Math" w:hAnsi="Cambria Math"/>
                <w:sz w:val="20"/>
              </w:rPr>
              <m:t>k</m:t>
            </m:r>
          </m:sub>
        </m:sSub>
      </m:oMath>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r>
      <w:r w:rsidR="00272753">
        <w:tab/>
        <w:t>(2)</w:t>
      </w:r>
    </w:p>
    <w:p w:rsidR="00AF32CB" w:rsidRDefault="00272753" w:rsidP="00AF32CB">
      <w:r w:rsidRPr="00272753">
        <w:t xml:space="preserve">where </w:t>
      </w:r>
      <w:r w:rsidRPr="00272753">
        <w:rPr>
          <w:b/>
          <w:i/>
        </w:rPr>
        <w:t>A</w:t>
      </w:r>
      <w:r w:rsidRPr="00272753">
        <w:t xml:space="preserve">, </w:t>
      </w:r>
      <w:r w:rsidRPr="00272753">
        <w:rPr>
          <w:b/>
          <w:i/>
        </w:rPr>
        <w:t>B</w:t>
      </w:r>
      <w:r w:rsidRPr="00272753">
        <w:t xml:space="preserve">, </w:t>
      </w:r>
      <w:r w:rsidRPr="00272753">
        <w:rPr>
          <w:b/>
          <w:i/>
        </w:rPr>
        <w:t>C</w:t>
      </w:r>
      <w:r w:rsidRPr="00272753">
        <w:t xml:space="preserve"> and </w:t>
      </w:r>
      <w:r w:rsidRPr="00272753">
        <w:rPr>
          <w:b/>
          <w:i/>
        </w:rPr>
        <w:t>D</w:t>
      </w:r>
      <w:r w:rsidRPr="00272753">
        <w:t xml:space="preserve"> are the discrete time state, input, output and control matrices respectively, whereas </w:t>
      </w:r>
      <w:r w:rsidRPr="00272753">
        <w:rPr>
          <w:b/>
          <w:i/>
        </w:rPr>
        <w:t>x</w:t>
      </w:r>
      <w:r w:rsidRPr="00272753">
        <w:rPr>
          <w:i/>
          <w:vertAlign w:val="subscript"/>
        </w:rPr>
        <w:t>k</w:t>
      </w:r>
      <w:r w:rsidRPr="00272753">
        <w:t xml:space="preserve"> and </w:t>
      </w:r>
      <w:r w:rsidRPr="00272753">
        <w:rPr>
          <w:b/>
          <w:i/>
        </w:rPr>
        <w:t>y</w:t>
      </w:r>
      <w:r w:rsidRPr="00272753">
        <w:rPr>
          <w:i/>
          <w:vertAlign w:val="subscript"/>
        </w:rPr>
        <w:t>k</w:t>
      </w:r>
      <w:r w:rsidRPr="00272753">
        <w:t xml:space="preserve"> are the time state and output vectors</w:t>
      </w:r>
      <w:r w:rsidR="00CE70BE">
        <w:t>,</w:t>
      </w:r>
      <w:r w:rsidRPr="00272753">
        <w:t xml:space="preserve"> and </w:t>
      </w:r>
      <w:r w:rsidRPr="00272753">
        <w:rPr>
          <w:b/>
          <w:i/>
        </w:rPr>
        <w:t>u</w:t>
      </w:r>
      <w:r w:rsidRPr="00272753">
        <w:rPr>
          <w:i/>
          <w:vertAlign w:val="subscript"/>
        </w:rPr>
        <w:t>k</w:t>
      </w:r>
      <w:r w:rsidRPr="00272753">
        <w:t xml:space="preserve"> is the excitation vector, respectively. Vectors </w:t>
      </w:r>
      <w:r w:rsidRPr="00272753">
        <w:rPr>
          <w:b/>
          <w:i/>
        </w:rPr>
        <w:t>w</w:t>
      </w:r>
      <w:r w:rsidRPr="00272753">
        <w:rPr>
          <w:i/>
          <w:vertAlign w:val="subscript"/>
        </w:rPr>
        <w:t>k</w:t>
      </w:r>
      <w:r w:rsidRPr="00272753">
        <w:t xml:space="preserve"> and </w:t>
      </w:r>
      <w:r w:rsidRPr="00272753">
        <w:rPr>
          <w:b/>
          <w:i/>
        </w:rPr>
        <w:t>v</w:t>
      </w:r>
      <w:r w:rsidRPr="00272753">
        <w:rPr>
          <w:i/>
          <w:vertAlign w:val="subscript"/>
        </w:rPr>
        <w:t>k</w:t>
      </w:r>
      <w:r w:rsidRPr="00272753">
        <w:t xml:space="preserve"> are the process and measurement noise, respectively, that are always present in real-life applications. In case of input/output system identification, data from both output </w:t>
      </w:r>
      <w:r w:rsidRPr="00BA266D">
        <w:rPr>
          <w:b/>
          <w:i/>
        </w:rPr>
        <w:t>y</w:t>
      </w:r>
      <w:r w:rsidRPr="00BA266D">
        <w:rPr>
          <w:i/>
          <w:vertAlign w:val="subscript"/>
        </w:rPr>
        <w:t>k</w:t>
      </w:r>
      <w:r w:rsidRPr="00272753">
        <w:t xml:space="preserve"> and input </w:t>
      </w:r>
      <w:r w:rsidRPr="00BA266D">
        <w:rPr>
          <w:b/>
          <w:i/>
        </w:rPr>
        <w:t>u</w:t>
      </w:r>
      <w:r w:rsidRPr="00BA266D">
        <w:rPr>
          <w:i/>
          <w:vertAlign w:val="subscript"/>
        </w:rPr>
        <w:t>k</w:t>
      </w:r>
      <w:r w:rsidRPr="00272753">
        <w:t xml:space="preserve"> are assembled in a block Hankel matrix, which is defined as a gathering of a family of matrices that are created by shifting the data matrices in time. After this, the identification involves two steps. The first step takes projections of certain subspaces calculated from input and output observations (in the block Hankel matrix) to estimate the state sequence of the system. This is usually achieved using singular value decomposition and QR decomposition. In the second step, a least square problem is solved to estimate the system matrices </w:t>
      </w:r>
      <w:r w:rsidRPr="00BA266D">
        <w:rPr>
          <w:b/>
          <w:i/>
        </w:rPr>
        <w:t>A</w:t>
      </w:r>
      <w:r w:rsidRPr="00272753">
        <w:t xml:space="preserve">, </w:t>
      </w:r>
      <w:r w:rsidRPr="00BA266D">
        <w:rPr>
          <w:b/>
          <w:i/>
        </w:rPr>
        <w:t>B</w:t>
      </w:r>
      <w:r w:rsidRPr="00272753">
        <w:t xml:space="preserve">, </w:t>
      </w:r>
      <w:r w:rsidRPr="00BA266D">
        <w:rPr>
          <w:b/>
          <w:i/>
        </w:rPr>
        <w:t>C</w:t>
      </w:r>
      <w:r w:rsidRPr="00272753">
        <w:t xml:space="preserve"> and </w:t>
      </w:r>
      <w:r w:rsidRPr="00BA266D">
        <w:rPr>
          <w:b/>
          <w:i/>
        </w:rPr>
        <w:t>D</w:t>
      </w:r>
      <w:r w:rsidRPr="00272753">
        <w:t xml:space="preserve">. Then modal parameters, i.e. natural frequencies, damping ratios and mode shapes, are found by eigenvalue decomposition of the system matrix </w:t>
      </w:r>
      <w:r w:rsidRPr="00BA266D">
        <w:rPr>
          <w:b/>
          <w:i/>
        </w:rPr>
        <w:t>A</w:t>
      </w:r>
      <w:r w:rsidRPr="00272753">
        <w:t>.</w:t>
      </w:r>
      <w:r w:rsidR="006D18A9">
        <w:t xml:space="preserve"> </w:t>
      </w:r>
      <w:r w:rsidR="00AF32CB" w:rsidRPr="00600707">
        <w:t xml:space="preserve">The analyst, however, has to determine a proper system order. The approach based on observing trends of the estimated modal parameters in the </w:t>
      </w:r>
      <w:r w:rsidR="00BD7A7F">
        <w:t>s</w:t>
      </w:r>
      <w:r w:rsidR="00AF32CB" w:rsidRPr="00600707">
        <w:t>o</w:t>
      </w:r>
      <w:r w:rsidR="00AF32CB">
        <w:t>-</w:t>
      </w:r>
      <w:r w:rsidR="00AF32CB" w:rsidRPr="00600707">
        <w:t>called stabilization chart</w:t>
      </w:r>
      <w:r w:rsidR="00AF32CB">
        <w:t>s</w:t>
      </w:r>
      <w:r w:rsidR="00AF32CB" w:rsidRPr="00600707">
        <w:t xml:space="preserve"> </w:t>
      </w:r>
      <w:r w:rsidR="00D77DE5">
        <w:t xml:space="preserve">(Figure 3) </w:t>
      </w:r>
      <w:r w:rsidR="00AF32CB" w:rsidRPr="00600707">
        <w:t>is often used: a range of system orders is tried and modal parameters which repeat themselves across that range are accepted as correct results. Stability tolerances are chosen based on the relative</w:t>
      </w:r>
      <w:r w:rsidR="00AF32CB" w:rsidRPr="00C41C12">
        <w:t xml:space="preserve"> change in the modal properties</w:t>
      </w:r>
      <w:r w:rsidR="00AF32CB">
        <w:t>, i.e. modal frequencies, damping ratios and mode shapes,</w:t>
      </w:r>
      <w:r w:rsidR="00AF32CB" w:rsidRPr="00C41C12">
        <w:t xml:space="preserve"> of a given mode as the system order increases. For mode shapes stability, model assurance criterion (MAC) between the mode shapes of the present and previous orders w</w:t>
      </w:r>
      <w:r w:rsidR="00AF32CB">
        <w:t>ere examined</w:t>
      </w:r>
      <w:r w:rsidR="00AF32CB" w:rsidRPr="00C41C12">
        <w:t xml:space="preserve">. MAC is an index that determines the similarity between two mode shapes. For modes </w:t>
      </w:r>
      <m:oMath>
        <m:sSub>
          <m:sSubPr>
            <m:ctrlPr>
              <w:rPr>
                <w:rFonts w:ascii="Cambria Math" w:hAnsi="Cambria Math"/>
                <w:i/>
              </w:rPr>
            </m:ctrlPr>
          </m:sSubPr>
          <m:e>
            <m:r>
              <m:rPr>
                <m:sty m:val="bi"/>
              </m:rPr>
              <w:rPr>
                <w:rFonts w:ascii="Cambria Math" w:hAnsi="Cambria Math"/>
              </w:rPr>
              <m:t>ϕ</m:t>
            </m:r>
          </m:e>
          <m:sub>
            <m:r>
              <w:rPr>
                <w:rFonts w:ascii="Cambria Math" w:hAnsi="Cambria Math"/>
              </w:rPr>
              <m:t>i</m:t>
            </m:r>
          </m:sub>
        </m:sSub>
        <m:r>
          <w:rPr>
            <w:rFonts w:ascii="Cambria Math" w:hAnsi="Cambria Math"/>
          </w:rPr>
          <m:t xml:space="preserve"> </m:t>
        </m:r>
      </m:oMath>
      <w:r w:rsidR="00AF32CB" w:rsidRPr="00C41C12">
        <w:t xml:space="preserve">and </w:t>
      </w:r>
      <m:oMath>
        <m:sSub>
          <m:sSubPr>
            <m:ctrlPr>
              <w:rPr>
                <w:rFonts w:ascii="Cambria Math" w:hAnsi="Cambria Math"/>
                <w:i/>
              </w:rPr>
            </m:ctrlPr>
          </m:sSubPr>
          <m:e>
            <m:r>
              <m:rPr>
                <m:sty m:val="bi"/>
              </m:rPr>
              <w:rPr>
                <w:rFonts w:ascii="Cambria Math" w:hAnsi="Cambria Math"/>
              </w:rPr>
              <m:t>ϕ</m:t>
            </m:r>
          </m:e>
          <m:sub>
            <m:r>
              <w:rPr>
                <w:rFonts w:ascii="Cambria Math" w:hAnsi="Cambria Math"/>
              </w:rPr>
              <m:t>j</m:t>
            </m:r>
          </m:sub>
        </m:sSub>
      </m:oMath>
      <w:r w:rsidR="00AF32CB">
        <w:t xml:space="preserve">, </w:t>
      </w:r>
      <w:r w:rsidR="00AF32CB" w:rsidRPr="00C41C12">
        <w:t>the MAC is defined as</w:t>
      </w:r>
      <w:r w:rsidR="00AF32CB">
        <w:t xml:space="preserve"> </w:t>
      </w:r>
      <w:r w:rsidR="00384B97">
        <w:fldChar w:fldCharType="begin"/>
      </w:r>
      <w:r w:rsidR="00AF32CB">
        <w:instrText xml:space="preserve"> ADDIN EN.CITE &lt;EndNote&gt;&lt;Cite&gt;&lt;Author&gt;Ewins&lt;/Author&gt;&lt;Year&gt;2000&lt;/Year&gt;&lt;RecNum&gt;427&lt;/RecNum&gt;&lt;DisplayText&gt;(Ewins 2000)&lt;/DisplayText&gt;&lt;record&gt;&lt;rec-number&gt;427&lt;/rec-number&gt;&lt;foreign-keys&gt;&lt;key app="EN" db-id="rpp9p200avffp3e0f9oxzrzytx0farsazdp9"&gt;427&lt;/key&gt;&lt;/foreign-keys&gt;&lt;ref-type name="Book"&gt;6&lt;/ref-type&gt;&lt;contributors&gt;&lt;authors&gt;&lt;author&gt;Ewins, D. J.&lt;/author&gt;&lt;/authors&gt;&lt;/contributors&gt;&lt;titles&gt;&lt;title&gt;Modal Testing: Theory, Practice and Application&lt;/title&gt;&lt;/titles&gt;&lt;dates&gt;&lt;year&gt;2000&lt;/year&gt;&lt;/dates&gt;&lt;pub-location&gt;Baldock, Hertfordshire, UK.&lt;/pub-location&gt;&lt;publisher&gt;Research Studies Press Ltd.&lt;/publisher&gt;&lt;urls&gt;&lt;/urls&gt;&lt;/record&gt;&lt;/Cite&gt;&lt;/EndNote&gt;</w:instrText>
      </w:r>
      <w:r w:rsidR="00384B97">
        <w:fldChar w:fldCharType="separate"/>
      </w:r>
      <w:r w:rsidR="00AF32CB">
        <w:rPr>
          <w:noProof/>
        </w:rPr>
        <w:t>(</w:t>
      </w:r>
      <w:hyperlink w:anchor="_ENREF_6" w:tooltip="Ewins, 2000 #427" w:history="1">
        <w:r w:rsidR="00AF32CB">
          <w:rPr>
            <w:noProof/>
          </w:rPr>
          <w:t>Ewins 2000</w:t>
        </w:r>
      </w:hyperlink>
      <w:r w:rsidR="00AF32CB">
        <w:rPr>
          <w:noProof/>
        </w:rPr>
        <w:t>)</w:t>
      </w:r>
      <w:r w:rsidR="00384B97">
        <w:fldChar w:fldCharType="end"/>
      </w:r>
      <w:r w:rsidR="00AF32CB" w:rsidRPr="00C41C12">
        <w:t>:</w:t>
      </w:r>
    </w:p>
    <w:p w:rsidR="00AF32CB" w:rsidRDefault="00AF32CB" w:rsidP="00AF32CB">
      <w:pPr>
        <w:ind w:left="624"/>
        <w:rPr>
          <w:sz w:val="20"/>
        </w:rPr>
      </w:pPr>
      <m:oMath>
        <m:r>
          <w:rPr>
            <w:rFonts w:ascii="Cambria Math" w:hAnsi="Cambria Math"/>
            <w:szCs w:val="22"/>
          </w:rPr>
          <m:t>MAC</m:t>
        </m:r>
        <m:r>
          <m:rPr>
            <m:sty m:val="p"/>
          </m:rPr>
          <w:rPr>
            <w:rFonts w:ascii="Cambria Math" w:hAnsi="Cambria Math"/>
            <w:szCs w:val="22"/>
          </w:rPr>
          <m:t>=</m:t>
        </m:r>
        <m:f>
          <m:fPr>
            <m:ctrlPr>
              <w:rPr>
                <w:rFonts w:ascii="Cambria Math" w:hAnsi="Cambria Math"/>
                <w:i/>
                <w:szCs w:val="22"/>
              </w:rPr>
            </m:ctrlPr>
          </m:fPr>
          <m:num>
            <m:sSup>
              <m:sSupPr>
                <m:ctrlPr>
                  <w:rPr>
                    <w:rFonts w:ascii="Cambria Math" w:hAnsi="Cambria Math"/>
                    <w:i/>
                    <w:szCs w:val="22"/>
                  </w:rPr>
                </m:ctrlPr>
              </m:sSupPr>
              <m:e>
                <m:d>
                  <m:dPr>
                    <m:ctrlPr>
                      <w:rPr>
                        <w:rFonts w:ascii="Cambria Math" w:hAnsi="Cambria Math"/>
                        <w:i/>
                        <w:szCs w:val="22"/>
                      </w:rPr>
                    </m:ctrlPr>
                  </m:dPr>
                  <m:e>
                    <m:sSubSup>
                      <m:sSubSupPr>
                        <m:ctrlPr>
                          <w:rPr>
                            <w:rFonts w:ascii="Cambria Math" w:hAnsi="Cambria Math"/>
                            <w:i/>
                            <w:szCs w:val="22"/>
                          </w:rPr>
                        </m:ctrlPr>
                      </m:sSubSupPr>
                      <m:e>
                        <m:r>
                          <m:rPr>
                            <m:sty m:val="bi"/>
                          </m:rPr>
                          <w:rPr>
                            <w:rFonts w:ascii="Cambria Math" w:hAnsi="Cambria Math"/>
                            <w:szCs w:val="22"/>
                          </w:rPr>
                          <m:t>ϕ</m:t>
                        </m:r>
                      </m:e>
                      <m:sub>
                        <m:r>
                          <w:rPr>
                            <w:rFonts w:ascii="Cambria Math" w:hAnsi="Cambria Math"/>
                            <w:szCs w:val="22"/>
                          </w:rPr>
                          <m:t>i</m:t>
                        </m:r>
                      </m:sub>
                      <m:sup>
                        <m:r>
                          <w:rPr>
                            <w:rFonts w:ascii="Cambria Math" w:hAnsi="Cambria Math"/>
                            <w:szCs w:val="22"/>
                          </w:rPr>
                          <m:t>T</m:t>
                        </m:r>
                      </m:sup>
                    </m:sSubSup>
                    <m:sSub>
                      <m:sSubPr>
                        <m:ctrlPr>
                          <w:rPr>
                            <w:rFonts w:ascii="Cambria Math" w:hAnsi="Cambria Math"/>
                            <w:i/>
                            <w:szCs w:val="22"/>
                          </w:rPr>
                        </m:ctrlPr>
                      </m:sSubPr>
                      <m:e>
                        <m:r>
                          <m:rPr>
                            <m:sty m:val="bi"/>
                          </m:rPr>
                          <w:rPr>
                            <w:rFonts w:ascii="Cambria Math" w:hAnsi="Cambria Math"/>
                            <w:szCs w:val="22"/>
                          </w:rPr>
                          <m:t>ϕ</m:t>
                        </m:r>
                      </m:e>
                      <m:sub>
                        <m:r>
                          <w:rPr>
                            <w:rFonts w:ascii="Cambria Math" w:hAnsi="Cambria Math"/>
                            <w:szCs w:val="22"/>
                          </w:rPr>
                          <m:t>j</m:t>
                        </m:r>
                      </m:sub>
                    </m:sSub>
                  </m:e>
                </m:d>
              </m:e>
              <m:sup>
                <m:r>
                  <w:rPr>
                    <w:rFonts w:ascii="Cambria Math" w:hAnsi="Cambria Math"/>
                    <w:szCs w:val="22"/>
                  </w:rPr>
                  <m:t>2</m:t>
                </m:r>
              </m:sup>
            </m:sSup>
          </m:num>
          <m:den>
            <m:d>
              <m:dPr>
                <m:ctrlPr>
                  <w:rPr>
                    <w:rFonts w:ascii="Cambria Math" w:hAnsi="Cambria Math"/>
                    <w:i/>
                    <w:szCs w:val="22"/>
                  </w:rPr>
                </m:ctrlPr>
              </m:dPr>
              <m:e>
                <m:sSubSup>
                  <m:sSubSupPr>
                    <m:ctrlPr>
                      <w:rPr>
                        <w:rFonts w:ascii="Cambria Math" w:hAnsi="Cambria Math"/>
                        <w:i/>
                        <w:szCs w:val="22"/>
                      </w:rPr>
                    </m:ctrlPr>
                  </m:sSubSupPr>
                  <m:e>
                    <m:r>
                      <m:rPr>
                        <m:sty m:val="bi"/>
                      </m:rPr>
                      <w:rPr>
                        <w:rFonts w:ascii="Cambria Math" w:hAnsi="Cambria Math"/>
                        <w:szCs w:val="22"/>
                      </w:rPr>
                      <m:t>ϕ</m:t>
                    </m:r>
                  </m:e>
                  <m:sub>
                    <m:r>
                      <w:rPr>
                        <w:rFonts w:ascii="Cambria Math" w:hAnsi="Cambria Math"/>
                        <w:szCs w:val="22"/>
                      </w:rPr>
                      <m:t>i</m:t>
                    </m:r>
                  </m:sub>
                  <m:sup>
                    <m:r>
                      <w:rPr>
                        <w:rFonts w:ascii="Cambria Math" w:hAnsi="Cambria Math"/>
                        <w:szCs w:val="22"/>
                      </w:rPr>
                      <m:t>T</m:t>
                    </m:r>
                  </m:sup>
                </m:sSubSup>
                <m:sSub>
                  <m:sSubPr>
                    <m:ctrlPr>
                      <w:rPr>
                        <w:rFonts w:ascii="Cambria Math" w:hAnsi="Cambria Math"/>
                        <w:i/>
                        <w:szCs w:val="22"/>
                      </w:rPr>
                    </m:ctrlPr>
                  </m:sSubPr>
                  <m:e>
                    <m:r>
                      <m:rPr>
                        <m:sty m:val="bi"/>
                      </m:rPr>
                      <w:rPr>
                        <w:rFonts w:ascii="Cambria Math" w:hAnsi="Cambria Math"/>
                        <w:szCs w:val="22"/>
                      </w:rPr>
                      <m:t>ϕ</m:t>
                    </m:r>
                  </m:e>
                  <m:sub>
                    <m:r>
                      <w:rPr>
                        <w:rFonts w:ascii="Cambria Math" w:hAnsi="Cambria Math"/>
                        <w:szCs w:val="22"/>
                      </w:rPr>
                      <m:t>i</m:t>
                    </m:r>
                  </m:sub>
                </m:sSub>
              </m:e>
            </m:d>
            <m:d>
              <m:dPr>
                <m:ctrlPr>
                  <w:rPr>
                    <w:rFonts w:ascii="Cambria Math" w:hAnsi="Cambria Math"/>
                    <w:i/>
                    <w:szCs w:val="22"/>
                  </w:rPr>
                </m:ctrlPr>
              </m:dPr>
              <m:e>
                <m:sSubSup>
                  <m:sSubSupPr>
                    <m:ctrlPr>
                      <w:rPr>
                        <w:rFonts w:ascii="Cambria Math" w:hAnsi="Cambria Math"/>
                        <w:i/>
                        <w:szCs w:val="22"/>
                      </w:rPr>
                    </m:ctrlPr>
                  </m:sSubSupPr>
                  <m:e>
                    <m:r>
                      <m:rPr>
                        <m:sty m:val="bi"/>
                      </m:rPr>
                      <w:rPr>
                        <w:rFonts w:ascii="Cambria Math" w:hAnsi="Cambria Math"/>
                        <w:szCs w:val="22"/>
                      </w:rPr>
                      <m:t>ϕ</m:t>
                    </m:r>
                  </m:e>
                  <m:sub>
                    <m:r>
                      <w:rPr>
                        <w:rFonts w:ascii="Cambria Math" w:hAnsi="Cambria Math"/>
                        <w:szCs w:val="22"/>
                      </w:rPr>
                      <m:t>j</m:t>
                    </m:r>
                  </m:sub>
                  <m:sup>
                    <m:r>
                      <w:rPr>
                        <w:rFonts w:ascii="Cambria Math" w:hAnsi="Cambria Math"/>
                        <w:szCs w:val="22"/>
                      </w:rPr>
                      <m:t>T</m:t>
                    </m:r>
                  </m:sup>
                </m:sSubSup>
                <m:sSub>
                  <m:sSubPr>
                    <m:ctrlPr>
                      <w:rPr>
                        <w:rFonts w:ascii="Cambria Math" w:hAnsi="Cambria Math"/>
                        <w:i/>
                        <w:szCs w:val="22"/>
                      </w:rPr>
                    </m:ctrlPr>
                  </m:sSubPr>
                  <m:e>
                    <m:r>
                      <m:rPr>
                        <m:sty m:val="bi"/>
                      </m:rPr>
                      <w:rPr>
                        <w:rFonts w:ascii="Cambria Math" w:hAnsi="Cambria Math"/>
                        <w:szCs w:val="22"/>
                      </w:rPr>
                      <m:t>ϕ</m:t>
                    </m:r>
                  </m:e>
                  <m:sub>
                    <m:r>
                      <w:rPr>
                        <w:rFonts w:ascii="Cambria Math" w:hAnsi="Cambria Math"/>
                        <w:szCs w:val="22"/>
                      </w:rPr>
                      <m:t>j</m:t>
                    </m:r>
                  </m:sub>
                </m:sSub>
              </m:e>
            </m:d>
          </m:den>
        </m:f>
      </m:oMath>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t>(3)</w:t>
      </w:r>
    </w:p>
    <w:p w:rsidR="00916A11" w:rsidRDefault="00916A11" w:rsidP="00916A11">
      <w:r>
        <w:t xml:space="preserve">In Equation (3), superscript </w:t>
      </w:r>
      <w:r w:rsidRPr="00916A11">
        <w:rPr>
          <w:i/>
        </w:rPr>
        <w:t>T</w:t>
      </w:r>
      <w:r>
        <w:rPr>
          <w:i/>
        </w:rPr>
        <w:t xml:space="preserve"> </w:t>
      </w:r>
      <w:r>
        <w:t xml:space="preserve">denotes </w:t>
      </w:r>
      <w:r w:rsidR="000133AC">
        <w:t xml:space="preserve">vector </w:t>
      </w:r>
      <w:r>
        <w:t>transpose.</w:t>
      </w:r>
    </w:p>
    <w:p w:rsidR="00D77DE5" w:rsidRDefault="004749F0" w:rsidP="00D77DE5">
      <w:pPr>
        <w:spacing w:before="240"/>
        <w:jc w:val="center"/>
      </w:pPr>
      <w:r>
        <w:rPr>
          <w:noProof/>
          <w:lang w:eastAsia="en-NZ"/>
        </w:rPr>
        <w:drawing>
          <wp:inline distT="0" distB="0" distL="0" distR="0">
            <wp:extent cx="4450080" cy="3239588"/>
            <wp:effectExtent l="19050" t="0" r="762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bilization_chart.tif"/>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468096" cy="3252703"/>
                    </a:xfrm>
                    <a:prstGeom prst="rect">
                      <a:avLst/>
                    </a:prstGeom>
                  </pic:spPr>
                </pic:pic>
              </a:graphicData>
            </a:graphic>
          </wp:inline>
        </w:drawing>
      </w:r>
    </w:p>
    <w:p w:rsidR="00D77DE5" w:rsidRPr="004749F0" w:rsidRDefault="00D77DE5" w:rsidP="00841850">
      <w:pPr>
        <w:spacing w:line="220" w:lineRule="atLeast"/>
        <w:jc w:val="center"/>
        <w:rPr>
          <w:sz w:val="20"/>
        </w:rPr>
      </w:pPr>
      <w:r w:rsidRPr="004749F0">
        <w:rPr>
          <w:sz w:val="20"/>
        </w:rPr>
        <w:t xml:space="preserve">Figure 3. A typical stabilization chart </w:t>
      </w:r>
      <w:r w:rsidR="00E31DE3" w:rsidRPr="00A61A9B">
        <w:rPr>
          <w:color w:val="000000" w:themeColor="text1"/>
          <w:sz w:val="20"/>
        </w:rPr>
        <w:t xml:space="preserve">(superimposed </w:t>
      </w:r>
      <w:r w:rsidR="00E31DE3">
        <w:rPr>
          <w:color w:val="000000" w:themeColor="text1"/>
          <w:sz w:val="20"/>
        </w:rPr>
        <w:t>by</w:t>
      </w:r>
      <w:r w:rsidR="00E31DE3" w:rsidRPr="00A61A9B">
        <w:rPr>
          <w:color w:val="000000" w:themeColor="text1"/>
          <w:sz w:val="20"/>
        </w:rPr>
        <w:t xml:space="preserve"> power spectral density curve)</w:t>
      </w:r>
      <w:r w:rsidR="00E31DE3">
        <w:rPr>
          <w:color w:val="000000" w:themeColor="text1"/>
          <w:sz w:val="20"/>
        </w:rPr>
        <w:t xml:space="preserve"> </w:t>
      </w:r>
      <w:r w:rsidRPr="004749F0">
        <w:rPr>
          <w:sz w:val="20"/>
        </w:rPr>
        <w:t>showing trends of frequencies</w:t>
      </w:r>
      <w:r w:rsidR="00E06AD9">
        <w:rPr>
          <w:sz w:val="20"/>
        </w:rPr>
        <w:t xml:space="preserve"> </w:t>
      </w:r>
    </w:p>
    <w:p w:rsidR="00B050E3" w:rsidRPr="00AA1F4E" w:rsidRDefault="00B050E3" w:rsidP="007F6A93">
      <w:pPr>
        <w:pStyle w:val="Heading2"/>
      </w:pPr>
      <w:r w:rsidRPr="00AA1F4E">
        <w:t>System identification for evaluating SSI effects</w:t>
      </w:r>
    </w:p>
    <w:p w:rsidR="00916A11" w:rsidRPr="004235CA" w:rsidRDefault="00916A11" w:rsidP="00F6435F">
      <w:r w:rsidRPr="0023747E">
        <w:t>For evaluation of SSI effects using system identification procedures</w:t>
      </w:r>
      <w:r>
        <w:t>,</w:t>
      </w:r>
      <w:r w:rsidRPr="0023747E">
        <w:t xml:space="preserve"> Stewart </w:t>
      </w:r>
      <w:r w:rsidR="004A13B2">
        <w:t>and</w:t>
      </w:r>
      <w:r w:rsidRPr="0023747E">
        <w:t xml:space="preserve"> Fenves </w:t>
      </w:r>
      <w:r w:rsidR="00384B97" w:rsidRPr="0023747E">
        <w:fldChar w:fldCharType="begin"/>
      </w:r>
      <w:r w:rsidRPr="0023747E">
        <w:instrText xml:space="preserve"> ADDIN EN.CITE &lt;EndNote&gt;&lt;Cite ExcludeAuth="1"&gt;&lt;Author&gt;Stewart&lt;/Author&gt;&lt;Year&gt;1998&lt;/Year&gt;&lt;RecNum&gt;229&lt;/RecNum&gt;&lt;DisplayText&gt;(1998)&lt;/DisplayText&gt;&lt;record&gt;&lt;rec-number&gt;229&lt;/rec-number&gt;&lt;foreign-keys&gt;&lt;key app="EN" db-id="svxfdfstlxwz04eep2cx5sdbv5p5esfxvdtd"&gt;229&lt;/key&gt;&lt;/foreign-keys&gt;&lt;ref-type name="Journal Article"&gt;17&lt;/ref-type&gt;&lt;contributors&gt;&lt;authors&gt;&lt;author&gt;Stewart, J. P.&lt;/author&gt;&lt;author&gt;Fenves, G. L.&lt;/author&gt;&lt;/authors&gt;&lt;/contributors&gt;&lt;auth-address&gt;Dept. of Civ. and Environ. Eng., University of California, Los Angeles, CA 90095, United States&amp;#xD;Dept. of Civ. and Environ. Eng., University of California, Berkeley, CA 94720, United States&amp;#xD;Dept. of Civ. and Environ. Eng., UCLA, 5731 Boelter Hall, P.O. Box 951593, Los Angeles, CA 90095-1593, United States&lt;/auth-address&gt;&lt;titles&gt;&lt;title&gt;System identification for evaluating soil-structure interaction effects in buildings from strong motion recordings&lt;/title&gt;&lt;secondary-title&gt;Earthquake Engineering and Structural Dynamics&lt;/secondary-title&gt;&lt;/titles&gt;&lt;periodical&gt;&lt;full-title&gt;Earthquake Engineering and Structural Dynamics&lt;/full-title&gt;&lt;/periodical&gt;&lt;pages&gt;869-885&lt;/pages&gt;&lt;volume&gt;27&lt;/volume&gt;&lt;number&gt;8&lt;/number&gt;&lt;keywords&gt;&lt;keyword&gt;Earthquake resistance&lt;/keyword&gt;&lt;keyword&gt;Foundations&lt;/keyword&gt;&lt;keyword&gt;Roofs&lt;/keyword&gt;&lt;keyword&gt;Foundation rocking&lt;/keyword&gt;&lt;keyword&gt;Roof motions&lt;/keyword&gt;&lt;keyword&gt;System identification&lt;/keyword&gt;&lt;keyword&gt;Soil structure interactions&lt;/keyword&gt;&lt;keyword&gt;seismic response&lt;/keyword&gt;&lt;keyword&gt;soil structure interaction&lt;/keyword&gt;&lt;keyword&gt;structural response&lt;/keyword&gt;&lt;/keywords&gt;&lt;dates&gt;&lt;year&gt;1998&lt;/year&gt;&lt;/dates&gt;&lt;publisher&gt;John Wiley &amp;amp; Sons Ltd&lt;/publisher&gt;&lt;isbn&gt;00988847 (ISSN)&lt;/isbn&gt;&lt;urls&gt;&lt;related-urls&gt;&lt;url&gt;http://www.scopus.com/scopus/inward/record.url?eid=2-s2.0-0032143667&amp;amp;partnerID=40&lt;/url&gt;&lt;/related-urls&gt;&lt;/urls&gt;&lt;/record&gt;&lt;/Cite&gt;&lt;/EndNote&gt;</w:instrText>
      </w:r>
      <w:r w:rsidR="00384B97" w:rsidRPr="0023747E">
        <w:fldChar w:fldCharType="separate"/>
      </w:r>
      <w:r w:rsidRPr="0023747E">
        <w:rPr>
          <w:noProof/>
        </w:rPr>
        <w:t>(</w:t>
      </w:r>
      <w:hyperlink w:anchor="_ENREF_16" w:tooltip="Stewart, 1998 #229" w:history="1">
        <w:r w:rsidRPr="0023747E">
          <w:rPr>
            <w:noProof/>
          </w:rPr>
          <w:t>1998</w:t>
        </w:r>
      </w:hyperlink>
      <w:r w:rsidRPr="0023747E">
        <w:rPr>
          <w:noProof/>
        </w:rPr>
        <w:t>)</w:t>
      </w:r>
      <w:r w:rsidR="00384B97" w:rsidRPr="0023747E">
        <w:fldChar w:fldCharType="end"/>
      </w:r>
      <w:r w:rsidR="00E50DF6">
        <w:t xml:space="preserve"> proposed an</w:t>
      </w:r>
      <w:r w:rsidRPr="0023747E">
        <w:t xml:space="preserve"> approach</w:t>
      </w:r>
      <w:r w:rsidR="00E50DF6">
        <w:t xml:space="preserve"> which is followed in this study</w:t>
      </w:r>
      <w:r w:rsidRPr="000B3439">
        <w:t xml:space="preserve">. </w:t>
      </w:r>
      <w:r>
        <w:t>Consider</w:t>
      </w:r>
      <w:r w:rsidRPr="000B3439">
        <w:t xml:space="preserve"> </w:t>
      </w:r>
      <w:r w:rsidR="000133AC">
        <w:t xml:space="preserve">the </w:t>
      </w:r>
      <w:r>
        <w:t>structure shown</w:t>
      </w:r>
      <w:r w:rsidRPr="000B3439">
        <w:t xml:space="preserve"> </w:t>
      </w:r>
      <w:r>
        <w:t xml:space="preserve">in Figure 4. </w:t>
      </w:r>
      <w:r w:rsidRPr="000B3439">
        <w:t xml:space="preserve">The height </w:t>
      </w:r>
      <w:r w:rsidRPr="00FE013A">
        <w:rPr>
          <w:i/>
        </w:rPr>
        <w:t>h</w:t>
      </w:r>
      <w:r w:rsidRPr="000B3439">
        <w:t xml:space="preserve"> is the </w:t>
      </w:r>
      <w:r>
        <w:t xml:space="preserve">vertical </w:t>
      </w:r>
      <w:r w:rsidRPr="000B3439">
        <w:t xml:space="preserve">distance from the base to the </w:t>
      </w:r>
      <w:r>
        <w:t>roof (or another measurement point located on the building)</w:t>
      </w:r>
      <w:r w:rsidRPr="000B3439">
        <w:t xml:space="preserve">. </w:t>
      </w:r>
      <w:r>
        <w:t xml:space="preserve">The symbols denoting translational displacements are as follows: </w:t>
      </w:r>
      <w:r w:rsidRPr="004235CA">
        <w:rPr>
          <w:i/>
        </w:rPr>
        <w:t>u</w:t>
      </w:r>
      <w:r w:rsidRPr="004235CA">
        <w:rPr>
          <w:i/>
          <w:vertAlign w:val="subscript"/>
        </w:rPr>
        <w:t>g</w:t>
      </w:r>
      <w:r w:rsidRPr="004235CA">
        <w:t xml:space="preserve"> </w:t>
      </w:r>
      <w:r>
        <w:t xml:space="preserve">for the free field translational displacement, </w:t>
      </w:r>
      <w:r w:rsidRPr="004235CA">
        <w:rPr>
          <w:i/>
        </w:rPr>
        <w:t>u</w:t>
      </w:r>
      <w:r>
        <w:rPr>
          <w:i/>
          <w:vertAlign w:val="subscript"/>
        </w:rPr>
        <w:t>f</w:t>
      </w:r>
      <w:r w:rsidRPr="004235CA">
        <w:t xml:space="preserve"> </w:t>
      </w:r>
      <w:r>
        <w:t xml:space="preserve">for the foundation translational displacement with respect to the free field, and </w:t>
      </w:r>
      <w:r w:rsidRPr="004235CA">
        <w:rPr>
          <w:i/>
        </w:rPr>
        <w:t>u</w:t>
      </w:r>
      <w:r w:rsidRPr="004235CA">
        <w:t xml:space="preserve"> </w:t>
      </w:r>
      <w:r>
        <w:t xml:space="preserve">for the roof translational displacement with respect to the foundation. Foundation rocking angle is denoted by </w:t>
      </w:r>
      <w:r w:rsidRPr="0023747E">
        <w:rPr>
          <w:rFonts w:ascii="Symbol" w:hAnsi="Symbol"/>
          <w:i/>
        </w:rPr>
        <w:t></w:t>
      </w:r>
      <w:r>
        <w:t xml:space="preserve">, and its contribution to the roof translational displacement is </w:t>
      </w:r>
      <w:r w:rsidRPr="0023747E">
        <w:rPr>
          <w:i/>
        </w:rPr>
        <w:t>h</w:t>
      </w:r>
      <w:r w:rsidRPr="0023747E">
        <w:rPr>
          <w:rFonts w:ascii="Symbol" w:hAnsi="Symbol"/>
          <w:i/>
        </w:rPr>
        <w:t></w:t>
      </w:r>
      <w:r>
        <w:t>.  The Laplace domain counterparts of these quantities will be denote</w:t>
      </w:r>
      <w:r w:rsidR="000144D5">
        <w:t>d</w:t>
      </w:r>
      <w:r>
        <w:t xml:space="preserve"> as </w:t>
      </w:r>
      <w:r w:rsidRPr="004B67EE">
        <w:rPr>
          <w:position w:val="-14"/>
        </w:rPr>
        <w:object w:dxaOrig="279"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05pt;height:18.5pt" o:ole="">
            <v:imagedata r:id="rId12" o:title=""/>
          </v:shape>
          <o:OLEObject Type="Embed" ProgID="Equation.DSMT4" ShapeID="_x0000_i1025" DrawAspect="Content" ObjectID="_1393756466" r:id="rId13"/>
        </w:object>
      </w:r>
      <w:r>
        <w:t xml:space="preserve">, </w:t>
      </w:r>
      <w:r w:rsidRPr="004B67EE">
        <w:rPr>
          <w:position w:val="-14"/>
        </w:rPr>
        <w:object w:dxaOrig="300" w:dyaOrig="380">
          <v:shape id="_x0000_i1026" type="#_x0000_t75" style="width:14.4pt;height:18.5pt" o:ole="">
            <v:imagedata r:id="rId14" o:title=""/>
          </v:shape>
          <o:OLEObject Type="Embed" ProgID="Equation.DSMT4" ShapeID="_x0000_i1026" DrawAspect="Content" ObjectID="_1393756467" r:id="rId15"/>
        </w:object>
      </w:r>
      <w:r>
        <w:t xml:space="preserve">, </w:t>
      </w:r>
      <w:r w:rsidRPr="004B67EE">
        <w:rPr>
          <w:position w:val="-6"/>
        </w:rPr>
        <w:object w:dxaOrig="200" w:dyaOrig="279">
          <v:shape id="_x0000_i1027" type="#_x0000_t75" style="width:10.95pt;height:13.05pt" o:ole="">
            <v:imagedata r:id="rId16" o:title=""/>
          </v:shape>
          <o:OLEObject Type="Embed" ProgID="Equation.DSMT4" ShapeID="_x0000_i1027" DrawAspect="Content" ObjectID="_1393756468" r:id="rId17"/>
        </w:object>
      </w:r>
      <w:r>
        <w:t xml:space="preserve"> and </w:t>
      </w:r>
      <w:r w:rsidRPr="004B67EE">
        <w:rPr>
          <w:position w:val="-6"/>
        </w:rPr>
        <w:object w:dxaOrig="200" w:dyaOrig="340">
          <v:shape id="_x0000_i1028" type="#_x0000_t75" style="width:10.95pt;height:17.15pt" o:ole="">
            <v:imagedata r:id="rId18" o:title=""/>
          </v:shape>
          <o:OLEObject Type="Embed" ProgID="Equation.DSMT4" ShapeID="_x0000_i1028" DrawAspect="Content" ObjectID="_1393756469" r:id="rId19"/>
        </w:object>
      </w:r>
      <w:r>
        <w:t>, respectively.</w:t>
      </w:r>
    </w:p>
    <w:p w:rsidR="00B050E3" w:rsidRDefault="00916A11" w:rsidP="00D8627D">
      <w:r w:rsidRPr="0023747E">
        <w:t xml:space="preserve">Stewart </w:t>
      </w:r>
      <w:r w:rsidR="004A13B2">
        <w:t>and</w:t>
      </w:r>
      <w:r w:rsidRPr="0023747E">
        <w:t xml:space="preserve"> Fenves </w:t>
      </w:r>
      <w:r w:rsidR="00384B97" w:rsidRPr="0023747E">
        <w:fldChar w:fldCharType="begin"/>
      </w:r>
      <w:r w:rsidRPr="0023747E">
        <w:instrText xml:space="preserve"> ADDIN EN.CITE &lt;EndNote&gt;&lt;Cite ExcludeAuth="1"&gt;&lt;Author&gt;Stewart&lt;/Author&gt;&lt;Year&gt;1998&lt;/Year&gt;&lt;RecNum&gt;229&lt;/RecNum&gt;&lt;DisplayText&gt;(1998)&lt;/DisplayText&gt;&lt;record&gt;&lt;rec-number&gt;229&lt;/rec-number&gt;&lt;foreign-keys&gt;&lt;key app="EN" db-id="svxfdfstlxwz04eep2cx5sdbv5p5esfxvdtd"&gt;229&lt;/key&gt;&lt;/foreign-keys&gt;&lt;ref-type name="Journal Article"&gt;17&lt;/ref-type&gt;&lt;contributors&gt;&lt;authors&gt;&lt;author&gt;Stewart, J. P.&lt;/author&gt;&lt;author&gt;Fenves, G. L.&lt;/author&gt;&lt;/authors&gt;&lt;/contributors&gt;&lt;auth-address&gt;Dept. of Civ. and Environ. Eng., University of California, Los Angeles, CA 90095, United States&amp;#xD;Dept. of Civ. and Environ. Eng., University of California, Berkeley, CA 94720, United States&amp;#xD;Dept. of Civ. and Environ. Eng., UCLA, 5731 Boelter Hall, P.O. Box 951593, Los Angeles, CA 90095-1593, United States&lt;/auth-address&gt;&lt;titles&gt;&lt;title&gt;System identification for evaluating soil-structure interaction effects in buildings from strong motion recordings&lt;/title&gt;&lt;secondary-title&gt;Earthquake Engineering and Structural Dynamics&lt;/secondary-title&gt;&lt;/titles&gt;&lt;periodical&gt;&lt;full-title&gt;Earthquake Engineering and Structural Dynamics&lt;/full-title&gt;&lt;/periodical&gt;&lt;pages&gt;869-885&lt;/pages&gt;&lt;volume&gt;27&lt;/volume&gt;&lt;number&gt;8&lt;/number&gt;&lt;keywords&gt;&lt;keyword&gt;Earthquake resistance&lt;/keyword&gt;&lt;keyword&gt;Foundations&lt;/keyword&gt;&lt;keyword&gt;Roofs&lt;/keyword&gt;&lt;keyword&gt;Foundation rocking&lt;/keyword&gt;&lt;keyword&gt;Roof motions&lt;/keyword&gt;&lt;keyword&gt;System identification&lt;/keyword&gt;&lt;keyword&gt;Soil structure interactions&lt;/keyword&gt;&lt;keyword&gt;seismic response&lt;/keyword&gt;&lt;keyword&gt;soil structure interaction&lt;/keyword&gt;&lt;keyword&gt;structural response&lt;/keyword&gt;&lt;/keywords&gt;&lt;dates&gt;&lt;year&gt;1998&lt;/year&gt;&lt;/dates&gt;&lt;publisher&gt;John Wiley &amp;amp; Sons Ltd&lt;/publisher&gt;&lt;isbn&gt;00988847 (ISSN)&lt;/isbn&gt;&lt;urls&gt;&lt;related-urls&gt;&lt;url&gt;http://www.scopus.com/scopus/inward/record.url?eid=2-s2.0-0032143667&amp;amp;partnerID=40&lt;/url&gt;&lt;/related-urls&gt;&lt;/urls&gt;&lt;/record&gt;&lt;/Cite&gt;&lt;/EndNote&gt;</w:instrText>
      </w:r>
      <w:r w:rsidR="00384B97" w:rsidRPr="0023747E">
        <w:fldChar w:fldCharType="separate"/>
      </w:r>
      <w:r w:rsidRPr="0023747E">
        <w:rPr>
          <w:noProof/>
        </w:rPr>
        <w:t>(</w:t>
      </w:r>
      <w:hyperlink w:anchor="_ENREF_16" w:tooltip="Stewart, 1998 #229" w:history="1">
        <w:r w:rsidRPr="0023747E">
          <w:rPr>
            <w:noProof/>
          </w:rPr>
          <w:t>1998</w:t>
        </w:r>
      </w:hyperlink>
      <w:r w:rsidRPr="0023747E">
        <w:rPr>
          <w:noProof/>
        </w:rPr>
        <w:t>)</w:t>
      </w:r>
      <w:r w:rsidR="00384B97" w:rsidRPr="0023747E">
        <w:fldChar w:fldCharType="end"/>
      </w:r>
      <w:r>
        <w:t xml:space="preserve"> consider three different models and associated transfer functions (</w:t>
      </w:r>
      <w:r w:rsidRPr="00564863">
        <w:rPr>
          <w:i/>
        </w:rPr>
        <w:t>H</w:t>
      </w:r>
      <w:r w:rsidRPr="00564863">
        <w:rPr>
          <w:vertAlign w:val="subscript"/>
        </w:rPr>
        <w:t>1</w:t>
      </w:r>
      <w:r>
        <w:t xml:space="preserve">, </w:t>
      </w:r>
      <w:r w:rsidRPr="00564863">
        <w:rPr>
          <w:i/>
        </w:rPr>
        <w:t>H</w:t>
      </w:r>
      <w:r w:rsidRPr="00564863">
        <w:rPr>
          <w:vertAlign w:val="subscript"/>
        </w:rPr>
        <w:t>2</w:t>
      </w:r>
      <w:r>
        <w:t xml:space="preserve"> and </w:t>
      </w:r>
      <w:r w:rsidRPr="00564863">
        <w:rPr>
          <w:i/>
        </w:rPr>
        <w:t>H</w:t>
      </w:r>
      <w:r w:rsidRPr="00564863">
        <w:rPr>
          <w:vertAlign w:val="subscript"/>
        </w:rPr>
        <w:t>3</w:t>
      </w:r>
      <w:r>
        <w:t>) as follows:</w:t>
      </w:r>
    </w:p>
    <w:p w:rsidR="00916A11" w:rsidRPr="00916A11" w:rsidRDefault="00916A11" w:rsidP="00D8627D">
      <w:pPr>
        <w:pStyle w:val="ListParagraph"/>
        <w:numPr>
          <w:ilvl w:val="0"/>
          <w:numId w:val="15"/>
        </w:numPr>
        <w:spacing w:before="240" w:after="120" w:line="240" w:lineRule="atLeast"/>
        <w:ind w:left="714" w:hanging="357"/>
        <w:rPr>
          <w:rFonts w:ascii="Times New Roman" w:hAnsi="Times New Roman" w:cs="Times New Roman"/>
        </w:rPr>
      </w:pPr>
      <w:r w:rsidRPr="00916A11">
        <w:rPr>
          <w:rFonts w:ascii="Times New Roman" w:hAnsi="Times New Roman" w:cs="Times New Roman"/>
        </w:rPr>
        <w:t>Flexible base model</w:t>
      </w:r>
    </w:p>
    <w:p w:rsidR="00916A11" w:rsidRPr="00916A11" w:rsidRDefault="00384B97" w:rsidP="00916A11">
      <w:pPr>
        <w:ind w:left="624"/>
      </w:pPr>
      <m:oMath>
        <m:sSub>
          <m:sSubPr>
            <m:ctrlPr>
              <w:rPr>
                <w:rFonts w:ascii="Cambria Math" w:hAnsi="Cambria Math"/>
                <w:i/>
                <w:szCs w:val="22"/>
              </w:rPr>
            </m:ctrlPr>
          </m:sSubPr>
          <m:e>
            <m:r>
              <w:rPr>
                <w:rFonts w:ascii="Cambria Math"/>
                <w:szCs w:val="22"/>
              </w:rPr>
              <m:t>H</m:t>
            </m:r>
          </m:e>
          <m:sub>
            <m:r>
              <w:rPr>
                <w:rFonts w:ascii="Cambria Math"/>
                <w:szCs w:val="22"/>
              </w:rPr>
              <m:t>1</m:t>
            </m:r>
          </m:sub>
        </m:sSub>
        <m:r>
          <w:rPr>
            <w:rFonts w:ascii="Cambria Math"/>
            <w:szCs w:val="22"/>
          </w:rPr>
          <m:t>=</m:t>
        </m:r>
        <m:f>
          <m:fPr>
            <m:ctrlPr>
              <w:rPr>
                <w:rFonts w:ascii="Cambria Math" w:hAnsi="Cambria Math"/>
                <w:i/>
                <w:szCs w:val="22"/>
              </w:rPr>
            </m:ctrlPr>
          </m:fPr>
          <m:num>
            <m:sSub>
              <m:sSubPr>
                <m:ctrlPr>
                  <w:rPr>
                    <w:rFonts w:ascii="Cambria Math" w:hAnsi="Cambria Math"/>
                    <w:i/>
                    <w:szCs w:val="22"/>
                  </w:rPr>
                </m:ctrlPr>
              </m:sSubPr>
              <m:e>
                <m:acc>
                  <m:accPr>
                    <m:ctrlPr>
                      <w:rPr>
                        <w:rFonts w:ascii="Cambria Math" w:hAnsi="Cambria Math"/>
                        <w:i/>
                        <w:szCs w:val="22"/>
                      </w:rPr>
                    </m:ctrlPr>
                  </m:accPr>
                  <m:e>
                    <m:r>
                      <w:rPr>
                        <w:rFonts w:ascii="Cambria Math"/>
                        <w:szCs w:val="22"/>
                      </w:rPr>
                      <m:t>u</m:t>
                    </m:r>
                  </m:e>
                </m:acc>
              </m:e>
              <m:sub>
                <m:r>
                  <w:rPr>
                    <w:rFonts w:ascii="Cambria Math"/>
                    <w:szCs w:val="22"/>
                  </w:rPr>
                  <m:t>g</m:t>
                </m:r>
              </m:sub>
            </m:sSub>
            <m:r>
              <w:rPr>
                <w:rFonts w:ascii="Cambria Math"/>
                <w:szCs w:val="22"/>
              </w:rPr>
              <m:t xml:space="preserve"> + </m:t>
            </m:r>
            <m:sSub>
              <m:sSubPr>
                <m:ctrlPr>
                  <w:rPr>
                    <w:rFonts w:ascii="Cambria Math" w:hAnsi="Cambria Math"/>
                    <w:i/>
                    <w:szCs w:val="22"/>
                  </w:rPr>
                </m:ctrlPr>
              </m:sSubPr>
              <m:e>
                <m:acc>
                  <m:accPr>
                    <m:ctrlPr>
                      <w:rPr>
                        <w:rFonts w:ascii="Cambria Math" w:hAnsi="Cambria Math"/>
                        <w:i/>
                        <w:szCs w:val="22"/>
                      </w:rPr>
                    </m:ctrlPr>
                  </m:accPr>
                  <m:e>
                    <m:r>
                      <w:rPr>
                        <w:rFonts w:ascii="Cambria Math"/>
                        <w:szCs w:val="22"/>
                      </w:rPr>
                      <m:t>u</m:t>
                    </m:r>
                  </m:e>
                </m:acc>
              </m:e>
              <m:sub>
                <m:r>
                  <w:rPr>
                    <w:rFonts w:ascii="Cambria Math"/>
                    <w:szCs w:val="22"/>
                  </w:rPr>
                  <m:t xml:space="preserve">f </m:t>
                </m:r>
              </m:sub>
            </m:sSub>
            <m:r>
              <w:rPr>
                <w:rFonts w:ascii="Cambria Math"/>
                <w:szCs w:val="22"/>
              </w:rPr>
              <m:t xml:space="preserve">+ </m:t>
            </m:r>
            <m:acc>
              <m:accPr>
                <m:ctrlPr>
                  <w:rPr>
                    <w:rFonts w:ascii="Cambria Math" w:hAnsi="Cambria Math"/>
                    <w:i/>
                    <w:szCs w:val="22"/>
                  </w:rPr>
                </m:ctrlPr>
              </m:accPr>
              <m:e>
                <m:r>
                  <w:rPr>
                    <w:rFonts w:ascii="Cambria Math"/>
                    <w:szCs w:val="22"/>
                  </w:rPr>
                  <m:t xml:space="preserve">u </m:t>
                </m:r>
              </m:e>
            </m:acc>
            <m:r>
              <w:rPr>
                <w:rFonts w:ascii="Cambria Math"/>
                <w:szCs w:val="22"/>
              </w:rPr>
              <m:t xml:space="preserve">+ </m:t>
            </m:r>
            <m:r>
              <w:rPr>
                <w:rFonts w:ascii="Cambria Math" w:hAnsi="Cambria Math"/>
                <w:szCs w:val="22"/>
              </w:rPr>
              <m:t>h</m:t>
            </m:r>
            <m:acc>
              <m:accPr>
                <m:ctrlPr>
                  <w:rPr>
                    <w:rFonts w:ascii="Cambria Math" w:hAnsi="Cambria Math"/>
                    <w:i/>
                    <w:szCs w:val="22"/>
                  </w:rPr>
                </m:ctrlPr>
              </m:accPr>
              <m:e>
                <m:r>
                  <w:rPr>
                    <w:rFonts w:ascii="Cambria Math" w:hAnsi="Cambria Math"/>
                    <w:szCs w:val="22"/>
                  </w:rPr>
                  <m:t>θ</m:t>
                </m:r>
              </m:e>
            </m:acc>
          </m:num>
          <m:den>
            <m:sSub>
              <m:sSubPr>
                <m:ctrlPr>
                  <w:rPr>
                    <w:rFonts w:ascii="Cambria Math" w:hAnsi="Cambria Math"/>
                    <w:i/>
                    <w:szCs w:val="22"/>
                  </w:rPr>
                </m:ctrlPr>
              </m:sSubPr>
              <m:e>
                <m:acc>
                  <m:accPr>
                    <m:ctrlPr>
                      <w:rPr>
                        <w:rFonts w:ascii="Cambria Math" w:hAnsi="Cambria Math"/>
                        <w:i/>
                        <w:szCs w:val="22"/>
                      </w:rPr>
                    </m:ctrlPr>
                  </m:accPr>
                  <m:e>
                    <m:r>
                      <w:rPr>
                        <w:rFonts w:ascii="Cambria Math"/>
                        <w:szCs w:val="22"/>
                      </w:rPr>
                      <m:t>u</m:t>
                    </m:r>
                  </m:e>
                </m:acc>
              </m:e>
              <m:sub>
                <m:r>
                  <w:rPr>
                    <w:rFonts w:ascii="Cambria Math"/>
                    <w:szCs w:val="22"/>
                  </w:rPr>
                  <m:t>g</m:t>
                </m:r>
              </m:sub>
            </m:sSub>
          </m:den>
        </m:f>
      </m:oMath>
      <w:r w:rsidR="00916A11">
        <w:tab/>
      </w:r>
      <w:r w:rsidR="00916A11">
        <w:tab/>
      </w:r>
      <w:r w:rsidR="00916A11">
        <w:tab/>
      </w:r>
      <w:r w:rsidR="00916A11">
        <w:tab/>
      </w:r>
      <w:r w:rsidR="00916A11">
        <w:tab/>
      </w:r>
      <w:r w:rsidR="00916A11">
        <w:tab/>
      </w:r>
      <w:r w:rsidR="00A23238">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D8627D">
        <w:tab/>
      </w:r>
      <w:r w:rsidR="00916A11">
        <w:t>(4)</w:t>
      </w:r>
    </w:p>
    <w:p w:rsidR="00916A11" w:rsidRDefault="00916A11" w:rsidP="00916A11">
      <w:pPr>
        <w:rPr>
          <w:rFonts w:ascii="Symbol" w:hAnsi="Symbol"/>
        </w:rPr>
      </w:pPr>
      <w:r>
        <w:t xml:space="preserve">where input is the free field displacement </w:t>
      </w:r>
      <w:r w:rsidRPr="004235CA">
        <w:rPr>
          <w:i/>
        </w:rPr>
        <w:t>u</w:t>
      </w:r>
      <w:r w:rsidRPr="004235CA">
        <w:rPr>
          <w:i/>
          <w:vertAlign w:val="subscript"/>
        </w:rPr>
        <w:t>g</w:t>
      </w:r>
      <w:r w:rsidRPr="004235CA">
        <w:t xml:space="preserve"> </w:t>
      </w:r>
      <w:r>
        <w:t xml:space="preserve">and output is the total roof displacement </w:t>
      </w:r>
      <w:r w:rsidRPr="004235CA">
        <w:rPr>
          <w:i/>
        </w:rPr>
        <w:t>u</w:t>
      </w:r>
      <w:r w:rsidRPr="004235CA">
        <w:rPr>
          <w:i/>
          <w:vertAlign w:val="subscript"/>
        </w:rPr>
        <w:t>g</w:t>
      </w:r>
      <w:r w:rsidR="00A23238">
        <w:rPr>
          <w:i/>
          <w:vertAlign w:val="subscript"/>
        </w:rPr>
        <w:t xml:space="preserve"> </w:t>
      </w:r>
      <w:r w:rsidRPr="00076F43">
        <w:t>+</w:t>
      </w:r>
      <w:r w:rsidR="00A23238">
        <w:t xml:space="preserve"> </w:t>
      </w:r>
      <w:r w:rsidRPr="004235CA">
        <w:rPr>
          <w:i/>
        </w:rPr>
        <w:t>u</w:t>
      </w:r>
      <w:r>
        <w:rPr>
          <w:i/>
          <w:vertAlign w:val="subscript"/>
        </w:rPr>
        <w:t>f</w:t>
      </w:r>
      <w:r w:rsidR="00A23238">
        <w:rPr>
          <w:i/>
          <w:vertAlign w:val="subscript"/>
        </w:rPr>
        <w:t xml:space="preserve"> </w:t>
      </w:r>
      <w:r w:rsidRPr="00076F43">
        <w:t>+</w:t>
      </w:r>
      <w:r w:rsidR="00A23238">
        <w:t xml:space="preserve"> </w:t>
      </w:r>
      <w:r w:rsidRPr="004235CA">
        <w:rPr>
          <w:i/>
        </w:rPr>
        <w:t>u</w:t>
      </w:r>
      <w:r w:rsidR="00A23238">
        <w:rPr>
          <w:i/>
        </w:rPr>
        <w:t xml:space="preserve"> </w:t>
      </w:r>
      <w:r w:rsidRPr="00076F43">
        <w:t>+</w:t>
      </w:r>
      <w:r w:rsidR="00A23238">
        <w:t xml:space="preserve"> </w:t>
      </w:r>
      <w:r w:rsidRPr="0023747E">
        <w:rPr>
          <w:i/>
        </w:rPr>
        <w:t>h</w:t>
      </w:r>
      <w:r w:rsidRPr="0023747E">
        <w:rPr>
          <w:rFonts w:ascii="Symbol" w:hAnsi="Symbol"/>
          <w:i/>
        </w:rPr>
        <w:t></w:t>
      </w:r>
      <w:r>
        <w:rPr>
          <w:rFonts w:ascii="Symbol" w:hAnsi="Symbol"/>
        </w:rPr>
        <w:t></w:t>
      </w:r>
    </w:p>
    <w:p w:rsidR="00916A11" w:rsidRPr="00916A11" w:rsidRDefault="00916A11" w:rsidP="00D8627D">
      <w:pPr>
        <w:pStyle w:val="ListParagraph"/>
        <w:numPr>
          <w:ilvl w:val="0"/>
          <w:numId w:val="15"/>
        </w:numPr>
        <w:spacing w:before="240" w:after="120" w:line="240" w:lineRule="atLeast"/>
        <w:ind w:left="714" w:hanging="357"/>
        <w:rPr>
          <w:rFonts w:ascii="Times New Roman" w:hAnsi="Times New Roman" w:cs="Times New Roman"/>
        </w:rPr>
      </w:pPr>
      <w:r w:rsidRPr="00916A11">
        <w:rPr>
          <w:rFonts w:ascii="Times New Roman" w:hAnsi="Times New Roman" w:cs="Times New Roman"/>
        </w:rPr>
        <w:t>Pseudo flexible base model</w:t>
      </w:r>
    </w:p>
    <w:p w:rsidR="00916A11" w:rsidRPr="00916A11" w:rsidRDefault="00384B97" w:rsidP="00916A11">
      <w:pPr>
        <w:ind w:left="624"/>
      </w:pPr>
      <m:oMath>
        <m:sSub>
          <m:sSubPr>
            <m:ctrlPr>
              <w:rPr>
                <w:rFonts w:ascii="Cambria Math" w:hAnsi="Cambria Math"/>
                <w:i/>
              </w:rPr>
            </m:ctrlPr>
          </m:sSubPr>
          <m:e>
            <m:r>
              <w:rPr>
                <w:rFonts w:ascii="Cambria Math"/>
              </w:rPr>
              <m:t>H</m:t>
            </m:r>
          </m:e>
          <m:sub>
            <m:r>
              <w:rPr>
                <w:rFonts w:ascii="Cambria Math"/>
              </w:rPr>
              <m:t>2</m:t>
            </m:r>
          </m:sub>
        </m:sSub>
        <m:r>
          <w:rPr>
            <w:rFonts w:ascii="Cambria Math"/>
          </w:rPr>
          <m:t>=</m:t>
        </m:r>
        <m:f>
          <m:fPr>
            <m:ctrlPr>
              <w:rPr>
                <w:rFonts w:ascii="Cambria Math" w:hAnsi="Cambria Math"/>
                <w:i/>
              </w:rPr>
            </m:ctrlPr>
          </m:fPr>
          <m:num>
            <m:sSub>
              <m:sSubPr>
                <m:ctrlPr>
                  <w:rPr>
                    <w:rFonts w:ascii="Cambria Math" w:hAnsi="Cambria Math"/>
                    <w:i/>
                  </w:rPr>
                </m:ctrlPr>
              </m:sSubPr>
              <m:e>
                <m:acc>
                  <m:accPr>
                    <m:ctrlPr>
                      <w:rPr>
                        <w:rFonts w:ascii="Cambria Math" w:hAnsi="Cambria Math"/>
                        <w:i/>
                      </w:rPr>
                    </m:ctrlPr>
                  </m:accPr>
                  <m:e>
                    <m:r>
                      <w:rPr>
                        <w:rFonts w:ascii="Cambria Math"/>
                      </w:rPr>
                      <m:t>u</m:t>
                    </m:r>
                  </m:e>
                </m:acc>
              </m:e>
              <m:sub>
                <m:r>
                  <w:rPr>
                    <w:rFonts w:ascii="Cambria Math"/>
                  </w:rPr>
                  <m:t>g</m:t>
                </m:r>
              </m:sub>
            </m:sSub>
            <m:r>
              <w:rPr>
                <w:rFonts w:ascii="Cambria Math"/>
              </w:rPr>
              <m:t xml:space="preserve"> + </m:t>
            </m:r>
            <m:sSub>
              <m:sSubPr>
                <m:ctrlPr>
                  <w:rPr>
                    <w:rFonts w:ascii="Cambria Math" w:hAnsi="Cambria Math"/>
                    <w:i/>
                  </w:rPr>
                </m:ctrlPr>
              </m:sSubPr>
              <m:e>
                <m:acc>
                  <m:accPr>
                    <m:ctrlPr>
                      <w:rPr>
                        <w:rFonts w:ascii="Cambria Math" w:hAnsi="Cambria Math"/>
                        <w:i/>
                      </w:rPr>
                    </m:ctrlPr>
                  </m:accPr>
                  <m:e>
                    <m:r>
                      <w:rPr>
                        <w:rFonts w:ascii="Cambria Math"/>
                      </w:rPr>
                      <m:t>u</m:t>
                    </m:r>
                  </m:e>
                </m:acc>
              </m:e>
              <m:sub>
                <m:r>
                  <w:rPr>
                    <w:rFonts w:ascii="Cambria Math"/>
                  </w:rPr>
                  <m:t xml:space="preserve">f </m:t>
                </m:r>
              </m:sub>
            </m:sSub>
            <m:r>
              <w:rPr>
                <w:rFonts w:ascii="Cambria Math"/>
              </w:rPr>
              <m:t xml:space="preserve">+ </m:t>
            </m:r>
            <m:acc>
              <m:accPr>
                <m:ctrlPr>
                  <w:rPr>
                    <w:rFonts w:ascii="Cambria Math" w:hAnsi="Cambria Math"/>
                    <w:i/>
                  </w:rPr>
                </m:ctrlPr>
              </m:accPr>
              <m:e>
                <m:r>
                  <w:rPr>
                    <w:rFonts w:ascii="Cambria Math"/>
                  </w:rPr>
                  <m:t xml:space="preserve">u </m:t>
                </m:r>
              </m:e>
            </m:acc>
            <m:r>
              <w:rPr>
                <w:rFonts w:ascii="Cambria Math"/>
              </w:rPr>
              <m:t xml:space="preserve">+ </m:t>
            </m:r>
            <m:r>
              <w:rPr>
                <w:rFonts w:ascii="Cambria Math" w:hAnsi="Cambria Math"/>
              </w:rPr>
              <m:t>h</m:t>
            </m:r>
            <m:acc>
              <m:accPr>
                <m:ctrlPr>
                  <w:rPr>
                    <w:rFonts w:ascii="Cambria Math" w:hAnsi="Cambria Math"/>
                    <w:i/>
                  </w:rPr>
                </m:ctrlPr>
              </m:accPr>
              <m:e>
                <m:r>
                  <w:rPr>
                    <w:rFonts w:ascii="Cambria Math" w:hAnsi="Cambria Math"/>
                  </w:rPr>
                  <m:t>θ</m:t>
                </m:r>
              </m:e>
            </m:acc>
          </m:num>
          <m:den>
            <m:sSub>
              <m:sSubPr>
                <m:ctrlPr>
                  <w:rPr>
                    <w:rFonts w:ascii="Cambria Math" w:hAnsi="Cambria Math"/>
                    <w:i/>
                  </w:rPr>
                </m:ctrlPr>
              </m:sSubPr>
              <m:e>
                <m:acc>
                  <m:accPr>
                    <m:ctrlPr>
                      <w:rPr>
                        <w:rFonts w:ascii="Cambria Math" w:hAnsi="Cambria Math"/>
                        <w:i/>
                      </w:rPr>
                    </m:ctrlPr>
                  </m:accPr>
                  <m:e>
                    <m:r>
                      <w:rPr>
                        <w:rFonts w:ascii="Cambria Math"/>
                      </w:rPr>
                      <m:t>u</m:t>
                    </m:r>
                  </m:e>
                </m:acc>
              </m:e>
              <m:sub>
                <m:r>
                  <w:rPr>
                    <w:rFonts w:ascii="Cambria Math"/>
                  </w:rPr>
                  <m:t>g</m:t>
                </m:r>
              </m:sub>
            </m:sSub>
            <m:r>
              <w:rPr>
                <w:rFonts w:ascii="Cambria Math" w:hAnsi="Cambria Math"/>
              </w:rPr>
              <m:t xml:space="preserve"> + </m:t>
            </m:r>
            <m:sSub>
              <m:sSubPr>
                <m:ctrlPr>
                  <w:rPr>
                    <w:rFonts w:ascii="Cambria Math" w:hAnsi="Cambria Math"/>
                    <w:i/>
                  </w:rPr>
                </m:ctrlPr>
              </m:sSubPr>
              <m:e>
                <m:acc>
                  <m:accPr>
                    <m:ctrlPr>
                      <w:rPr>
                        <w:rFonts w:ascii="Cambria Math" w:hAnsi="Cambria Math"/>
                        <w:i/>
                      </w:rPr>
                    </m:ctrlPr>
                  </m:accPr>
                  <m:e>
                    <m:r>
                      <w:rPr>
                        <w:rFonts w:ascii="Cambria Math"/>
                      </w:rPr>
                      <m:t>u</m:t>
                    </m:r>
                  </m:e>
                </m:acc>
              </m:e>
              <m:sub>
                <m:r>
                  <w:rPr>
                    <w:rFonts w:ascii="Cambria Math"/>
                  </w:rPr>
                  <m:t>f</m:t>
                </m:r>
              </m:sub>
            </m:sSub>
          </m:den>
        </m:f>
      </m:oMath>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r>
      <w:r w:rsidR="00916A11">
        <w:tab/>
        <w:t>(5)</w:t>
      </w:r>
    </w:p>
    <w:p w:rsidR="00916A11" w:rsidRDefault="00916A11" w:rsidP="00916A11">
      <w:pPr>
        <w:rPr>
          <w:rFonts w:ascii="Symbol" w:hAnsi="Symbol"/>
        </w:rPr>
      </w:pPr>
      <w:r>
        <w:t xml:space="preserve">where input is the total foundation translational displacement </w:t>
      </w:r>
      <w:r w:rsidRPr="004235CA">
        <w:rPr>
          <w:i/>
        </w:rPr>
        <w:t>u</w:t>
      </w:r>
      <w:r w:rsidRPr="004235CA">
        <w:rPr>
          <w:i/>
          <w:vertAlign w:val="subscript"/>
        </w:rPr>
        <w:t>g</w:t>
      </w:r>
      <w:r w:rsidR="00A23238">
        <w:rPr>
          <w:i/>
          <w:vertAlign w:val="subscript"/>
        </w:rPr>
        <w:t xml:space="preserve"> </w:t>
      </w:r>
      <w:r>
        <w:t>+</w:t>
      </w:r>
      <w:r w:rsidR="00A23238">
        <w:t xml:space="preserve"> </w:t>
      </w:r>
      <w:r w:rsidRPr="004235CA">
        <w:rPr>
          <w:i/>
        </w:rPr>
        <w:t>u</w:t>
      </w:r>
      <w:r>
        <w:rPr>
          <w:i/>
          <w:vertAlign w:val="subscript"/>
        </w:rPr>
        <w:t>f</w:t>
      </w:r>
      <w:r>
        <w:t xml:space="preserve"> and output is the total roof displacement </w:t>
      </w:r>
      <w:r w:rsidRPr="004235CA">
        <w:rPr>
          <w:i/>
        </w:rPr>
        <w:t>u</w:t>
      </w:r>
      <w:r w:rsidRPr="004235CA">
        <w:rPr>
          <w:i/>
          <w:vertAlign w:val="subscript"/>
        </w:rPr>
        <w:t>g</w:t>
      </w:r>
      <w:r w:rsidR="00A23238">
        <w:rPr>
          <w:i/>
          <w:vertAlign w:val="subscript"/>
        </w:rPr>
        <w:t xml:space="preserve"> </w:t>
      </w:r>
      <w:r w:rsidRPr="00076F43">
        <w:t>+</w:t>
      </w:r>
      <w:r w:rsidR="00A23238">
        <w:t xml:space="preserve"> </w:t>
      </w:r>
      <w:r w:rsidRPr="004235CA">
        <w:rPr>
          <w:i/>
        </w:rPr>
        <w:t>u</w:t>
      </w:r>
      <w:r>
        <w:rPr>
          <w:i/>
          <w:vertAlign w:val="subscript"/>
        </w:rPr>
        <w:t>f</w:t>
      </w:r>
      <w:r w:rsidR="00A23238">
        <w:rPr>
          <w:i/>
          <w:vertAlign w:val="subscript"/>
        </w:rPr>
        <w:t xml:space="preserve"> </w:t>
      </w:r>
      <w:r w:rsidRPr="00076F43">
        <w:t>+</w:t>
      </w:r>
      <w:r w:rsidR="00A23238">
        <w:t xml:space="preserve"> </w:t>
      </w:r>
      <w:r w:rsidRPr="004235CA">
        <w:rPr>
          <w:i/>
        </w:rPr>
        <w:t>u</w:t>
      </w:r>
      <w:r w:rsidR="00A23238">
        <w:rPr>
          <w:i/>
        </w:rPr>
        <w:t xml:space="preserve"> </w:t>
      </w:r>
      <w:r w:rsidRPr="00076F43">
        <w:t>+</w:t>
      </w:r>
      <w:r w:rsidR="00A23238">
        <w:t xml:space="preserve"> </w:t>
      </w:r>
      <w:r w:rsidRPr="0023747E">
        <w:rPr>
          <w:i/>
        </w:rPr>
        <w:t>h</w:t>
      </w:r>
      <w:r w:rsidRPr="0023747E">
        <w:rPr>
          <w:rFonts w:ascii="Symbol" w:hAnsi="Symbol"/>
          <w:i/>
        </w:rPr>
        <w:t></w:t>
      </w:r>
      <w:r>
        <w:rPr>
          <w:rFonts w:ascii="Symbol" w:hAnsi="Symbol"/>
        </w:rPr>
        <w:t></w:t>
      </w:r>
    </w:p>
    <w:p w:rsidR="00916A11" w:rsidRPr="00D8627D" w:rsidRDefault="00916A11" w:rsidP="00D8627D">
      <w:pPr>
        <w:pStyle w:val="ListParagraph"/>
        <w:numPr>
          <w:ilvl w:val="0"/>
          <w:numId w:val="15"/>
        </w:numPr>
        <w:spacing w:before="240" w:after="120" w:line="240" w:lineRule="atLeast"/>
        <w:ind w:left="714" w:hanging="357"/>
        <w:rPr>
          <w:rFonts w:ascii="Times New Roman" w:hAnsi="Times New Roman" w:cs="Times New Roman"/>
        </w:rPr>
      </w:pPr>
      <w:r w:rsidRPr="00D8627D">
        <w:rPr>
          <w:rFonts w:ascii="Times New Roman" w:hAnsi="Times New Roman" w:cs="Times New Roman"/>
        </w:rPr>
        <w:t>Fixed base model</w:t>
      </w:r>
    </w:p>
    <w:p w:rsidR="00916A11" w:rsidRPr="00D8627D" w:rsidRDefault="00384B97" w:rsidP="00D8627D">
      <w:pPr>
        <w:ind w:left="624"/>
      </w:pPr>
      <m:oMath>
        <m:sSub>
          <m:sSubPr>
            <m:ctrlPr>
              <w:rPr>
                <w:rFonts w:ascii="Cambria Math" w:hAnsi="Cambria Math"/>
                <w:i/>
              </w:rPr>
            </m:ctrlPr>
          </m:sSubPr>
          <m:e>
            <m:r>
              <w:rPr>
                <w:rFonts w:ascii="Cambria Math"/>
              </w:rPr>
              <m:t>H</m:t>
            </m:r>
          </m:e>
          <m:sub>
            <m:r>
              <w:rPr>
                <w:rFonts w:ascii="Cambria Math"/>
              </w:rPr>
              <m:t>3</m:t>
            </m:r>
          </m:sub>
        </m:sSub>
        <m:r>
          <w:rPr>
            <w:rFonts w:ascii="Cambria Math"/>
          </w:rPr>
          <m:t>=</m:t>
        </m:r>
        <m:f>
          <m:fPr>
            <m:ctrlPr>
              <w:rPr>
                <w:rFonts w:ascii="Cambria Math" w:hAnsi="Cambria Math"/>
                <w:i/>
              </w:rPr>
            </m:ctrlPr>
          </m:fPr>
          <m:num>
            <m:sSub>
              <m:sSubPr>
                <m:ctrlPr>
                  <w:rPr>
                    <w:rFonts w:ascii="Cambria Math" w:hAnsi="Cambria Math"/>
                    <w:i/>
                  </w:rPr>
                </m:ctrlPr>
              </m:sSubPr>
              <m:e>
                <m:acc>
                  <m:accPr>
                    <m:ctrlPr>
                      <w:rPr>
                        <w:rFonts w:ascii="Cambria Math" w:hAnsi="Cambria Math"/>
                        <w:i/>
                      </w:rPr>
                    </m:ctrlPr>
                  </m:accPr>
                  <m:e>
                    <m:r>
                      <w:rPr>
                        <w:rFonts w:ascii="Cambria Math"/>
                      </w:rPr>
                      <m:t>u</m:t>
                    </m:r>
                  </m:e>
                </m:acc>
              </m:e>
              <m:sub>
                <m:r>
                  <w:rPr>
                    <w:rFonts w:ascii="Cambria Math"/>
                  </w:rPr>
                  <m:t>g</m:t>
                </m:r>
              </m:sub>
            </m:sSub>
            <m:r>
              <w:rPr>
                <w:rFonts w:ascii="Cambria Math"/>
              </w:rPr>
              <m:t xml:space="preserve"> + </m:t>
            </m:r>
            <m:sSub>
              <m:sSubPr>
                <m:ctrlPr>
                  <w:rPr>
                    <w:rFonts w:ascii="Cambria Math" w:hAnsi="Cambria Math"/>
                    <w:i/>
                  </w:rPr>
                </m:ctrlPr>
              </m:sSubPr>
              <m:e>
                <m:acc>
                  <m:accPr>
                    <m:ctrlPr>
                      <w:rPr>
                        <w:rFonts w:ascii="Cambria Math" w:hAnsi="Cambria Math"/>
                        <w:i/>
                      </w:rPr>
                    </m:ctrlPr>
                  </m:accPr>
                  <m:e>
                    <m:r>
                      <w:rPr>
                        <w:rFonts w:ascii="Cambria Math"/>
                      </w:rPr>
                      <m:t>u</m:t>
                    </m:r>
                  </m:e>
                </m:acc>
              </m:e>
              <m:sub>
                <m:r>
                  <w:rPr>
                    <w:rFonts w:ascii="Cambria Math"/>
                  </w:rPr>
                  <m:t xml:space="preserve">f </m:t>
                </m:r>
              </m:sub>
            </m:sSub>
            <m:r>
              <w:rPr>
                <w:rFonts w:ascii="Cambria Math"/>
              </w:rPr>
              <m:t xml:space="preserve">+ </m:t>
            </m:r>
            <m:acc>
              <m:accPr>
                <m:ctrlPr>
                  <w:rPr>
                    <w:rFonts w:ascii="Cambria Math" w:hAnsi="Cambria Math"/>
                    <w:i/>
                  </w:rPr>
                </m:ctrlPr>
              </m:accPr>
              <m:e>
                <m:r>
                  <w:rPr>
                    <w:rFonts w:ascii="Cambria Math"/>
                  </w:rPr>
                  <m:t xml:space="preserve">u </m:t>
                </m:r>
              </m:e>
            </m:acc>
            <m:r>
              <w:rPr>
                <w:rFonts w:ascii="Cambria Math"/>
              </w:rPr>
              <m:t xml:space="preserve">+ </m:t>
            </m:r>
            <m:r>
              <w:rPr>
                <w:rFonts w:ascii="Cambria Math" w:hAnsi="Cambria Math"/>
              </w:rPr>
              <m:t>h</m:t>
            </m:r>
            <m:acc>
              <m:accPr>
                <m:ctrlPr>
                  <w:rPr>
                    <w:rFonts w:ascii="Cambria Math" w:hAnsi="Cambria Math"/>
                    <w:i/>
                  </w:rPr>
                </m:ctrlPr>
              </m:accPr>
              <m:e>
                <m:r>
                  <w:rPr>
                    <w:rFonts w:ascii="Cambria Math" w:hAnsi="Cambria Math"/>
                  </w:rPr>
                  <m:t>θ</m:t>
                </m:r>
              </m:e>
            </m:acc>
          </m:num>
          <m:den>
            <m:sSub>
              <m:sSubPr>
                <m:ctrlPr>
                  <w:rPr>
                    <w:rFonts w:ascii="Cambria Math" w:hAnsi="Cambria Math"/>
                    <w:i/>
                  </w:rPr>
                </m:ctrlPr>
              </m:sSubPr>
              <m:e>
                <m:acc>
                  <m:accPr>
                    <m:ctrlPr>
                      <w:rPr>
                        <w:rFonts w:ascii="Cambria Math" w:hAnsi="Cambria Math"/>
                        <w:i/>
                      </w:rPr>
                    </m:ctrlPr>
                  </m:accPr>
                  <m:e>
                    <m:r>
                      <w:rPr>
                        <w:rFonts w:ascii="Cambria Math"/>
                      </w:rPr>
                      <m:t>u</m:t>
                    </m:r>
                  </m:e>
                </m:acc>
              </m:e>
              <m:sub>
                <m:r>
                  <w:rPr>
                    <w:rFonts w:ascii="Cambria Math"/>
                  </w:rPr>
                  <m:t>g</m:t>
                </m:r>
              </m:sub>
            </m:sSub>
            <m:r>
              <w:rPr>
                <w:rFonts w:ascii="Cambria Math" w:hAnsi="Cambria Math"/>
              </w:rPr>
              <m:t xml:space="preserve"> + </m:t>
            </m:r>
            <m:sSub>
              <m:sSubPr>
                <m:ctrlPr>
                  <w:rPr>
                    <w:rFonts w:ascii="Cambria Math" w:hAnsi="Cambria Math"/>
                    <w:i/>
                  </w:rPr>
                </m:ctrlPr>
              </m:sSubPr>
              <m:e>
                <m:acc>
                  <m:accPr>
                    <m:ctrlPr>
                      <w:rPr>
                        <w:rFonts w:ascii="Cambria Math" w:hAnsi="Cambria Math"/>
                        <w:i/>
                      </w:rPr>
                    </m:ctrlPr>
                  </m:accPr>
                  <m:e>
                    <m:r>
                      <w:rPr>
                        <w:rFonts w:ascii="Cambria Math"/>
                      </w:rPr>
                      <m:t>u</m:t>
                    </m:r>
                  </m:e>
                </m:acc>
              </m:e>
              <m:sub>
                <m:r>
                  <w:rPr>
                    <w:rFonts w:ascii="Cambria Math"/>
                  </w:rPr>
                  <m:t xml:space="preserve">f </m:t>
                </m:r>
              </m:sub>
            </m:sSub>
            <m:r>
              <w:rPr>
                <w:rFonts w:ascii="Cambria Math" w:hAnsi="Cambria Math"/>
              </w:rPr>
              <m:t>+ h</m:t>
            </m:r>
            <m:acc>
              <m:accPr>
                <m:ctrlPr>
                  <w:rPr>
                    <w:rFonts w:ascii="Cambria Math" w:hAnsi="Cambria Math"/>
                    <w:i/>
                  </w:rPr>
                </m:ctrlPr>
              </m:accPr>
              <m:e>
                <m:r>
                  <w:rPr>
                    <w:rFonts w:ascii="Cambria Math" w:hAnsi="Cambria Math"/>
                  </w:rPr>
                  <m:t>θ</m:t>
                </m:r>
              </m:e>
            </m:acc>
          </m:den>
        </m:f>
      </m:oMath>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r>
      <w:r w:rsidR="00D8627D">
        <w:tab/>
        <w:t>(6)</w:t>
      </w:r>
    </w:p>
    <w:p w:rsidR="00916A11" w:rsidRDefault="00916A11" w:rsidP="00916A11">
      <w:pPr>
        <w:rPr>
          <w:rFonts w:ascii="Symbol" w:hAnsi="Symbol"/>
        </w:rPr>
      </w:pPr>
      <w:r>
        <w:t xml:space="preserve">where input is the total foundation displacement including rocking </w:t>
      </w:r>
      <w:r w:rsidRPr="004235CA">
        <w:rPr>
          <w:i/>
        </w:rPr>
        <w:t>u</w:t>
      </w:r>
      <w:r w:rsidRPr="004235CA">
        <w:rPr>
          <w:i/>
          <w:vertAlign w:val="subscript"/>
        </w:rPr>
        <w:t>g</w:t>
      </w:r>
      <w:r w:rsidR="00A23238">
        <w:rPr>
          <w:i/>
          <w:vertAlign w:val="subscript"/>
        </w:rPr>
        <w:t xml:space="preserve"> </w:t>
      </w:r>
      <w:r>
        <w:t>+</w:t>
      </w:r>
      <w:r w:rsidR="00A23238">
        <w:t xml:space="preserve"> </w:t>
      </w:r>
      <w:r w:rsidRPr="004235CA">
        <w:rPr>
          <w:i/>
        </w:rPr>
        <w:t>u</w:t>
      </w:r>
      <w:r>
        <w:rPr>
          <w:i/>
          <w:vertAlign w:val="subscript"/>
        </w:rPr>
        <w:t>f</w:t>
      </w:r>
      <w:r>
        <w:t xml:space="preserve"> </w:t>
      </w:r>
      <w:r w:rsidR="00A23238">
        <w:t xml:space="preserve"> </w:t>
      </w:r>
      <w:r w:rsidRPr="00076F43">
        <w:t>+</w:t>
      </w:r>
      <w:r w:rsidR="00A23238">
        <w:t xml:space="preserve"> </w:t>
      </w:r>
      <w:r w:rsidRPr="0023747E">
        <w:rPr>
          <w:i/>
        </w:rPr>
        <w:t>h</w:t>
      </w:r>
      <w:r w:rsidRPr="0023747E">
        <w:rPr>
          <w:rFonts w:ascii="Symbol" w:hAnsi="Symbol"/>
          <w:i/>
        </w:rPr>
        <w:t></w:t>
      </w:r>
      <w:r w:rsidRPr="00F864B2">
        <w:rPr>
          <w:rFonts w:ascii="Symbol" w:hAnsi="Symbol"/>
        </w:rPr>
        <w:t></w:t>
      </w:r>
      <w:r w:rsidR="000133AC">
        <w:rPr>
          <w:rFonts w:ascii="Symbol" w:hAnsi="Symbol"/>
        </w:rPr>
        <w:t></w:t>
      </w:r>
      <w:r>
        <w:t xml:space="preserve">and output is the total roof displacement </w:t>
      </w:r>
      <w:r w:rsidRPr="004235CA">
        <w:rPr>
          <w:i/>
        </w:rPr>
        <w:t>u</w:t>
      </w:r>
      <w:r w:rsidRPr="004235CA">
        <w:rPr>
          <w:i/>
          <w:vertAlign w:val="subscript"/>
        </w:rPr>
        <w:t>g</w:t>
      </w:r>
      <w:r w:rsidR="00A23238">
        <w:rPr>
          <w:i/>
          <w:vertAlign w:val="subscript"/>
        </w:rPr>
        <w:t xml:space="preserve"> </w:t>
      </w:r>
      <w:r w:rsidRPr="00076F43">
        <w:t>+</w:t>
      </w:r>
      <w:r w:rsidR="00A23238">
        <w:t xml:space="preserve"> </w:t>
      </w:r>
      <w:r w:rsidRPr="004235CA">
        <w:rPr>
          <w:i/>
        </w:rPr>
        <w:t>u</w:t>
      </w:r>
      <w:r>
        <w:rPr>
          <w:i/>
          <w:vertAlign w:val="subscript"/>
        </w:rPr>
        <w:t>f</w:t>
      </w:r>
      <w:r w:rsidR="00A23238">
        <w:rPr>
          <w:i/>
          <w:vertAlign w:val="subscript"/>
        </w:rPr>
        <w:t xml:space="preserve"> </w:t>
      </w:r>
      <w:r w:rsidRPr="00076F43">
        <w:t>+</w:t>
      </w:r>
      <w:r w:rsidR="00A23238">
        <w:t xml:space="preserve"> </w:t>
      </w:r>
      <w:r w:rsidRPr="004235CA">
        <w:rPr>
          <w:i/>
        </w:rPr>
        <w:t>u</w:t>
      </w:r>
      <w:r w:rsidR="00A23238">
        <w:rPr>
          <w:i/>
        </w:rPr>
        <w:t xml:space="preserve"> </w:t>
      </w:r>
      <w:r w:rsidRPr="00076F43">
        <w:t>+</w:t>
      </w:r>
      <w:r w:rsidR="00A23238">
        <w:t xml:space="preserve"> </w:t>
      </w:r>
      <w:r w:rsidRPr="0023747E">
        <w:rPr>
          <w:i/>
        </w:rPr>
        <w:t>h</w:t>
      </w:r>
      <w:r w:rsidRPr="0023747E">
        <w:rPr>
          <w:rFonts w:ascii="Symbol" w:hAnsi="Symbol"/>
          <w:i/>
        </w:rPr>
        <w:t></w:t>
      </w:r>
      <w:r>
        <w:rPr>
          <w:rFonts w:ascii="Symbol" w:hAnsi="Symbol"/>
        </w:rPr>
        <w:t></w:t>
      </w:r>
    </w:p>
    <w:p w:rsidR="004749F0" w:rsidRDefault="004749F0" w:rsidP="004749F0">
      <w:pPr>
        <w:jc w:val="center"/>
      </w:pPr>
      <w:r>
        <w:rPr>
          <w:noProof/>
          <w:lang w:eastAsia="en-NZ"/>
        </w:rPr>
        <w:drawing>
          <wp:inline distT="0" distB="0" distL="0" distR="0">
            <wp:extent cx="3795304" cy="2351314"/>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ewart_model_figure.tif"/>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814802" cy="2363394"/>
                    </a:xfrm>
                    <a:prstGeom prst="rect">
                      <a:avLst/>
                    </a:prstGeom>
                  </pic:spPr>
                </pic:pic>
              </a:graphicData>
            </a:graphic>
          </wp:inline>
        </w:drawing>
      </w:r>
    </w:p>
    <w:p w:rsidR="004749F0" w:rsidRPr="004749F0" w:rsidRDefault="004749F0" w:rsidP="004749F0">
      <w:pPr>
        <w:spacing w:line="220" w:lineRule="atLeast"/>
        <w:jc w:val="center"/>
        <w:rPr>
          <w:sz w:val="20"/>
        </w:rPr>
      </w:pPr>
      <w:r w:rsidRPr="004749F0">
        <w:rPr>
          <w:sz w:val="20"/>
        </w:rPr>
        <w:t xml:space="preserve">Figure 4. Inputs and outputs for evaluating SSI effects in system identification of buildings (Stewart </w:t>
      </w:r>
      <w:r w:rsidR="00852CAF">
        <w:rPr>
          <w:sz w:val="20"/>
        </w:rPr>
        <w:t>&amp;</w:t>
      </w:r>
      <w:r w:rsidRPr="004749F0">
        <w:rPr>
          <w:sz w:val="20"/>
        </w:rPr>
        <w:t xml:space="preserve"> Fenves 1998)</w:t>
      </w:r>
    </w:p>
    <w:p w:rsidR="00607C4B" w:rsidRDefault="00607C4B" w:rsidP="00607C4B">
      <w:r>
        <w:t xml:space="preserve">The </w:t>
      </w:r>
      <w:r w:rsidR="000144D5">
        <w:t>last</w:t>
      </w:r>
      <w:r>
        <w:t xml:space="preserve"> two cases, i.e. pseudo flexible base </w:t>
      </w:r>
      <w:r w:rsidR="000144D5">
        <w:t xml:space="preserve">and fixed base </w:t>
      </w:r>
      <w:r>
        <w:t xml:space="preserve">are relevant for this study because of available measurements. The </w:t>
      </w:r>
      <w:r w:rsidRPr="0023747E">
        <w:t xml:space="preserve">Stewart and Fenves </w:t>
      </w:r>
      <w:r>
        <w:t xml:space="preserve">model for </w:t>
      </w:r>
      <w:r w:rsidR="006846FA">
        <w:t xml:space="preserve">the </w:t>
      </w:r>
      <w:r>
        <w:t>f</w:t>
      </w:r>
      <w:r w:rsidR="00934A13">
        <w:t>ixed</w:t>
      </w:r>
      <w:r>
        <w:t xml:space="preserve"> base summarized above is applicable to the case </w:t>
      </w:r>
      <w:r w:rsidR="000144D5">
        <w:t xml:space="preserve">of </w:t>
      </w:r>
      <w:r>
        <w:t>a foundation where response</w:t>
      </w:r>
      <w:r w:rsidR="00934A13">
        <w:t>s</w:t>
      </w:r>
      <w:r>
        <w:t xml:space="preserve"> of </w:t>
      </w:r>
      <w:r w:rsidR="00934A13">
        <w:t>all</w:t>
      </w:r>
      <w:r>
        <w:t xml:space="preserve"> the </w:t>
      </w:r>
      <w:r w:rsidR="000133AC">
        <w:t>degrees of freedom (</w:t>
      </w:r>
      <w:r>
        <w:t>DOFs</w:t>
      </w:r>
      <w:r w:rsidR="000133AC">
        <w:t>)</w:t>
      </w:r>
      <w:r>
        <w:t xml:space="preserve"> </w:t>
      </w:r>
      <w:r w:rsidR="00934A13">
        <w:t>are</w:t>
      </w:r>
      <w:r>
        <w:t xml:space="preserve"> available. In the analysed case of a 3D building on multiple footing foundation there are clearly more DOFs </w:t>
      </w:r>
      <w:r w:rsidR="00934A13">
        <w:t>but</w:t>
      </w:r>
      <w:r>
        <w:t xml:space="preserve"> </w:t>
      </w:r>
      <w:r w:rsidR="00934A13">
        <w:t xml:space="preserve">the </w:t>
      </w:r>
      <w:r w:rsidR="00CA6844">
        <w:t xml:space="preserve">foundation </w:t>
      </w:r>
      <w:r w:rsidR="00934A13">
        <w:t>response is measured only at four points</w:t>
      </w:r>
      <w:r w:rsidR="00CA6844">
        <w:t xml:space="preserve"> for a total of 10 DOFs (see Figure 2)</w:t>
      </w:r>
      <w:r>
        <w:t xml:space="preserve">. </w:t>
      </w:r>
      <w:r w:rsidR="00E40277" w:rsidRPr="007A4728">
        <w:rPr>
          <w:color w:val="000000" w:themeColor="text1"/>
        </w:rPr>
        <w:t>However, a</w:t>
      </w:r>
      <w:r w:rsidR="00CA6844" w:rsidRPr="007A4728">
        <w:rPr>
          <w:color w:val="000000" w:themeColor="text1"/>
        </w:rPr>
        <w:t>n</w:t>
      </w:r>
      <w:r w:rsidR="00934A13" w:rsidRPr="007A4728">
        <w:rPr>
          <w:color w:val="000000" w:themeColor="text1"/>
        </w:rPr>
        <w:t xml:space="preserve"> assumption that the differential </w:t>
      </w:r>
      <w:r w:rsidR="00F14143" w:rsidRPr="007A4728">
        <w:rPr>
          <w:color w:val="000000" w:themeColor="text1"/>
        </w:rPr>
        <w:t xml:space="preserve">movement between the footings is very small </w:t>
      </w:r>
      <w:r w:rsidR="007A4728" w:rsidRPr="007A4728">
        <w:rPr>
          <w:color w:val="000000" w:themeColor="text1"/>
        </w:rPr>
        <w:t>an</w:t>
      </w:r>
      <w:r w:rsidR="003E1024">
        <w:rPr>
          <w:color w:val="000000" w:themeColor="text1"/>
        </w:rPr>
        <w:t>d</w:t>
      </w:r>
      <w:r w:rsidR="007A4728" w:rsidRPr="007A4728">
        <w:rPr>
          <w:color w:val="000000" w:themeColor="text1"/>
        </w:rPr>
        <w:t xml:space="preserve"> also lack of individual footing rocking (present in </w:t>
      </w:r>
      <w:r w:rsidR="007A4728" w:rsidRPr="007A4728">
        <w:rPr>
          <w:i/>
          <w:color w:val="000000" w:themeColor="text1"/>
        </w:rPr>
        <w:t>H</w:t>
      </w:r>
      <w:r w:rsidR="007A4728" w:rsidRPr="007A4728">
        <w:rPr>
          <w:i/>
          <w:color w:val="000000" w:themeColor="text1"/>
          <w:vertAlign w:val="subscript"/>
        </w:rPr>
        <w:t>3</w:t>
      </w:r>
      <w:r w:rsidR="007A4728" w:rsidRPr="007A4728">
        <w:rPr>
          <w:color w:val="000000" w:themeColor="text1"/>
        </w:rPr>
        <w:t xml:space="preserve">) </w:t>
      </w:r>
      <w:r w:rsidR="00E40277" w:rsidRPr="007A4728">
        <w:rPr>
          <w:color w:val="000000" w:themeColor="text1"/>
        </w:rPr>
        <w:t xml:space="preserve">can be made </w:t>
      </w:r>
      <w:r w:rsidR="00F14143" w:rsidRPr="007A4728">
        <w:rPr>
          <w:color w:val="000000" w:themeColor="text1"/>
        </w:rPr>
        <w:t>which is valid for small level excitation</w:t>
      </w:r>
      <w:r w:rsidR="00F14143">
        <w:t xml:space="preserve">. </w:t>
      </w:r>
      <w:r>
        <w:t xml:space="preserve">Thus, we argue that in our case pseudo flexible base system identification results </w:t>
      </w:r>
      <w:r w:rsidR="00F14143">
        <w:t xml:space="preserve">will </w:t>
      </w:r>
      <w:r w:rsidR="00E47861">
        <w:t>not be</w:t>
      </w:r>
      <w:r w:rsidR="00F14143">
        <w:t xml:space="preserve"> </w:t>
      </w:r>
      <w:r w:rsidR="00E47861">
        <w:t>appreciably different from the</w:t>
      </w:r>
      <w:r>
        <w:t xml:space="preserve"> fixed base results. </w:t>
      </w:r>
      <w:r w:rsidR="00F14143">
        <w:t>However</w:t>
      </w:r>
      <w:r w:rsidR="00366A26">
        <w:t>,</w:t>
      </w:r>
      <w:r w:rsidR="00F14143">
        <w:t xml:space="preserve"> for the sake of clarification and analysis, we have considered both pseudo </w:t>
      </w:r>
      <w:r w:rsidR="00E47861">
        <w:t xml:space="preserve">flexible </w:t>
      </w:r>
      <w:r w:rsidR="00F14143">
        <w:t>and fixed base models in this study to evaluate the differences</w:t>
      </w:r>
      <w:r w:rsidR="00FB3254">
        <w:t>,</w:t>
      </w:r>
      <w:r w:rsidR="00F14143">
        <w:t xml:space="preserve"> </w:t>
      </w:r>
      <w:r w:rsidR="00D42E17">
        <w:t>no matter how small these are</w:t>
      </w:r>
      <w:r w:rsidR="00F14143">
        <w:t xml:space="preserve">. </w:t>
      </w:r>
      <w:r w:rsidRPr="0023747E">
        <w:t xml:space="preserve">Stewart and Fenves </w:t>
      </w:r>
      <w:r w:rsidR="00384B97" w:rsidRPr="0023747E">
        <w:fldChar w:fldCharType="begin"/>
      </w:r>
      <w:r w:rsidRPr="0023747E">
        <w:instrText xml:space="preserve"> ADDIN EN.CITE &lt;EndNote&gt;&lt;Cite ExcludeAuth="1"&gt;&lt;Author&gt;Stewart&lt;/Author&gt;&lt;Year&gt;1998&lt;/Year&gt;&lt;RecNum&gt;229&lt;/RecNum&gt;&lt;DisplayText&gt;(1998)&lt;/DisplayText&gt;&lt;record&gt;&lt;rec-number&gt;229&lt;/rec-number&gt;&lt;foreign-keys&gt;&lt;key app="EN" db-id="svxfdfstlxwz04eep2cx5sdbv5p5esfxvdtd"&gt;229&lt;/key&gt;&lt;/foreign-keys&gt;&lt;ref-type name="Journal Article"&gt;17&lt;/ref-type&gt;&lt;contributors&gt;&lt;authors&gt;&lt;author&gt;Stewart, J. P.&lt;/author&gt;&lt;author&gt;Fenves, G. L.&lt;/author&gt;&lt;/authors&gt;&lt;/contributors&gt;&lt;auth-address&gt;Dept. of Civ. and Environ. Eng., University of California, Los Angeles, CA 90095, United States&amp;#xD;Dept. of Civ. and Environ. Eng., University of California, Berkeley, CA 94720, United States&amp;#xD;Dept. of Civ. and Environ. Eng., UCLA, 5731 Boelter Hall, P.O. Box 951593, Los Angeles, CA 90095-1593, United States&lt;/auth-address&gt;&lt;titles&gt;&lt;title&gt;System identification for evaluating soil-structure interaction effects in buildings from strong motion recordings&lt;/title&gt;&lt;secondary-title&gt;Earthquake Engineering and Structural Dynamics&lt;/secondary-title&gt;&lt;/titles&gt;&lt;periodical&gt;&lt;full-title&gt;Earthquake Engineering and Structural Dynamics&lt;/full-title&gt;&lt;/periodical&gt;&lt;pages&gt;869-885&lt;/pages&gt;&lt;volume&gt;27&lt;/volume&gt;&lt;number&gt;8&lt;/number&gt;&lt;keywords&gt;&lt;keyword&gt;Earthquake resistance&lt;/keyword&gt;&lt;keyword&gt;Foundations&lt;/keyword&gt;&lt;keyword&gt;Roofs&lt;/keyword&gt;&lt;keyword&gt;Foundation rocking&lt;/keyword&gt;&lt;keyword&gt;Roof motions&lt;/keyword&gt;&lt;keyword&gt;System identification&lt;/keyword&gt;&lt;keyword&gt;Soil structure interactions&lt;/keyword&gt;&lt;keyword&gt;seismic response&lt;/keyword&gt;&lt;keyword&gt;soil structure interaction&lt;/keyword&gt;&lt;keyword&gt;structural response&lt;/keyword&gt;&lt;/keywords&gt;&lt;dates&gt;&lt;year&gt;1998&lt;/year&gt;&lt;/dates&gt;&lt;publisher&gt;John Wiley &amp;amp; Sons Ltd&lt;/publisher&gt;&lt;isbn&gt;00988847 (ISSN)&lt;/isbn&gt;&lt;urls&gt;&lt;related-urls&gt;&lt;url&gt;http://www.scopus.com/scopus/inward/record.url?eid=2-s2.0-0032143667&amp;amp;partnerID=40&lt;/url&gt;&lt;/related-urls&gt;&lt;/urls&gt;&lt;/record&gt;&lt;/Cite&gt;&lt;/EndNote&gt;</w:instrText>
      </w:r>
      <w:r w:rsidR="00384B97" w:rsidRPr="0023747E">
        <w:fldChar w:fldCharType="separate"/>
      </w:r>
      <w:r w:rsidRPr="0023747E">
        <w:rPr>
          <w:noProof/>
        </w:rPr>
        <w:t>(</w:t>
      </w:r>
      <w:hyperlink w:anchor="_ENREF_16" w:tooltip="Stewart, 1998 #229" w:history="1">
        <w:r w:rsidRPr="0023747E">
          <w:rPr>
            <w:noProof/>
          </w:rPr>
          <w:t>1998</w:t>
        </w:r>
      </w:hyperlink>
      <w:r w:rsidRPr="0023747E">
        <w:rPr>
          <w:noProof/>
        </w:rPr>
        <w:t>)</w:t>
      </w:r>
      <w:r w:rsidR="00384B97" w:rsidRPr="0023747E">
        <w:fldChar w:fldCharType="end"/>
      </w:r>
      <w:r>
        <w:t xml:space="preserve"> demonstrate that the poles of the flexible base transfer function </w:t>
      </w:r>
      <w:r w:rsidRPr="00B21A66">
        <w:rPr>
          <w:i/>
        </w:rPr>
        <w:t>H</w:t>
      </w:r>
      <w:r w:rsidRPr="00B21A66">
        <w:rPr>
          <w:i/>
          <w:vertAlign w:val="subscript"/>
        </w:rPr>
        <w:t>1</w:t>
      </w:r>
      <w:r>
        <w:t xml:space="preserve"> give natural frequencies and damping ratios of the entire dynamical system comprising the structure, foundation and soil. In other words, the identified modal parameters are influenced by the translational and rotational stiffness and damping of soil. The natural frequencies and damping ratios identified from the poles of the fixed base transfer function </w:t>
      </w:r>
      <w:r w:rsidRPr="00B21A66">
        <w:rPr>
          <w:i/>
        </w:rPr>
        <w:t>H</w:t>
      </w:r>
      <w:r>
        <w:rPr>
          <w:i/>
          <w:vertAlign w:val="subscript"/>
        </w:rPr>
        <w:t>3</w:t>
      </w:r>
      <w:r w:rsidRPr="00B21A66">
        <w:t>, o</w:t>
      </w:r>
      <w:r>
        <w:t>n</w:t>
      </w:r>
      <w:r w:rsidRPr="00B21A66">
        <w:t xml:space="preserve"> the other hand,</w:t>
      </w:r>
      <w:r>
        <w:t xml:space="preserve"> depend on the properties of the structure alone.  The pseudo flexible base case is an intermediate one where the pole</w:t>
      </w:r>
      <w:r w:rsidR="00366A26">
        <w:t>s</w:t>
      </w:r>
      <w:r>
        <w:t xml:space="preserve"> of transfer function </w:t>
      </w:r>
      <w:r w:rsidRPr="00B21A66">
        <w:rPr>
          <w:i/>
        </w:rPr>
        <w:t>H</w:t>
      </w:r>
      <w:r>
        <w:rPr>
          <w:i/>
          <w:vertAlign w:val="subscript"/>
        </w:rPr>
        <w:t>2</w:t>
      </w:r>
      <w:r>
        <w:t xml:space="preserve"> yield modal parameters that depend on the stiffness and damping associated with the structure and foundation rocking (or more generally those foundation DOFs whose responses are ignored or not available). By comparing modal parameters identified from the different transfer functions the influence of the various types of foundation motions on those can be assessed.</w:t>
      </w:r>
    </w:p>
    <w:p w:rsidR="00607C4B" w:rsidRDefault="00607C4B" w:rsidP="00607C4B">
      <w:r w:rsidRPr="000B3439">
        <w:t xml:space="preserve">To provide a simple quantification of the effects of SSI on </w:t>
      </w:r>
      <w:r>
        <w:t xml:space="preserve">the response of the </w:t>
      </w:r>
      <w:r w:rsidRPr="000B3439">
        <w:t xml:space="preserve">building </w:t>
      </w:r>
      <w:r>
        <w:t>in this study</w:t>
      </w:r>
      <w:r w:rsidRPr="000B3439">
        <w:t xml:space="preserve">, modal vibration parameters </w:t>
      </w:r>
      <w:r>
        <w:t>we</w:t>
      </w:r>
      <w:r w:rsidRPr="000B3439">
        <w:t xml:space="preserve">re sought through </w:t>
      </w:r>
      <w:r>
        <w:t>N4SID technique</w:t>
      </w:r>
      <w:r w:rsidRPr="000B3439">
        <w:t xml:space="preserve"> </w:t>
      </w:r>
      <w:r>
        <w:t>for the</w:t>
      </w:r>
      <w:r w:rsidRPr="000B3439">
        <w:t xml:space="preserve"> </w:t>
      </w:r>
      <w:r>
        <w:t>pseudo flexible base case</w:t>
      </w:r>
      <w:r w:rsidRPr="000B3439">
        <w:t xml:space="preserve"> and </w:t>
      </w:r>
      <w:r>
        <w:t>the</w:t>
      </w:r>
      <w:r w:rsidRPr="000B3439">
        <w:t xml:space="preserve"> </w:t>
      </w:r>
      <w:r w:rsidR="007E351B">
        <w:t>fixed</w:t>
      </w:r>
      <w:r w:rsidRPr="000B3439">
        <w:t xml:space="preserve"> base </w:t>
      </w:r>
      <w:r>
        <w:t>case</w:t>
      </w:r>
      <w:r w:rsidRPr="000B3439">
        <w:t xml:space="preserve"> using input-output pairs consisting of a combination of foundation and </w:t>
      </w:r>
      <w:r>
        <w:t>superstructure</w:t>
      </w:r>
      <w:r w:rsidRPr="000B3439">
        <w:t xml:space="preserve"> level recordings</w:t>
      </w:r>
      <w:r>
        <w:t xml:space="preserve"> as explained in Equations (</w:t>
      </w:r>
      <w:r w:rsidR="00213109">
        <w:t>5</w:t>
      </w:r>
      <w:r>
        <w:t>)-(6).</w:t>
      </w:r>
      <w:r w:rsidRPr="00C41C12">
        <w:t xml:space="preserve"> For </w:t>
      </w:r>
      <w:r w:rsidR="00366A26">
        <w:t xml:space="preserve">the </w:t>
      </w:r>
      <w:r w:rsidR="007E351B">
        <w:t>pseudo flexible base</w:t>
      </w:r>
      <w:r w:rsidR="00366A26">
        <w:t xml:space="preserve"> case</w:t>
      </w:r>
      <w:r w:rsidRPr="00C41C12">
        <w:t xml:space="preserve">, </w:t>
      </w:r>
      <w:r w:rsidR="007E351B">
        <w:t xml:space="preserve">horizontal </w:t>
      </w:r>
      <w:r w:rsidR="004F7BDE">
        <w:t>translations</w:t>
      </w:r>
      <w:r w:rsidR="007E351B">
        <w:t xml:space="preserve"> of </w:t>
      </w:r>
      <w:r w:rsidRPr="00C41C12">
        <w:t xml:space="preserve">sensors </w:t>
      </w:r>
      <w:r w:rsidR="007E351B">
        <w:t xml:space="preserve">21, 22 and 23 </w:t>
      </w:r>
      <w:r w:rsidRPr="00C41C12">
        <w:t xml:space="preserve">were taken as the inputs while </w:t>
      </w:r>
      <w:r w:rsidR="007E351B">
        <w:t xml:space="preserve">translational motions of </w:t>
      </w:r>
      <w:r w:rsidRPr="00C41C12">
        <w:t xml:space="preserve">sensors </w:t>
      </w:r>
      <w:r w:rsidR="00161D3E">
        <w:t xml:space="preserve">25, </w:t>
      </w:r>
      <w:r w:rsidR="007E351B">
        <w:t>26, 27</w:t>
      </w:r>
      <w:r w:rsidR="00161D3E">
        <w:t>, 28, 29</w:t>
      </w:r>
      <w:r w:rsidR="007E351B">
        <w:t xml:space="preserve"> and 2</w:t>
      </w:r>
      <w:r w:rsidR="00161D3E">
        <w:t>A</w:t>
      </w:r>
      <w:r w:rsidR="007E351B">
        <w:t xml:space="preserve"> as the outputs</w:t>
      </w:r>
      <w:r>
        <w:t xml:space="preserve">, whereas </w:t>
      </w:r>
      <w:r w:rsidR="007E351B">
        <w:t xml:space="preserve">all three motions </w:t>
      </w:r>
      <w:r w:rsidR="00161D3E">
        <w:t xml:space="preserve">(two translations and one vertical) </w:t>
      </w:r>
      <w:r w:rsidR="007E351B">
        <w:t>of sensors 21, 22, 23 and 24</w:t>
      </w:r>
      <w:r>
        <w:t xml:space="preserve"> as the input and </w:t>
      </w:r>
      <w:r w:rsidR="007E351B">
        <w:t xml:space="preserve">all three motions of </w:t>
      </w:r>
      <w:r>
        <w:t xml:space="preserve">sensors </w:t>
      </w:r>
      <w:r w:rsidR="007E351B">
        <w:t>25, 26, 27, 28, 29 and 2A</w:t>
      </w:r>
      <w:r>
        <w:t xml:space="preserve"> as the outputs for </w:t>
      </w:r>
      <w:r w:rsidR="00366A26">
        <w:t xml:space="preserve">the </w:t>
      </w:r>
      <w:r>
        <w:t>f</w:t>
      </w:r>
      <w:r w:rsidR="007E351B">
        <w:t>ixed</w:t>
      </w:r>
      <w:r>
        <w:t xml:space="preserve"> base case.</w:t>
      </w:r>
    </w:p>
    <w:p w:rsidR="00B050E3" w:rsidRDefault="00B050E3" w:rsidP="00B050E3">
      <w:pPr>
        <w:pStyle w:val="Heading1"/>
      </w:pPr>
      <w:r>
        <w:t>Analysis of the seismic response of the building</w:t>
      </w:r>
    </w:p>
    <w:p w:rsidR="00684EFB" w:rsidRDefault="00AA49F2" w:rsidP="00684EFB">
      <w:pPr>
        <w:rPr>
          <w:lang w:val="en-GB" w:eastAsia="en-GB"/>
        </w:rPr>
      </w:pPr>
      <w:r w:rsidRPr="0023229F">
        <w:rPr>
          <w:lang w:val="en-GB" w:eastAsia="en-GB"/>
        </w:rPr>
        <w:t xml:space="preserve">The objective of the research is to assess and understand the seismic response of </w:t>
      </w:r>
      <w:r w:rsidR="0023229F">
        <w:rPr>
          <w:lang w:val="en-GB" w:eastAsia="en-GB"/>
        </w:rPr>
        <w:t xml:space="preserve">the </w:t>
      </w:r>
      <w:r w:rsidRPr="0023229F">
        <w:rPr>
          <w:lang w:val="en-GB" w:eastAsia="en-GB"/>
        </w:rPr>
        <w:t xml:space="preserve">building </w:t>
      </w:r>
      <w:r w:rsidR="0023229F">
        <w:rPr>
          <w:lang w:val="en-GB" w:eastAsia="en-GB"/>
        </w:rPr>
        <w:t xml:space="preserve">before and after </w:t>
      </w:r>
      <w:r w:rsidR="00FD491A">
        <w:rPr>
          <w:lang w:val="en-GB" w:eastAsia="en-GB"/>
        </w:rPr>
        <w:t xml:space="preserve">the </w:t>
      </w:r>
      <w:r w:rsidR="0023229F">
        <w:rPr>
          <w:lang w:val="en-GB" w:eastAsia="en-GB"/>
        </w:rPr>
        <w:t xml:space="preserve">devastating earthquakes to ascertain the </w:t>
      </w:r>
      <w:r w:rsidR="00A553C7">
        <w:rPr>
          <w:lang w:val="en-GB" w:eastAsia="en-GB"/>
        </w:rPr>
        <w:t>behaviour</w:t>
      </w:r>
      <w:r w:rsidR="0023229F">
        <w:rPr>
          <w:lang w:val="en-GB" w:eastAsia="en-GB"/>
        </w:rPr>
        <w:t xml:space="preserve"> of the building system based on the frequency v</w:t>
      </w:r>
      <w:r w:rsidR="00750B10">
        <w:rPr>
          <w:lang w:val="en-GB" w:eastAsia="en-GB"/>
        </w:rPr>
        <w:t>ersu</w:t>
      </w:r>
      <w:r w:rsidR="0023229F">
        <w:rPr>
          <w:lang w:val="en-GB" w:eastAsia="en-GB"/>
        </w:rPr>
        <w:t xml:space="preserve">s response levels. </w:t>
      </w:r>
      <w:r w:rsidRPr="0023229F">
        <w:rPr>
          <w:lang w:val="en-GB" w:eastAsia="en-GB"/>
        </w:rPr>
        <w:t xml:space="preserve">In particular, </w:t>
      </w:r>
      <w:r w:rsidR="00FD491A">
        <w:rPr>
          <w:lang w:val="en-GB" w:eastAsia="en-GB"/>
        </w:rPr>
        <w:t xml:space="preserve">the </w:t>
      </w:r>
      <w:r w:rsidRPr="0023229F">
        <w:rPr>
          <w:lang w:val="en-GB" w:eastAsia="en-GB"/>
        </w:rPr>
        <w:t xml:space="preserve">trends are investigated between PRA </w:t>
      </w:r>
      <w:r w:rsidR="00750B10">
        <w:rPr>
          <w:lang w:val="en-GB" w:eastAsia="en-GB"/>
        </w:rPr>
        <w:t xml:space="preserve">of sensor 28 </w:t>
      </w:r>
      <w:r w:rsidRPr="0023229F">
        <w:rPr>
          <w:lang w:val="en-GB" w:eastAsia="en-GB"/>
        </w:rPr>
        <w:t>and the identified first three natural frequencies of the building</w:t>
      </w:r>
      <w:r w:rsidR="0023229F">
        <w:rPr>
          <w:lang w:val="en-GB" w:eastAsia="en-GB"/>
        </w:rPr>
        <w:t xml:space="preserve"> using nine events</w:t>
      </w:r>
      <w:r w:rsidRPr="0023229F">
        <w:rPr>
          <w:lang w:val="en-GB" w:eastAsia="en-GB"/>
        </w:rPr>
        <w:t>. The presentation will thus follow selection of earthquak</w:t>
      </w:r>
      <w:r w:rsidR="00750B10">
        <w:rPr>
          <w:lang w:val="en-GB" w:eastAsia="en-GB"/>
        </w:rPr>
        <w:t>es, modal system identification and</w:t>
      </w:r>
      <w:r w:rsidRPr="0023229F">
        <w:rPr>
          <w:lang w:val="en-GB" w:eastAsia="en-GB"/>
        </w:rPr>
        <w:t xml:space="preserve"> evaluating the difference in the behaviour of building </w:t>
      </w:r>
      <w:r w:rsidR="0023229F">
        <w:rPr>
          <w:lang w:val="en-GB" w:eastAsia="en-GB"/>
        </w:rPr>
        <w:t>before and after the strong events</w:t>
      </w:r>
      <w:r w:rsidRPr="0023229F">
        <w:rPr>
          <w:lang w:val="en-GB" w:eastAsia="en-GB"/>
        </w:rPr>
        <w:t xml:space="preserve"> </w:t>
      </w:r>
      <w:r w:rsidR="007913A7">
        <w:rPr>
          <w:lang w:val="en-GB" w:eastAsia="en-GB"/>
        </w:rPr>
        <w:t>including</w:t>
      </w:r>
      <w:r w:rsidRPr="0023229F">
        <w:rPr>
          <w:lang w:val="en-GB" w:eastAsia="en-GB"/>
        </w:rPr>
        <w:t xml:space="preserve"> effects of SSI.</w:t>
      </w:r>
    </w:p>
    <w:p w:rsidR="007913A7" w:rsidRDefault="007913A7" w:rsidP="007913A7">
      <w:pPr>
        <w:pStyle w:val="Heading2"/>
        <w:rPr>
          <w:lang w:val="en-GB" w:eastAsia="en-GB"/>
        </w:rPr>
      </w:pPr>
      <w:r>
        <w:rPr>
          <w:lang w:val="en-GB" w:eastAsia="en-GB"/>
        </w:rPr>
        <w:t>Earthquake records used in the analysis</w:t>
      </w:r>
    </w:p>
    <w:p w:rsidR="007913A7" w:rsidRPr="007913A7" w:rsidRDefault="007913A7" w:rsidP="007913A7">
      <w:pPr>
        <w:rPr>
          <w:lang w:val="en-GB" w:eastAsia="en-GB"/>
        </w:rPr>
      </w:pPr>
      <w:r>
        <w:rPr>
          <w:lang w:val="en-GB" w:eastAsia="en-GB"/>
        </w:rPr>
        <w:t>For this study, nine events are selected</w:t>
      </w:r>
      <w:r w:rsidR="00E97F27">
        <w:rPr>
          <w:lang w:val="en-GB" w:eastAsia="en-GB"/>
        </w:rPr>
        <w:t xml:space="preserve"> as shown in Table 1</w:t>
      </w:r>
      <w:r w:rsidR="00E25B97">
        <w:rPr>
          <w:lang w:val="en-GB" w:eastAsia="en-GB"/>
        </w:rPr>
        <w:t>.</w:t>
      </w:r>
      <w:r>
        <w:rPr>
          <w:lang w:val="en-GB" w:eastAsia="en-GB"/>
        </w:rPr>
        <w:t xml:space="preserve"> </w:t>
      </w:r>
      <w:r w:rsidR="00E25B97">
        <w:rPr>
          <w:lang w:val="en-GB" w:eastAsia="en-GB"/>
        </w:rPr>
        <w:t>T</w:t>
      </w:r>
      <w:r>
        <w:rPr>
          <w:lang w:val="en-GB" w:eastAsia="en-GB"/>
        </w:rPr>
        <w:t xml:space="preserve">hree of </w:t>
      </w:r>
      <w:r w:rsidR="00E25B97">
        <w:rPr>
          <w:lang w:val="en-GB" w:eastAsia="en-GB"/>
        </w:rPr>
        <w:t>the events</w:t>
      </w:r>
      <w:r>
        <w:rPr>
          <w:lang w:val="en-GB" w:eastAsia="en-GB"/>
        </w:rPr>
        <w:t xml:space="preserve"> occurred </w:t>
      </w:r>
      <w:r w:rsidR="00E25B97">
        <w:rPr>
          <w:lang w:val="en-GB" w:eastAsia="en-GB"/>
        </w:rPr>
        <w:t>in 2007, the next three are the</w:t>
      </w:r>
      <w:r>
        <w:rPr>
          <w:lang w:val="en-GB" w:eastAsia="en-GB"/>
        </w:rPr>
        <w:t xml:space="preserve"> </w:t>
      </w:r>
      <w:r w:rsidR="00E25B97">
        <w:rPr>
          <w:lang w:val="en-GB" w:eastAsia="en-GB"/>
        </w:rPr>
        <w:t xml:space="preserve">Darfield </w:t>
      </w:r>
      <w:r w:rsidR="00E06AD9">
        <w:rPr>
          <w:lang w:val="en-GB" w:eastAsia="en-GB"/>
        </w:rPr>
        <w:t>main shock and two aftershocks,</w:t>
      </w:r>
      <w:r w:rsidR="00E25B97">
        <w:rPr>
          <w:lang w:val="en-GB" w:eastAsia="en-GB"/>
        </w:rPr>
        <w:t xml:space="preserve"> and the remaining three are </w:t>
      </w:r>
      <w:r w:rsidR="00E06AD9">
        <w:rPr>
          <w:lang w:val="en-GB" w:eastAsia="en-GB"/>
        </w:rPr>
        <w:t>the</w:t>
      </w:r>
      <w:r w:rsidR="00E25B97">
        <w:rPr>
          <w:lang w:val="en-GB" w:eastAsia="en-GB"/>
        </w:rPr>
        <w:t xml:space="preserve"> Christchurch </w:t>
      </w:r>
      <w:r w:rsidR="00E06AD9">
        <w:rPr>
          <w:lang w:val="en-GB" w:eastAsia="en-GB"/>
        </w:rPr>
        <w:t>main shock and aftershocks</w:t>
      </w:r>
      <w:r w:rsidR="00E25B97">
        <w:rPr>
          <w:lang w:val="en-GB" w:eastAsia="en-GB"/>
        </w:rPr>
        <w:t xml:space="preserve">. The selection is </w:t>
      </w:r>
      <w:r w:rsidR="00E06AD9">
        <w:rPr>
          <w:lang w:val="en-GB" w:eastAsia="en-GB"/>
        </w:rPr>
        <w:t>intended</w:t>
      </w:r>
      <w:r w:rsidR="00E25B97">
        <w:rPr>
          <w:lang w:val="en-GB" w:eastAsia="en-GB"/>
        </w:rPr>
        <w:t xml:space="preserve"> to ascertain the response of the building </w:t>
      </w:r>
      <w:r w:rsidR="00E06AD9">
        <w:rPr>
          <w:lang w:val="en-GB" w:eastAsia="en-GB"/>
        </w:rPr>
        <w:t>before</w:t>
      </w:r>
      <w:r w:rsidR="00E25B97">
        <w:rPr>
          <w:lang w:val="en-GB" w:eastAsia="en-GB"/>
        </w:rPr>
        <w:t xml:space="preserve"> </w:t>
      </w:r>
      <w:r w:rsidR="00E06AD9">
        <w:rPr>
          <w:lang w:val="en-GB" w:eastAsia="en-GB"/>
        </w:rPr>
        <w:t xml:space="preserve">the first </w:t>
      </w:r>
      <w:r w:rsidR="00E25B97">
        <w:rPr>
          <w:lang w:val="en-GB" w:eastAsia="en-GB"/>
        </w:rPr>
        <w:t>strong event ha</w:t>
      </w:r>
      <w:r w:rsidR="00E06AD9">
        <w:rPr>
          <w:lang w:val="en-GB" w:eastAsia="en-GB"/>
        </w:rPr>
        <w:t>d</w:t>
      </w:r>
      <w:r w:rsidR="00E25B97">
        <w:rPr>
          <w:lang w:val="en-GB" w:eastAsia="en-GB"/>
        </w:rPr>
        <w:t xml:space="preserve"> </w:t>
      </w:r>
      <w:r w:rsidR="00E06AD9">
        <w:rPr>
          <w:lang w:val="en-GB" w:eastAsia="en-GB"/>
        </w:rPr>
        <w:t>occurred</w:t>
      </w:r>
      <w:r w:rsidR="00E25B97">
        <w:rPr>
          <w:lang w:val="en-GB" w:eastAsia="en-GB"/>
        </w:rPr>
        <w:t>, then during and after the first strong event</w:t>
      </w:r>
      <w:r w:rsidR="00E06AD9">
        <w:rPr>
          <w:lang w:val="en-GB" w:eastAsia="en-GB"/>
        </w:rPr>
        <w:t>,</w:t>
      </w:r>
      <w:r w:rsidR="00E25B97">
        <w:rPr>
          <w:lang w:val="en-GB" w:eastAsia="en-GB"/>
        </w:rPr>
        <w:t xml:space="preserve"> and lastly during the second strong event and after it. </w:t>
      </w:r>
      <w:r w:rsidR="00E06AD9">
        <w:rPr>
          <w:lang w:val="en-GB" w:eastAsia="en-GB"/>
        </w:rPr>
        <w:t>B</w:t>
      </w:r>
      <w:r w:rsidR="00841850">
        <w:rPr>
          <w:lang w:val="en-GB" w:eastAsia="en-GB"/>
        </w:rPr>
        <w:t>ased on the excitation and response levels before and after the strong events, the change</w:t>
      </w:r>
      <w:r w:rsidR="002216E9">
        <w:rPr>
          <w:lang w:val="en-GB" w:eastAsia="en-GB"/>
        </w:rPr>
        <w:t>s</w:t>
      </w:r>
      <w:r w:rsidR="00841850">
        <w:rPr>
          <w:lang w:val="en-GB" w:eastAsia="en-GB"/>
        </w:rPr>
        <w:t xml:space="preserve"> in the behaviour of the building is ascertained with fixed and pseudo flexible base models.</w:t>
      </w:r>
    </w:p>
    <w:p w:rsidR="00684EFB" w:rsidRDefault="00684EFB" w:rsidP="007F6A93">
      <w:pPr>
        <w:pStyle w:val="Heading2"/>
      </w:pPr>
      <w:r w:rsidRPr="00AA1F4E">
        <w:t xml:space="preserve">Modal </w:t>
      </w:r>
      <w:r w:rsidRPr="007F6A93">
        <w:t>identification</w:t>
      </w:r>
      <w:r w:rsidRPr="00AA1F4E">
        <w:t xml:space="preserve"> of the building</w:t>
      </w:r>
    </w:p>
    <w:p w:rsidR="00DC0904" w:rsidRDefault="00841850" w:rsidP="00841850">
      <w:r>
        <w:t xml:space="preserve">N4SID technique was used to identify the first three frequencies, corresponding damping ratios and mode shapes. Sampling rate of the digitized signal was 200Hz and for establishing stabilization charts system orders from 2 to 150 were considered. A typical stabilization chart is shown in Figure 3: </w:t>
      </w:r>
      <w:r w:rsidRPr="00450571">
        <w:t xml:space="preserve">the marker </w:t>
      </w:r>
      <w:r>
        <w:t xml:space="preserve">‘black </w:t>
      </w:r>
      <w:r w:rsidRPr="00450571">
        <w:t>dot</w:t>
      </w:r>
      <w:r>
        <w:t>’</w:t>
      </w:r>
      <w:r w:rsidRPr="00450571">
        <w:t xml:space="preserve"> shows all the identified frequencies, </w:t>
      </w:r>
      <w:r>
        <w:t>‘red dot’</w:t>
      </w:r>
      <w:r w:rsidRPr="00450571">
        <w:t xml:space="preserve"> </w:t>
      </w:r>
      <w:r>
        <w:t>shows</w:t>
      </w:r>
      <w:r w:rsidRPr="00450571">
        <w:t xml:space="preserve"> stable frequencies </w:t>
      </w:r>
      <w:r>
        <w:t>and</w:t>
      </w:r>
      <w:r w:rsidRPr="00450571">
        <w:t xml:space="preserve"> damping ratios, while </w:t>
      </w:r>
      <w:r>
        <w:t>‘blue circle’</w:t>
      </w:r>
      <w:r w:rsidRPr="00450571">
        <w:t xml:space="preserve"> stable frequencies</w:t>
      </w:r>
      <w:r>
        <w:t>,</w:t>
      </w:r>
      <w:r w:rsidRPr="00450571">
        <w:t xml:space="preserve"> damping ratios and mode shapes</w:t>
      </w:r>
      <w:r>
        <w:t xml:space="preserve">. </w:t>
      </w:r>
      <w:r w:rsidRPr="00C41C12">
        <w:t>In this research, an identified frequency was considered to be stable if the absolute deviation between the frequency identified at the present and previous order was less than or equal to 0.01Hz. A stable</w:t>
      </w:r>
      <w:r>
        <w:t xml:space="preserve"> damping ratio was defined by a </w:t>
      </w:r>
      <w:r w:rsidRPr="00C41C12">
        <w:t>deviati</w:t>
      </w:r>
      <w:r w:rsidR="00E06AD9">
        <w:t>on less than 5%. For mode shape</w:t>
      </w:r>
      <w:r w:rsidRPr="00C41C12">
        <w:t xml:space="preserve"> stability, model assurance criterion (MAC) between the mode shapes of</w:t>
      </w:r>
      <w:r w:rsidR="00E06AD9">
        <w:t xml:space="preserve"> the present and previous order</w:t>
      </w:r>
      <w:r w:rsidRPr="00C41C12">
        <w:t xml:space="preserve"> was to be at least 9</w:t>
      </w:r>
      <w:r>
        <w:t>0</w:t>
      </w:r>
      <w:r w:rsidRPr="00C41C12">
        <w:t>% or greater.</w:t>
      </w:r>
      <w:r>
        <w:t xml:space="preserve"> </w:t>
      </w:r>
      <w:r w:rsidR="0099225F">
        <w:t xml:space="preserve">In this study, </w:t>
      </w:r>
      <w:r w:rsidR="00E06AD9">
        <w:t xml:space="preserve">the </w:t>
      </w:r>
      <w:r>
        <w:t xml:space="preserve">first three modes were identified with confidence </w:t>
      </w:r>
      <w:r w:rsidR="004015EB">
        <w:t xml:space="preserve">in all the events </w:t>
      </w:r>
      <w:r>
        <w:t>and subsequent discussions focus on these</w:t>
      </w:r>
      <w:r w:rsidR="00465B41">
        <w:t xml:space="preserve"> only</w:t>
      </w:r>
      <w:r>
        <w:t>.</w:t>
      </w:r>
    </w:p>
    <w:p w:rsidR="007A4246" w:rsidRDefault="00CF2A52" w:rsidP="007A4246">
      <w:r>
        <w:t>For both pseudo flexible and fixed base models same mode shapes were observed in the planar view. The t</w:t>
      </w:r>
      <w:r w:rsidRPr="00C41C12">
        <w:t xml:space="preserve">ypical first three mode shapes of </w:t>
      </w:r>
      <w:r w:rsidR="00E06AD9">
        <w:t xml:space="preserve">the </w:t>
      </w:r>
      <w:r w:rsidRPr="00C41C12">
        <w:t xml:space="preserve">building are shown in Figure </w:t>
      </w:r>
      <w:r>
        <w:t>5</w:t>
      </w:r>
      <w:r w:rsidR="00FB0F8C">
        <w:t>.</w:t>
      </w:r>
      <w:r w:rsidRPr="00C41C12">
        <w:t xml:space="preserve"> </w:t>
      </w:r>
      <w:r w:rsidR="00FB0F8C">
        <w:t>The levels of the building which ha</w:t>
      </w:r>
      <w:r w:rsidR="00E06AD9">
        <w:t>d</w:t>
      </w:r>
      <w:r w:rsidR="00FB0F8C">
        <w:t xml:space="preserve"> instrumentation are represented in the mode shapes in planar view.</w:t>
      </w:r>
      <w:r w:rsidRPr="00C41C12">
        <w:t xml:space="preserve"> </w:t>
      </w:r>
      <w:r>
        <w:t xml:space="preserve">(Note that because of a limited number of measurement points those graphs assume the floors were rigid diaphragms.) </w:t>
      </w:r>
      <w:r w:rsidRPr="00C41C12">
        <w:t xml:space="preserve">The shape of the first mode shows it to be a translational mode along </w:t>
      </w:r>
      <w:r w:rsidR="00FD491A">
        <w:t>X-direction. The second mode is</w:t>
      </w:r>
      <w:r w:rsidR="007A4246">
        <w:t xml:space="preserve"> </w:t>
      </w:r>
      <w:r w:rsidR="007A4246" w:rsidRPr="00C41C12">
        <w:t>torsional and the third one is a translation</w:t>
      </w:r>
      <w:r w:rsidR="007A4246">
        <w:t xml:space="preserve"> along Y-direction</w:t>
      </w:r>
      <w:r w:rsidR="007A4246" w:rsidRPr="00C41C12">
        <w:t>.</w:t>
      </w:r>
    </w:p>
    <w:p w:rsidR="00F6573A" w:rsidRDefault="0095458B" w:rsidP="00F6573A">
      <w:pPr>
        <w:jc w:val="center"/>
      </w:pPr>
      <w:r>
        <w:rPr>
          <w:noProof/>
          <w:lang w:eastAsia="en-NZ"/>
        </w:rPr>
        <w:drawing>
          <wp:inline distT="0" distB="0" distL="0" distR="0">
            <wp:extent cx="3251765" cy="2116182"/>
            <wp:effectExtent l="0" t="0" r="635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e_shapes.tif"/>
                    <pic:cNvPicPr/>
                  </pic:nvPicPr>
                  <pic:blipFill>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247175" cy="2113195"/>
                    </a:xfrm>
                    <a:prstGeom prst="rect">
                      <a:avLst/>
                    </a:prstGeom>
                  </pic:spPr>
                </pic:pic>
              </a:graphicData>
            </a:graphic>
          </wp:inline>
        </w:drawing>
      </w:r>
    </w:p>
    <w:p w:rsidR="0095458B" w:rsidRDefault="0095458B" w:rsidP="0095458B">
      <w:pPr>
        <w:spacing w:line="220" w:lineRule="atLeast"/>
        <w:jc w:val="center"/>
        <w:rPr>
          <w:sz w:val="20"/>
        </w:rPr>
      </w:pPr>
      <w:r w:rsidRPr="0095458B">
        <w:rPr>
          <w:sz w:val="20"/>
        </w:rPr>
        <w:t xml:space="preserve">Figure 5. Planar views of the </w:t>
      </w:r>
      <w:r w:rsidR="00852CAF">
        <w:rPr>
          <w:sz w:val="20"/>
        </w:rPr>
        <w:t xml:space="preserve">typical </w:t>
      </w:r>
      <w:r w:rsidRPr="0095458B">
        <w:rPr>
          <w:sz w:val="20"/>
        </w:rPr>
        <w:t>first three mode shapes</w:t>
      </w:r>
    </w:p>
    <w:p w:rsidR="002216E9" w:rsidRDefault="002216E9" w:rsidP="002216E9">
      <w:r w:rsidRPr="009077CC">
        <w:t>During some events, the second mode w</w:t>
      </w:r>
      <w:r w:rsidR="00F257B0">
        <w:t>as</w:t>
      </w:r>
      <w:r w:rsidRPr="009077CC">
        <w:t xml:space="preserve"> missing in the system identification results</w:t>
      </w:r>
      <w:r w:rsidR="00D94967">
        <w:t xml:space="preserve"> (Table 1)</w:t>
      </w:r>
      <w:r w:rsidRPr="009077CC">
        <w:t>, which s</w:t>
      </w:r>
      <w:r>
        <w:t>uggests</w:t>
      </w:r>
      <w:r w:rsidRPr="009077CC">
        <w:t xml:space="preserve"> that during those particular events th</w:t>
      </w:r>
      <w:r w:rsidR="00F257B0">
        <w:t>is</w:t>
      </w:r>
      <w:r w:rsidRPr="009077CC">
        <w:t xml:space="preserve"> mode did not vibrate strongly enough. In </w:t>
      </w:r>
      <w:r w:rsidR="00F257B0">
        <w:t>an</w:t>
      </w:r>
      <w:r w:rsidRPr="009077CC">
        <w:t xml:space="preserve"> event, the second and third modal frequencies tended to be very close and the minimum difference between these two was found to be 0.0</w:t>
      </w:r>
      <w:r w:rsidR="00F257B0">
        <w:t>4</w:t>
      </w:r>
      <w:r w:rsidRPr="009077CC">
        <w:t xml:space="preserve"> Hz. This shows the capability of N4SID technique to identify very closely spaced modes.</w:t>
      </w:r>
    </w:p>
    <w:p w:rsidR="00D94967" w:rsidRDefault="00D94967" w:rsidP="00D94967">
      <w:pPr>
        <w:pStyle w:val="Heading2"/>
      </w:pPr>
      <w:r>
        <w:t>Evaluating the difference in the behaviour of building</w:t>
      </w:r>
      <w:r w:rsidR="00532C9F">
        <w:t xml:space="preserve"> considering </w:t>
      </w:r>
      <w:r w:rsidR="0099733A">
        <w:t>SSI</w:t>
      </w:r>
    </w:p>
    <w:p w:rsidR="0040798A" w:rsidRDefault="00D94967" w:rsidP="0040798A">
      <w:r w:rsidRPr="00A437F6">
        <w:t xml:space="preserve">Table </w:t>
      </w:r>
      <w:r>
        <w:t>1</w:t>
      </w:r>
      <w:r w:rsidRPr="00A437F6">
        <w:t xml:space="preserve"> shows </w:t>
      </w:r>
      <w:r w:rsidR="00CA4FC5">
        <w:t xml:space="preserve">the identified frequencies and damping ratios </w:t>
      </w:r>
      <w:r w:rsidRPr="00A437F6">
        <w:t xml:space="preserve">for the </w:t>
      </w:r>
      <w:r>
        <w:t>analysed</w:t>
      </w:r>
      <w:r w:rsidRPr="00A437F6">
        <w:t xml:space="preserve"> </w:t>
      </w:r>
      <w:r>
        <w:t>nine</w:t>
      </w:r>
      <w:r w:rsidRPr="00A437F6">
        <w:t xml:space="preserve"> earthquakes</w:t>
      </w:r>
      <w:r>
        <w:t xml:space="preserve"> for both fixed and pseudo flexible base models</w:t>
      </w:r>
      <w:r w:rsidRPr="00A437F6">
        <w:t xml:space="preserve">. </w:t>
      </w:r>
      <w:r w:rsidR="00CA4FC5">
        <w:t xml:space="preserve">The minimum, maximum and average values of the fixed base models </w:t>
      </w:r>
      <w:r w:rsidR="00223E44">
        <w:t xml:space="preserve">are 1.65Hz, 2.68Hz and 2.20Hz for </w:t>
      </w:r>
      <w:r w:rsidR="00E06AD9">
        <w:t xml:space="preserve">the </w:t>
      </w:r>
      <w:r w:rsidR="00223E44">
        <w:t>first mode frequenc</w:t>
      </w:r>
      <w:r w:rsidR="00AF52B6">
        <w:t>y</w:t>
      </w:r>
      <w:r w:rsidR="00E06AD9">
        <w:t>,</w:t>
      </w:r>
      <w:r w:rsidR="00223E44">
        <w:t xml:space="preserve"> respectively, whereas </w:t>
      </w:r>
      <w:r w:rsidR="00E06AD9">
        <w:t xml:space="preserve">they are </w:t>
      </w:r>
      <w:r w:rsidR="00223E44">
        <w:t xml:space="preserve">1.62Hz, 2.68Hz and 2.20Hz for </w:t>
      </w:r>
      <w:r w:rsidR="00E06AD9">
        <w:t xml:space="preserve">the </w:t>
      </w:r>
      <w:r w:rsidR="00223E44">
        <w:t>pseudo flexible base model</w:t>
      </w:r>
      <w:bookmarkStart w:id="0" w:name="_GoBack"/>
      <w:bookmarkEnd w:id="0"/>
      <w:r w:rsidR="00223E44">
        <w:t xml:space="preserve">. It can be observed that </w:t>
      </w:r>
      <w:r w:rsidR="00E06AD9">
        <w:t xml:space="preserve">the </w:t>
      </w:r>
      <w:r w:rsidR="00223E44">
        <w:t xml:space="preserve">fixed and pseudo flexible base model frequencies </w:t>
      </w:r>
      <w:r w:rsidR="00E47861">
        <w:t xml:space="preserve">for the first mode </w:t>
      </w:r>
      <w:r w:rsidR="00223E44">
        <w:t xml:space="preserve">are almost same except for the case of Darfield earthquake which </w:t>
      </w:r>
      <w:r w:rsidR="00E06AD9">
        <w:t>shows</w:t>
      </w:r>
      <w:r w:rsidR="00223E44">
        <w:t xml:space="preserve"> 0.03H</w:t>
      </w:r>
      <w:r w:rsidR="0088141F">
        <w:t>z</w:t>
      </w:r>
      <w:r w:rsidR="00E47861">
        <w:t xml:space="preserve"> difference</w:t>
      </w:r>
      <w:r w:rsidR="00A92FBC" w:rsidRPr="007816AB">
        <w:t xml:space="preserve">. </w:t>
      </w:r>
      <w:r w:rsidR="003A30EF" w:rsidRPr="007816AB">
        <w:t>However, i</w:t>
      </w:r>
      <w:r w:rsidR="006E3734" w:rsidRPr="007816AB">
        <w:t xml:space="preserve">t cannot be </w:t>
      </w:r>
      <w:r w:rsidR="007816AB" w:rsidRPr="007816AB">
        <w:t>concluded that SSI is unimportant for the building</w:t>
      </w:r>
      <w:r w:rsidR="00BB501E">
        <w:t xml:space="preserve"> first mode</w:t>
      </w:r>
      <w:r w:rsidR="007816AB" w:rsidRPr="007816AB">
        <w:t>. A</w:t>
      </w:r>
      <w:r w:rsidR="006E3734" w:rsidRPr="007816AB">
        <w:t xml:space="preserve">s explained in </w:t>
      </w:r>
      <w:r w:rsidR="00AB7D22" w:rsidRPr="007816AB">
        <w:t xml:space="preserve">the </w:t>
      </w:r>
      <w:r w:rsidR="006E3734" w:rsidRPr="007816AB">
        <w:t>section 3.2</w:t>
      </w:r>
      <w:r w:rsidR="007816AB" w:rsidRPr="007816AB">
        <w:t>, the difference between the fixed and pseudo flexible case is the inclusion o</w:t>
      </w:r>
      <w:r w:rsidR="00BB501E">
        <w:t xml:space="preserve">f foundation rocking. However, </w:t>
      </w:r>
      <w:r w:rsidR="007816AB" w:rsidRPr="007816AB">
        <w:t>due to the lack of a free field sensor the influence of foundation lateral motion</w:t>
      </w:r>
      <w:r w:rsidR="00634EF9">
        <w:t>s</w:t>
      </w:r>
      <w:r w:rsidR="007816AB" w:rsidRPr="007816AB">
        <w:t xml:space="preserve"> could not be studied. It has been demonstrated that those effects can be significant (Butt </w:t>
      </w:r>
      <w:r w:rsidR="00634EF9">
        <w:t>&amp;</w:t>
      </w:r>
      <w:r w:rsidR="007816AB" w:rsidRPr="007816AB">
        <w:t xml:space="preserve"> Omenzetter 2012)</w:t>
      </w:r>
      <w:r w:rsidR="006E3734" w:rsidRPr="007816AB">
        <w:t xml:space="preserve">. </w:t>
      </w:r>
      <w:r w:rsidR="00021495" w:rsidRPr="007816AB">
        <w:t>T</w:t>
      </w:r>
      <w:r w:rsidR="008A2C9D" w:rsidRPr="007816AB">
        <w:t xml:space="preserve">he </w:t>
      </w:r>
      <w:r w:rsidR="00603D72" w:rsidRPr="007816AB">
        <w:t xml:space="preserve">pseudo flexible base </w:t>
      </w:r>
      <w:r w:rsidR="006E3734" w:rsidRPr="007816AB">
        <w:t>case</w:t>
      </w:r>
      <w:r w:rsidR="00603D72" w:rsidRPr="007816AB">
        <w:t xml:space="preserve"> which according to the model represents the behaviour of the building including rocking effect</w:t>
      </w:r>
      <w:r w:rsidR="00E13776" w:rsidRPr="007816AB">
        <w:t xml:space="preserve"> </w:t>
      </w:r>
      <w:r w:rsidR="0060567A" w:rsidRPr="007816AB">
        <w:t xml:space="preserve">(SSI) </w:t>
      </w:r>
      <w:r w:rsidR="00603D72" w:rsidRPr="007816AB">
        <w:t>will be the focus of the discussion</w:t>
      </w:r>
      <w:r w:rsidR="00865191" w:rsidRPr="007816AB">
        <w:t xml:space="preserve"> to assess the changes in the behaviour of the building </w:t>
      </w:r>
      <w:r w:rsidR="00B4730D" w:rsidRPr="007816AB">
        <w:t>for the selected earthquakes</w:t>
      </w:r>
      <w:r w:rsidR="00603D72" w:rsidRPr="007816AB">
        <w:t>.</w:t>
      </w:r>
      <w:r w:rsidR="00021495">
        <w:t xml:space="preserve"> </w:t>
      </w:r>
      <w:r w:rsidR="007816AB">
        <w:t>T</w:t>
      </w:r>
      <w:r w:rsidR="00021495">
        <w:t>here are</w:t>
      </w:r>
      <w:r w:rsidR="007816AB">
        <w:t>, however,</w:t>
      </w:r>
      <w:r w:rsidR="00021495">
        <w:t xml:space="preserve"> visible difference</w:t>
      </w:r>
      <w:r w:rsidR="00021495" w:rsidRPr="00021495">
        <w:rPr>
          <w:sz w:val="20"/>
        </w:rPr>
        <w:t>s</w:t>
      </w:r>
      <w:r w:rsidR="00075738">
        <w:rPr>
          <w:sz w:val="20"/>
        </w:rPr>
        <w:t xml:space="preserve"> </w:t>
      </w:r>
      <w:r w:rsidR="00075738">
        <w:t>for the second and third modal frequencies. The maximum difference (0.31Hz) was found for the</w:t>
      </w:r>
      <w:r w:rsidR="00BB501E">
        <w:t xml:space="preserve"> second frequency (torsional mode) </w:t>
      </w:r>
    </w:p>
    <w:p w:rsidR="00603D72" w:rsidRDefault="00603D72" w:rsidP="00603D72">
      <w:pPr>
        <w:jc w:val="center"/>
      </w:pPr>
      <w:r w:rsidRPr="007D5FA6">
        <w:rPr>
          <w:b/>
          <w:sz w:val="20"/>
        </w:rPr>
        <w:t>Table 1. Summary of identified frequencies and damping ratios for fixed and pseudo flexible base models</w:t>
      </w:r>
    </w:p>
    <w:tbl>
      <w:tblPr>
        <w:tblStyle w:val="TableGrid"/>
        <w:tblW w:w="9532" w:type="dxa"/>
        <w:tblInd w:w="-34" w:type="dxa"/>
        <w:tblLayout w:type="fixed"/>
        <w:tblLook w:val="04A0"/>
      </w:tblPr>
      <w:tblGrid>
        <w:gridCol w:w="34"/>
        <w:gridCol w:w="1274"/>
        <w:gridCol w:w="681"/>
        <w:gridCol w:w="678"/>
        <w:gridCol w:w="680"/>
        <w:gridCol w:w="679"/>
        <w:gridCol w:w="651"/>
        <w:gridCol w:w="29"/>
        <w:gridCol w:w="21"/>
        <w:gridCol w:w="694"/>
        <w:gridCol w:w="649"/>
        <w:gridCol w:w="36"/>
        <w:gridCol w:w="644"/>
        <w:gridCol w:w="680"/>
        <w:gridCol w:w="684"/>
        <w:gridCol w:w="709"/>
        <w:gridCol w:w="23"/>
        <w:gridCol w:w="475"/>
        <w:gridCol w:w="211"/>
      </w:tblGrid>
      <w:tr w:rsidR="00603D72" w:rsidTr="00552DE2">
        <w:trPr>
          <w:trHeight w:val="113"/>
        </w:trPr>
        <w:tc>
          <w:tcPr>
            <w:tcW w:w="1308" w:type="dxa"/>
            <w:gridSpan w:val="2"/>
            <w:tcBorders>
              <w:top w:val="nil"/>
              <w:left w:val="nil"/>
              <w:bottom w:val="nil"/>
              <w:right w:val="nil"/>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p>
        </w:tc>
        <w:tc>
          <w:tcPr>
            <w:tcW w:w="681" w:type="dxa"/>
            <w:tcBorders>
              <w:top w:val="nil"/>
              <w:left w:val="nil"/>
              <w:bottom w:val="nil"/>
              <w:right w:val="nil"/>
            </w:tcBorders>
            <w:vAlign w:val="center"/>
          </w:tcPr>
          <w:p w:rsidR="00603D72" w:rsidRPr="00AA5A01" w:rsidRDefault="00603D72" w:rsidP="0040798A">
            <w:pPr>
              <w:spacing w:line="200" w:lineRule="atLeast"/>
              <w:contextualSpacing/>
              <w:jc w:val="center"/>
              <w:rPr>
                <w:rFonts w:ascii="Times New Roman" w:hAnsi="Times New Roman" w:cs="Times New Roman"/>
                <w:b/>
                <w:sz w:val="20"/>
                <w:szCs w:val="20"/>
              </w:rPr>
            </w:pPr>
          </w:p>
        </w:tc>
        <w:tc>
          <w:tcPr>
            <w:tcW w:w="2738" w:type="dxa"/>
            <w:gridSpan w:val="6"/>
            <w:tcBorders>
              <w:top w:val="nil"/>
              <w:left w:val="nil"/>
              <w:bottom w:val="single" w:sz="4" w:space="0" w:color="auto"/>
              <w:right w:val="nil"/>
            </w:tcBorders>
            <w:vAlign w:val="center"/>
          </w:tcPr>
          <w:p w:rsidR="00603D72" w:rsidRPr="00AA5A01" w:rsidRDefault="00603D72" w:rsidP="0040798A">
            <w:pPr>
              <w:spacing w:line="200" w:lineRule="atLeast"/>
              <w:contextualSpacing/>
              <w:jc w:val="center"/>
              <w:rPr>
                <w:rFonts w:ascii="Times New Roman" w:hAnsi="Times New Roman" w:cs="Times New Roman"/>
                <w:b/>
                <w:sz w:val="20"/>
                <w:szCs w:val="20"/>
              </w:rPr>
            </w:pPr>
            <w:r w:rsidRPr="007816AB">
              <w:rPr>
                <w:rFonts w:ascii="Times New Roman" w:hAnsi="Times New Roman" w:cs="Times New Roman"/>
                <w:b/>
                <w:sz w:val="20"/>
                <w:szCs w:val="20"/>
              </w:rPr>
              <w:t>Fixed</w:t>
            </w:r>
            <w:r w:rsidRPr="00AA5A01">
              <w:rPr>
                <w:rFonts w:ascii="Times New Roman" w:hAnsi="Times New Roman" w:cs="Times New Roman"/>
                <w:b/>
                <w:sz w:val="20"/>
                <w:szCs w:val="20"/>
              </w:rPr>
              <w:t xml:space="preserve"> Base Model</w:t>
            </w:r>
          </w:p>
        </w:tc>
        <w:tc>
          <w:tcPr>
            <w:tcW w:w="694" w:type="dxa"/>
            <w:tcBorders>
              <w:top w:val="nil"/>
              <w:left w:val="nil"/>
              <w:bottom w:val="nil"/>
              <w:right w:val="nil"/>
            </w:tcBorders>
            <w:vAlign w:val="center"/>
          </w:tcPr>
          <w:p w:rsidR="00603D72" w:rsidRPr="00AA5A01" w:rsidRDefault="00603D72" w:rsidP="0040798A">
            <w:pPr>
              <w:spacing w:line="200" w:lineRule="atLeast"/>
              <w:contextualSpacing/>
              <w:jc w:val="center"/>
              <w:rPr>
                <w:rFonts w:ascii="Times New Roman" w:hAnsi="Times New Roman" w:cs="Times New Roman"/>
                <w:b/>
                <w:sz w:val="20"/>
                <w:szCs w:val="20"/>
              </w:rPr>
            </w:pPr>
          </w:p>
        </w:tc>
        <w:tc>
          <w:tcPr>
            <w:tcW w:w="685" w:type="dxa"/>
            <w:gridSpan w:val="2"/>
            <w:tcBorders>
              <w:top w:val="nil"/>
              <w:left w:val="nil"/>
              <w:bottom w:val="nil"/>
              <w:right w:val="nil"/>
            </w:tcBorders>
            <w:vAlign w:val="center"/>
          </w:tcPr>
          <w:p w:rsidR="00603D72" w:rsidRPr="00AA5A01" w:rsidRDefault="00603D72" w:rsidP="0040798A">
            <w:pPr>
              <w:spacing w:line="200" w:lineRule="atLeast"/>
              <w:contextualSpacing/>
              <w:jc w:val="center"/>
              <w:rPr>
                <w:rFonts w:ascii="Times New Roman" w:hAnsi="Times New Roman" w:cs="Times New Roman"/>
                <w:b/>
                <w:sz w:val="20"/>
                <w:szCs w:val="20"/>
              </w:rPr>
            </w:pPr>
          </w:p>
        </w:tc>
        <w:tc>
          <w:tcPr>
            <w:tcW w:w="2740" w:type="dxa"/>
            <w:gridSpan w:val="5"/>
            <w:tcBorders>
              <w:top w:val="nil"/>
              <w:left w:val="nil"/>
              <w:bottom w:val="single" w:sz="4" w:space="0" w:color="auto"/>
              <w:right w:val="nil"/>
            </w:tcBorders>
            <w:vAlign w:val="center"/>
          </w:tcPr>
          <w:p w:rsidR="00603D72" w:rsidRPr="00AA5A01" w:rsidRDefault="00603D72" w:rsidP="0040798A">
            <w:pPr>
              <w:spacing w:line="200" w:lineRule="atLeast"/>
              <w:contextualSpacing/>
              <w:jc w:val="center"/>
              <w:rPr>
                <w:rFonts w:ascii="Times New Roman" w:hAnsi="Times New Roman" w:cs="Times New Roman"/>
                <w:b/>
                <w:sz w:val="20"/>
                <w:szCs w:val="20"/>
              </w:rPr>
            </w:pPr>
            <w:r w:rsidRPr="00AA5A01">
              <w:rPr>
                <w:rFonts w:ascii="Times New Roman" w:hAnsi="Times New Roman" w:cs="Times New Roman"/>
                <w:b/>
                <w:sz w:val="20"/>
                <w:szCs w:val="20"/>
              </w:rPr>
              <w:t>Pseudo Flexible Base Model</w:t>
            </w:r>
          </w:p>
        </w:tc>
        <w:tc>
          <w:tcPr>
            <w:tcW w:w="686" w:type="dxa"/>
            <w:gridSpan w:val="2"/>
            <w:tcBorders>
              <w:top w:val="nil"/>
              <w:left w:val="nil"/>
              <w:bottom w:val="nil"/>
              <w:right w:val="nil"/>
            </w:tcBorders>
            <w:vAlign w:val="center"/>
          </w:tcPr>
          <w:p w:rsidR="00603D72" w:rsidRPr="00AA5A01" w:rsidRDefault="00603D72" w:rsidP="0040798A">
            <w:pPr>
              <w:spacing w:line="200" w:lineRule="atLeast"/>
              <w:contextualSpacing/>
              <w:jc w:val="center"/>
              <w:rPr>
                <w:rFonts w:ascii="Times New Roman" w:hAnsi="Times New Roman" w:cs="Times New Roman"/>
                <w:b/>
                <w:sz w:val="20"/>
                <w:szCs w:val="20"/>
              </w:rPr>
            </w:pPr>
          </w:p>
        </w:tc>
      </w:tr>
      <w:tr w:rsidR="00603D72" w:rsidTr="00552DE2">
        <w:trPr>
          <w:trHeight w:val="113"/>
        </w:trPr>
        <w:tc>
          <w:tcPr>
            <w:tcW w:w="1308" w:type="dxa"/>
            <w:gridSpan w:val="2"/>
            <w:tcBorders>
              <w:top w:val="nil"/>
              <w:left w:val="nil"/>
              <w:bottom w:val="nil"/>
              <w:right w:val="nil"/>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p>
        </w:tc>
        <w:tc>
          <w:tcPr>
            <w:tcW w:w="2039" w:type="dxa"/>
            <w:gridSpan w:val="3"/>
            <w:tcBorders>
              <w:top w:val="nil"/>
              <w:left w:val="nil"/>
              <w:bottom w:val="nil"/>
              <w:right w:val="nil"/>
            </w:tcBorders>
            <w:vAlign w:val="center"/>
          </w:tcPr>
          <w:p w:rsidR="00603D72" w:rsidRPr="00D377AF" w:rsidRDefault="00603D72" w:rsidP="0040798A">
            <w:pPr>
              <w:spacing w:line="200" w:lineRule="atLeast"/>
              <w:contextualSpacing/>
              <w:jc w:val="center"/>
              <w:rPr>
                <w:rFonts w:ascii="Times New Roman" w:hAnsi="Times New Roman" w:cs="Times New Roman"/>
                <w:b/>
                <w:sz w:val="20"/>
                <w:szCs w:val="20"/>
                <w:u w:val="single"/>
              </w:rPr>
            </w:pPr>
            <w:r w:rsidRPr="00D377AF">
              <w:rPr>
                <w:rFonts w:ascii="Times New Roman" w:hAnsi="Times New Roman" w:cs="Times New Roman"/>
                <w:b/>
                <w:sz w:val="20"/>
                <w:szCs w:val="20"/>
                <w:u w:val="single"/>
              </w:rPr>
              <w:t>Frequencies (Hz)</w:t>
            </w:r>
          </w:p>
        </w:tc>
        <w:tc>
          <w:tcPr>
            <w:tcW w:w="2074" w:type="dxa"/>
            <w:gridSpan w:val="5"/>
            <w:tcBorders>
              <w:top w:val="nil"/>
              <w:left w:val="nil"/>
              <w:bottom w:val="nil"/>
              <w:right w:val="nil"/>
            </w:tcBorders>
            <w:vAlign w:val="center"/>
          </w:tcPr>
          <w:p w:rsidR="00603D72" w:rsidRPr="00D377AF" w:rsidRDefault="00603D72" w:rsidP="0040798A">
            <w:pPr>
              <w:spacing w:line="200" w:lineRule="atLeast"/>
              <w:contextualSpacing/>
              <w:jc w:val="center"/>
              <w:rPr>
                <w:rFonts w:ascii="Times New Roman" w:hAnsi="Times New Roman" w:cs="Times New Roman"/>
                <w:b/>
                <w:sz w:val="20"/>
                <w:szCs w:val="20"/>
                <w:u w:val="single"/>
              </w:rPr>
            </w:pPr>
            <w:r w:rsidRPr="00D377AF">
              <w:rPr>
                <w:rFonts w:ascii="Times New Roman" w:hAnsi="Times New Roman" w:cs="Times New Roman"/>
                <w:b/>
                <w:sz w:val="20"/>
                <w:szCs w:val="20"/>
                <w:u w:val="single"/>
              </w:rPr>
              <w:t>Damping Ratios (%)</w:t>
            </w:r>
          </w:p>
        </w:tc>
        <w:tc>
          <w:tcPr>
            <w:tcW w:w="2009" w:type="dxa"/>
            <w:gridSpan w:val="4"/>
            <w:tcBorders>
              <w:top w:val="nil"/>
              <w:left w:val="nil"/>
              <w:bottom w:val="nil"/>
              <w:right w:val="nil"/>
            </w:tcBorders>
            <w:vAlign w:val="center"/>
          </w:tcPr>
          <w:p w:rsidR="00603D72" w:rsidRPr="00D377AF" w:rsidRDefault="00603D72" w:rsidP="0040798A">
            <w:pPr>
              <w:spacing w:line="200" w:lineRule="atLeast"/>
              <w:contextualSpacing/>
              <w:jc w:val="center"/>
              <w:rPr>
                <w:rFonts w:ascii="Times New Roman" w:hAnsi="Times New Roman" w:cs="Times New Roman"/>
                <w:b/>
                <w:sz w:val="20"/>
                <w:szCs w:val="20"/>
                <w:u w:val="single"/>
              </w:rPr>
            </w:pPr>
            <w:r w:rsidRPr="00D377AF">
              <w:rPr>
                <w:rFonts w:ascii="Times New Roman" w:hAnsi="Times New Roman" w:cs="Times New Roman"/>
                <w:b/>
                <w:sz w:val="20"/>
                <w:szCs w:val="20"/>
                <w:u w:val="single"/>
              </w:rPr>
              <w:t>Frequencies (Hz)</w:t>
            </w:r>
          </w:p>
        </w:tc>
        <w:tc>
          <w:tcPr>
            <w:tcW w:w="2102" w:type="dxa"/>
            <w:gridSpan w:val="5"/>
            <w:tcBorders>
              <w:top w:val="nil"/>
              <w:left w:val="nil"/>
              <w:bottom w:val="nil"/>
              <w:right w:val="nil"/>
            </w:tcBorders>
          </w:tcPr>
          <w:p w:rsidR="00603D72" w:rsidRPr="00D377AF" w:rsidRDefault="00603D72" w:rsidP="0040798A">
            <w:pPr>
              <w:spacing w:line="200" w:lineRule="atLeast"/>
              <w:contextualSpacing/>
              <w:jc w:val="center"/>
              <w:rPr>
                <w:rFonts w:ascii="Times New Roman" w:hAnsi="Times New Roman" w:cs="Times New Roman"/>
                <w:b/>
                <w:sz w:val="20"/>
                <w:szCs w:val="20"/>
                <w:u w:val="single"/>
              </w:rPr>
            </w:pPr>
            <w:r w:rsidRPr="00D377AF">
              <w:rPr>
                <w:rFonts w:ascii="Times New Roman" w:hAnsi="Times New Roman" w:cs="Times New Roman"/>
                <w:b/>
                <w:sz w:val="20"/>
                <w:szCs w:val="20"/>
                <w:u w:val="single"/>
              </w:rPr>
              <w:t>Damping Ratios (%)</w:t>
            </w:r>
          </w:p>
        </w:tc>
      </w:tr>
      <w:tr w:rsidR="00603D72" w:rsidTr="00552DE2">
        <w:trPr>
          <w:trHeight w:val="113"/>
        </w:trPr>
        <w:tc>
          <w:tcPr>
            <w:tcW w:w="1308" w:type="dxa"/>
            <w:gridSpan w:val="2"/>
            <w:tcBorders>
              <w:top w:val="nil"/>
              <w:left w:val="nil"/>
              <w:bottom w:val="single" w:sz="4" w:space="0" w:color="auto"/>
              <w:right w:val="nil"/>
            </w:tcBorders>
            <w:vAlign w:val="center"/>
          </w:tcPr>
          <w:p w:rsidR="00603D72" w:rsidRPr="00AA5A01" w:rsidRDefault="00603D72" w:rsidP="0040798A">
            <w:pPr>
              <w:spacing w:line="200" w:lineRule="atLeast"/>
              <w:contextualSpacing/>
              <w:jc w:val="center"/>
              <w:rPr>
                <w:rFonts w:ascii="Times New Roman" w:hAnsi="Times New Roman" w:cs="Times New Roman"/>
                <w:b/>
                <w:sz w:val="20"/>
                <w:szCs w:val="20"/>
              </w:rPr>
            </w:pPr>
            <w:r>
              <w:rPr>
                <w:rFonts w:ascii="Times New Roman" w:hAnsi="Times New Roman" w:cs="Times New Roman"/>
                <w:b/>
                <w:sz w:val="20"/>
                <w:szCs w:val="20"/>
              </w:rPr>
              <w:t>Earthquake</w:t>
            </w:r>
          </w:p>
        </w:tc>
        <w:tc>
          <w:tcPr>
            <w:tcW w:w="681" w:type="dxa"/>
            <w:tcBorders>
              <w:top w:val="nil"/>
              <w:left w:val="nil"/>
              <w:bottom w:val="single" w:sz="4" w:space="0" w:color="auto"/>
              <w:right w:val="nil"/>
            </w:tcBorders>
            <w:vAlign w:val="center"/>
          </w:tcPr>
          <w:p w:rsidR="00603D72" w:rsidRPr="00041E04" w:rsidRDefault="00603D72" w:rsidP="0040798A">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1</w:t>
            </w:r>
            <w:r w:rsidRPr="00041E04">
              <w:rPr>
                <w:rFonts w:ascii="Times New Roman" w:hAnsi="Times New Roman" w:cs="Times New Roman"/>
                <w:sz w:val="19"/>
                <w:szCs w:val="19"/>
                <w:vertAlign w:val="superscript"/>
              </w:rPr>
              <w:t>st</w:t>
            </w:r>
            <w:r w:rsidRPr="00041E04">
              <w:rPr>
                <w:rFonts w:ascii="Times New Roman" w:hAnsi="Times New Roman" w:cs="Times New Roman"/>
                <w:sz w:val="19"/>
                <w:szCs w:val="19"/>
              </w:rPr>
              <w:t xml:space="preserve"> Mode</w:t>
            </w:r>
          </w:p>
        </w:tc>
        <w:tc>
          <w:tcPr>
            <w:tcW w:w="678" w:type="dxa"/>
            <w:tcBorders>
              <w:top w:val="nil"/>
              <w:left w:val="nil"/>
              <w:bottom w:val="nil"/>
              <w:right w:val="nil"/>
            </w:tcBorders>
            <w:vAlign w:val="center"/>
          </w:tcPr>
          <w:p w:rsidR="00603D72" w:rsidRPr="00041E04" w:rsidRDefault="00603D72" w:rsidP="0040798A">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2</w:t>
            </w:r>
            <w:r w:rsidRPr="00041E04">
              <w:rPr>
                <w:rFonts w:ascii="Times New Roman" w:hAnsi="Times New Roman" w:cs="Times New Roman"/>
                <w:sz w:val="19"/>
                <w:szCs w:val="19"/>
                <w:vertAlign w:val="superscript"/>
              </w:rPr>
              <w:t>nd</w:t>
            </w:r>
            <w:r w:rsidRPr="00041E04">
              <w:rPr>
                <w:rFonts w:ascii="Times New Roman" w:hAnsi="Times New Roman" w:cs="Times New Roman"/>
                <w:sz w:val="19"/>
                <w:szCs w:val="19"/>
              </w:rPr>
              <w:t xml:space="preserve"> Mode</w:t>
            </w:r>
          </w:p>
        </w:tc>
        <w:tc>
          <w:tcPr>
            <w:tcW w:w="680" w:type="dxa"/>
            <w:tcBorders>
              <w:top w:val="nil"/>
              <w:left w:val="nil"/>
              <w:bottom w:val="single" w:sz="4" w:space="0" w:color="auto"/>
              <w:right w:val="nil"/>
            </w:tcBorders>
            <w:vAlign w:val="center"/>
          </w:tcPr>
          <w:p w:rsidR="00603D72" w:rsidRPr="00041E04" w:rsidRDefault="00603D72" w:rsidP="0040798A">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3</w:t>
            </w:r>
            <w:r w:rsidRPr="00041E04">
              <w:rPr>
                <w:rFonts w:ascii="Times New Roman" w:hAnsi="Times New Roman" w:cs="Times New Roman"/>
                <w:sz w:val="19"/>
                <w:szCs w:val="19"/>
                <w:vertAlign w:val="superscript"/>
              </w:rPr>
              <w:t>rd</w:t>
            </w:r>
            <w:r w:rsidRPr="00041E04">
              <w:rPr>
                <w:rFonts w:ascii="Times New Roman" w:hAnsi="Times New Roman" w:cs="Times New Roman"/>
                <w:sz w:val="19"/>
                <w:szCs w:val="19"/>
              </w:rPr>
              <w:t xml:space="preserve"> Mode</w:t>
            </w:r>
          </w:p>
        </w:tc>
        <w:tc>
          <w:tcPr>
            <w:tcW w:w="679" w:type="dxa"/>
            <w:tcBorders>
              <w:top w:val="nil"/>
              <w:left w:val="nil"/>
              <w:bottom w:val="single" w:sz="4" w:space="0" w:color="auto"/>
              <w:right w:val="nil"/>
            </w:tcBorders>
            <w:vAlign w:val="center"/>
          </w:tcPr>
          <w:p w:rsidR="00603D72" w:rsidRPr="00041E04" w:rsidRDefault="00603D72" w:rsidP="0040798A">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1</w:t>
            </w:r>
            <w:r w:rsidRPr="00041E04">
              <w:rPr>
                <w:rFonts w:ascii="Times New Roman" w:hAnsi="Times New Roman" w:cs="Times New Roman"/>
                <w:sz w:val="19"/>
                <w:szCs w:val="19"/>
                <w:vertAlign w:val="superscript"/>
              </w:rPr>
              <w:t>st</w:t>
            </w:r>
            <w:r w:rsidRPr="00041E04">
              <w:rPr>
                <w:rFonts w:ascii="Times New Roman" w:hAnsi="Times New Roman" w:cs="Times New Roman"/>
                <w:sz w:val="19"/>
                <w:szCs w:val="19"/>
              </w:rPr>
              <w:t xml:space="preserve"> Mode</w:t>
            </w:r>
          </w:p>
        </w:tc>
        <w:tc>
          <w:tcPr>
            <w:tcW w:w="680" w:type="dxa"/>
            <w:gridSpan w:val="2"/>
            <w:tcBorders>
              <w:top w:val="nil"/>
              <w:left w:val="nil"/>
              <w:bottom w:val="nil"/>
              <w:right w:val="nil"/>
            </w:tcBorders>
            <w:vAlign w:val="center"/>
          </w:tcPr>
          <w:p w:rsidR="00603D72" w:rsidRPr="00041E04" w:rsidRDefault="00603D72" w:rsidP="0040798A">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2</w:t>
            </w:r>
            <w:r w:rsidRPr="00041E04">
              <w:rPr>
                <w:rFonts w:ascii="Times New Roman" w:hAnsi="Times New Roman" w:cs="Times New Roman"/>
                <w:sz w:val="19"/>
                <w:szCs w:val="19"/>
                <w:vertAlign w:val="superscript"/>
              </w:rPr>
              <w:t>nd</w:t>
            </w:r>
            <w:r w:rsidRPr="00041E04">
              <w:rPr>
                <w:rFonts w:ascii="Times New Roman" w:hAnsi="Times New Roman" w:cs="Times New Roman"/>
                <w:sz w:val="19"/>
                <w:szCs w:val="19"/>
              </w:rPr>
              <w:t xml:space="preserve"> Mode</w:t>
            </w:r>
          </w:p>
        </w:tc>
        <w:tc>
          <w:tcPr>
            <w:tcW w:w="715" w:type="dxa"/>
            <w:gridSpan w:val="2"/>
            <w:tcBorders>
              <w:top w:val="nil"/>
              <w:left w:val="nil"/>
              <w:bottom w:val="single" w:sz="4" w:space="0" w:color="auto"/>
              <w:right w:val="nil"/>
            </w:tcBorders>
            <w:vAlign w:val="center"/>
          </w:tcPr>
          <w:p w:rsidR="00603D72" w:rsidRPr="00041E04" w:rsidRDefault="00603D72" w:rsidP="0040798A">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3</w:t>
            </w:r>
            <w:r w:rsidRPr="00041E04">
              <w:rPr>
                <w:rFonts w:ascii="Times New Roman" w:hAnsi="Times New Roman" w:cs="Times New Roman"/>
                <w:sz w:val="19"/>
                <w:szCs w:val="19"/>
                <w:vertAlign w:val="superscript"/>
              </w:rPr>
              <w:t>rd</w:t>
            </w:r>
            <w:r w:rsidRPr="00041E04">
              <w:rPr>
                <w:rFonts w:ascii="Times New Roman" w:hAnsi="Times New Roman" w:cs="Times New Roman"/>
                <w:sz w:val="19"/>
                <w:szCs w:val="19"/>
              </w:rPr>
              <w:t xml:space="preserve"> Mode</w:t>
            </w:r>
          </w:p>
        </w:tc>
        <w:tc>
          <w:tcPr>
            <w:tcW w:w="649" w:type="dxa"/>
            <w:tcBorders>
              <w:top w:val="nil"/>
              <w:left w:val="nil"/>
              <w:bottom w:val="single" w:sz="4" w:space="0" w:color="auto"/>
              <w:right w:val="nil"/>
            </w:tcBorders>
            <w:vAlign w:val="center"/>
          </w:tcPr>
          <w:p w:rsidR="00603D72" w:rsidRPr="00041E04" w:rsidRDefault="00603D72" w:rsidP="005465AD">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1</w:t>
            </w:r>
            <w:r w:rsidRPr="00041E04">
              <w:rPr>
                <w:rFonts w:ascii="Times New Roman" w:hAnsi="Times New Roman" w:cs="Times New Roman"/>
                <w:sz w:val="19"/>
                <w:szCs w:val="19"/>
                <w:vertAlign w:val="superscript"/>
              </w:rPr>
              <w:t>st</w:t>
            </w:r>
            <w:r>
              <w:rPr>
                <w:rFonts w:ascii="Times New Roman" w:hAnsi="Times New Roman" w:cs="Times New Roman"/>
                <w:sz w:val="19"/>
                <w:szCs w:val="19"/>
              </w:rPr>
              <w:t xml:space="preserve"> </w:t>
            </w:r>
            <w:r w:rsidRPr="00041E04">
              <w:rPr>
                <w:rFonts w:ascii="Times New Roman" w:hAnsi="Times New Roman" w:cs="Times New Roman"/>
                <w:sz w:val="19"/>
                <w:szCs w:val="19"/>
              </w:rPr>
              <w:t>Mod</w:t>
            </w:r>
          </w:p>
        </w:tc>
        <w:tc>
          <w:tcPr>
            <w:tcW w:w="680" w:type="dxa"/>
            <w:gridSpan w:val="2"/>
            <w:tcBorders>
              <w:top w:val="nil"/>
              <w:left w:val="nil"/>
              <w:bottom w:val="nil"/>
              <w:right w:val="nil"/>
            </w:tcBorders>
            <w:vAlign w:val="center"/>
          </w:tcPr>
          <w:p w:rsidR="00603D72" w:rsidRPr="00041E04" w:rsidRDefault="00603D72" w:rsidP="0040798A">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2</w:t>
            </w:r>
            <w:r w:rsidRPr="00041E04">
              <w:rPr>
                <w:rFonts w:ascii="Times New Roman" w:hAnsi="Times New Roman" w:cs="Times New Roman"/>
                <w:sz w:val="19"/>
                <w:szCs w:val="19"/>
                <w:vertAlign w:val="superscript"/>
              </w:rPr>
              <w:t>nd</w:t>
            </w:r>
            <w:r w:rsidRPr="00041E04">
              <w:rPr>
                <w:rFonts w:ascii="Times New Roman" w:hAnsi="Times New Roman" w:cs="Times New Roman"/>
                <w:sz w:val="19"/>
                <w:szCs w:val="19"/>
              </w:rPr>
              <w:t xml:space="preserve"> Mode</w:t>
            </w:r>
          </w:p>
        </w:tc>
        <w:tc>
          <w:tcPr>
            <w:tcW w:w="680" w:type="dxa"/>
            <w:tcBorders>
              <w:top w:val="nil"/>
              <w:left w:val="nil"/>
              <w:bottom w:val="single" w:sz="4" w:space="0" w:color="auto"/>
              <w:right w:val="nil"/>
            </w:tcBorders>
            <w:vAlign w:val="center"/>
          </w:tcPr>
          <w:p w:rsidR="00603D72" w:rsidRPr="00041E04" w:rsidRDefault="00603D72" w:rsidP="0040798A">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3</w:t>
            </w:r>
            <w:r w:rsidRPr="00041E04">
              <w:rPr>
                <w:rFonts w:ascii="Times New Roman" w:hAnsi="Times New Roman" w:cs="Times New Roman"/>
                <w:sz w:val="19"/>
                <w:szCs w:val="19"/>
                <w:vertAlign w:val="superscript"/>
              </w:rPr>
              <w:t>rd</w:t>
            </w:r>
            <w:r w:rsidRPr="00041E04">
              <w:rPr>
                <w:rFonts w:ascii="Times New Roman" w:hAnsi="Times New Roman" w:cs="Times New Roman"/>
                <w:sz w:val="19"/>
                <w:szCs w:val="19"/>
              </w:rPr>
              <w:t xml:space="preserve"> Mode</w:t>
            </w:r>
          </w:p>
        </w:tc>
        <w:tc>
          <w:tcPr>
            <w:tcW w:w="684" w:type="dxa"/>
            <w:tcBorders>
              <w:top w:val="nil"/>
              <w:left w:val="nil"/>
              <w:bottom w:val="single" w:sz="4" w:space="0" w:color="auto"/>
              <w:right w:val="nil"/>
            </w:tcBorders>
            <w:vAlign w:val="center"/>
          </w:tcPr>
          <w:p w:rsidR="00603D72" w:rsidRPr="00041E04" w:rsidRDefault="00603D72" w:rsidP="0040798A">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1</w:t>
            </w:r>
            <w:r w:rsidRPr="00041E04">
              <w:rPr>
                <w:rFonts w:ascii="Times New Roman" w:hAnsi="Times New Roman" w:cs="Times New Roman"/>
                <w:sz w:val="19"/>
                <w:szCs w:val="19"/>
                <w:vertAlign w:val="superscript"/>
              </w:rPr>
              <w:t>st</w:t>
            </w:r>
            <w:r w:rsidRPr="00041E04">
              <w:rPr>
                <w:rFonts w:ascii="Times New Roman" w:hAnsi="Times New Roman" w:cs="Times New Roman"/>
                <w:sz w:val="19"/>
                <w:szCs w:val="19"/>
              </w:rPr>
              <w:t xml:space="preserve"> Mode</w:t>
            </w:r>
          </w:p>
        </w:tc>
        <w:tc>
          <w:tcPr>
            <w:tcW w:w="709" w:type="dxa"/>
            <w:tcBorders>
              <w:top w:val="nil"/>
              <w:left w:val="nil"/>
              <w:bottom w:val="nil"/>
              <w:right w:val="nil"/>
            </w:tcBorders>
            <w:vAlign w:val="center"/>
          </w:tcPr>
          <w:p w:rsidR="00603D72" w:rsidRPr="00041E04" w:rsidRDefault="00603D72" w:rsidP="0040798A">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2</w:t>
            </w:r>
            <w:r w:rsidRPr="00041E04">
              <w:rPr>
                <w:rFonts w:ascii="Times New Roman" w:hAnsi="Times New Roman" w:cs="Times New Roman"/>
                <w:sz w:val="19"/>
                <w:szCs w:val="19"/>
                <w:vertAlign w:val="superscript"/>
              </w:rPr>
              <w:t>nd</w:t>
            </w:r>
            <w:r w:rsidRPr="00041E04">
              <w:rPr>
                <w:rFonts w:ascii="Times New Roman" w:hAnsi="Times New Roman" w:cs="Times New Roman"/>
                <w:sz w:val="19"/>
                <w:szCs w:val="19"/>
              </w:rPr>
              <w:t xml:space="preserve"> Mode</w:t>
            </w:r>
          </w:p>
        </w:tc>
        <w:tc>
          <w:tcPr>
            <w:tcW w:w="709" w:type="dxa"/>
            <w:gridSpan w:val="3"/>
            <w:tcBorders>
              <w:top w:val="nil"/>
              <w:left w:val="nil"/>
              <w:bottom w:val="single" w:sz="4" w:space="0" w:color="auto"/>
              <w:right w:val="nil"/>
            </w:tcBorders>
            <w:vAlign w:val="center"/>
          </w:tcPr>
          <w:p w:rsidR="00603D72" w:rsidRPr="00041E04" w:rsidRDefault="00603D72" w:rsidP="0040798A">
            <w:pPr>
              <w:spacing w:line="200" w:lineRule="atLeast"/>
              <w:contextualSpacing/>
              <w:jc w:val="center"/>
              <w:rPr>
                <w:rFonts w:ascii="Times New Roman" w:hAnsi="Times New Roman" w:cs="Times New Roman"/>
                <w:sz w:val="19"/>
                <w:szCs w:val="19"/>
              </w:rPr>
            </w:pPr>
            <w:r w:rsidRPr="00041E04">
              <w:rPr>
                <w:rFonts w:ascii="Times New Roman" w:hAnsi="Times New Roman" w:cs="Times New Roman"/>
                <w:sz w:val="19"/>
                <w:szCs w:val="19"/>
              </w:rPr>
              <w:t>3</w:t>
            </w:r>
            <w:r w:rsidRPr="00041E04">
              <w:rPr>
                <w:rFonts w:ascii="Times New Roman" w:hAnsi="Times New Roman" w:cs="Times New Roman"/>
                <w:sz w:val="19"/>
                <w:szCs w:val="19"/>
                <w:vertAlign w:val="superscript"/>
              </w:rPr>
              <w:t>rd</w:t>
            </w:r>
            <w:r w:rsidRPr="00041E04">
              <w:rPr>
                <w:rFonts w:ascii="Times New Roman" w:hAnsi="Times New Roman" w:cs="Times New Roman"/>
                <w:sz w:val="19"/>
                <w:szCs w:val="19"/>
              </w:rPr>
              <w:t xml:space="preserve"> Mode</w:t>
            </w:r>
          </w:p>
        </w:tc>
      </w:tr>
      <w:tr w:rsidR="00603D72" w:rsidTr="00552DE2">
        <w:trPr>
          <w:trHeight w:val="113"/>
        </w:trPr>
        <w:tc>
          <w:tcPr>
            <w:tcW w:w="1308" w:type="dxa"/>
            <w:gridSpan w:val="2"/>
            <w:tcBorders>
              <w:top w:val="single" w:sz="4" w:space="0" w:color="auto"/>
              <w:left w:val="single" w:sz="4" w:space="0" w:color="auto"/>
              <w:bottom w:val="nil"/>
              <w:right w:val="single" w:sz="4" w:space="0" w:color="auto"/>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03/05/2007</w:t>
            </w:r>
          </w:p>
        </w:tc>
        <w:tc>
          <w:tcPr>
            <w:tcW w:w="681" w:type="dxa"/>
            <w:tcBorders>
              <w:top w:val="single" w:sz="4" w:space="0" w:color="auto"/>
              <w:left w:val="single" w:sz="4" w:space="0" w:color="auto"/>
              <w:bottom w:val="nil"/>
              <w:right w:val="nil"/>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2.66</w:t>
            </w:r>
          </w:p>
        </w:tc>
        <w:tc>
          <w:tcPr>
            <w:tcW w:w="678" w:type="dxa"/>
            <w:tcBorders>
              <w:top w:val="single" w:sz="4" w:space="0" w:color="auto"/>
              <w:left w:val="nil"/>
              <w:bottom w:val="nil"/>
              <w:right w:val="nil"/>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3.17</w:t>
            </w:r>
          </w:p>
        </w:tc>
        <w:tc>
          <w:tcPr>
            <w:tcW w:w="680" w:type="dxa"/>
            <w:tcBorders>
              <w:top w:val="single" w:sz="4" w:space="0" w:color="auto"/>
              <w:left w:val="nil"/>
              <w:bottom w:val="nil"/>
              <w:right w:val="nil"/>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3.41</w:t>
            </w:r>
          </w:p>
        </w:tc>
        <w:tc>
          <w:tcPr>
            <w:tcW w:w="679" w:type="dxa"/>
            <w:tcBorders>
              <w:top w:val="single" w:sz="4" w:space="0" w:color="auto"/>
              <w:left w:val="nil"/>
              <w:bottom w:val="nil"/>
              <w:right w:val="nil"/>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4.2</w:t>
            </w:r>
          </w:p>
        </w:tc>
        <w:tc>
          <w:tcPr>
            <w:tcW w:w="680" w:type="dxa"/>
            <w:gridSpan w:val="2"/>
            <w:tcBorders>
              <w:top w:val="single" w:sz="4" w:space="0" w:color="auto"/>
              <w:left w:val="nil"/>
              <w:bottom w:val="nil"/>
              <w:right w:val="nil"/>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15.1</w:t>
            </w:r>
          </w:p>
        </w:tc>
        <w:tc>
          <w:tcPr>
            <w:tcW w:w="715" w:type="dxa"/>
            <w:gridSpan w:val="2"/>
            <w:tcBorders>
              <w:top w:val="single" w:sz="4" w:space="0" w:color="auto"/>
              <w:left w:val="nil"/>
              <w:bottom w:val="nil"/>
              <w:right w:val="single" w:sz="4" w:space="0" w:color="auto"/>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3.4</w:t>
            </w:r>
          </w:p>
        </w:tc>
        <w:tc>
          <w:tcPr>
            <w:tcW w:w="649" w:type="dxa"/>
            <w:tcBorders>
              <w:top w:val="single" w:sz="4" w:space="0" w:color="auto"/>
              <w:left w:val="single" w:sz="4" w:space="0" w:color="auto"/>
              <w:bottom w:val="nil"/>
              <w:right w:val="nil"/>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2.65</w:t>
            </w:r>
          </w:p>
        </w:tc>
        <w:tc>
          <w:tcPr>
            <w:tcW w:w="680" w:type="dxa"/>
            <w:gridSpan w:val="2"/>
            <w:tcBorders>
              <w:top w:val="single" w:sz="4" w:space="0" w:color="auto"/>
              <w:left w:val="nil"/>
              <w:bottom w:val="nil"/>
              <w:right w:val="nil"/>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3.21</w:t>
            </w:r>
          </w:p>
        </w:tc>
        <w:tc>
          <w:tcPr>
            <w:tcW w:w="680" w:type="dxa"/>
            <w:tcBorders>
              <w:top w:val="single" w:sz="4" w:space="0" w:color="auto"/>
              <w:left w:val="nil"/>
              <w:bottom w:val="nil"/>
              <w:right w:val="nil"/>
            </w:tcBorders>
            <w:vAlign w:val="center"/>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3.40</w:t>
            </w:r>
          </w:p>
        </w:tc>
        <w:tc>
          <w:tcPr>
            <w:tcW w:w="684" w:type="dxa"/>
            <w:tcBorders>
              <w:top w:val="single" w:sz="4" w:space="0" w:color="auto"/>
              <w:left w:val="nil"/>
              <w:bottom w:val="nil"/>
              <w:right w:val="nil"/>
            </w:tcBorders>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3.7</w:t>
            </w:r>
          </w:p>
        </w:tc>
        <w:tc>
          <w:tcPr>
            <w:tcW w:w="709" w:type="dxa"/>
            <w:tcBorders>
              <w:top w:val="single" w:sz="4" w:space="0" w:color="auto"/>
              <w:left w:val="nil"/>
              <w:bottom w:val="nil"/>
              <w:right w:val="nil"/>
            </w:tcBorders>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15.8</w:t>
            </w:r>
          </w:p>
        </w:tc>
        <w:tc>
          <w:tcPr>
            <w:tcW w:w="709" w:type="dxa"/>
            <w:gridSpan w:val="3"/>
            <w:tcBorders>
              <w:top w:val="single" w:sz="4" w:space="0" w:color="auto"/>
              <w:left w:val="nil"/>
              <w:bottom w:val="nil"/>
              <w:right w:val="single" w:sz="4" w:space="0" w:color="auto"/>
            </w:tcBorders>
          </w:tcPr>
          <w:p w:rsidR="00603D72" w:rsidRPr="003B1BA8"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3.2</w:t>
            </w:r>
          </w:p>
        </w:tc>
      </w:tr>
      <w:tr w:rsidR="00603D72" w:rsidTr="00552DE2">
        <w:trPr>
          <w:trHeight w:val="113"/>
        </w:trPr>
        <w:tc>
          <w:tcPr>
            <w:tcW w:w="1308" w:type="dxa"/>
            <w:gridSpan w:val="2"/>
            <w:tcBorders>
              <w:top w:val="nil"/>
              <w:left w:val="single" w:sz="4" w:space="0" w:color="auto"/>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14/05/2007</w:t>
            </w:r>
          </w:p>
        </w:tc>
        <w:tc>
          <w:tcPr>
            <w:tcW w:w="681"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2.64</w:t>
            </w:r>
          </w:p>
        </w:tc>
        <w:tc>
          <w:tcPr>
            <w:tcW w:w="678"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3.34</w:t>
            </w:r>
          </w:p>
        </w:tc>
        <w:tc>
          <w:tcPr>
            <w:tcW w:w="679"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3.6</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715" w:type="dxa"/>
            <w:gridSpan w:val="2"/>
            <w:tcBorders>
              <w:top w:val="nil"/>
              <w:left w:val="nil"/>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5.0</w:t>
            </w:r>
          </w:p>
        </w:tc>
        <w:tc>
          <w:tcPr>
            <w:tcW w:w="649"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2.64</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3.33</w:t>
            </w:r>
          </w:p>
        </w:tc>
        <w:tc>
          <w:tcPr>
            <w:tcW w:w="684"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3.8</w:t>
            </w:r>
          </w:p>
        </w:tc>
        <w:tc>
          <w:tcPr>
            <w:tcW w:w="709"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709" w:type="dxa"/>
            <w:gridSpan w:val="3"/>
            <w:tcBorders>
              <w:top w:val="nil"/>
              <w:left w:val="nil"/>
              <w:bottom w:val="nil"/>
              <w:right w:val="single" w:sz="4" w:space="0" w:color="auto"/>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4.7</w:t>
            </w:r>
          </w:p>
        </w:tc>
      </w:tr>
      <w:tr w:rsidR="00603D72" w:rsidTr="00552DE2">
        <w:trPr>
          <w:trHeight w:val="113"/>
        </w:trPr>
        <w:tc>
          <w:tcPr>
            <w:tcW w:w="1308" w:type="dxa"/>
            <w:gridSpan w:val="2"/>
            <w:tcBorders>
              <w:top w:val="nil"/>
              <w:left w:val="single" w:sz="4" w:space="0" w:color="auto"/>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17/05/2007</w:t>
            </w:r>
          </w:p>
        </w:tc>
        <w:tc>
          <w:tcPr>
            <w:tcW w:w="681"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2.68</w:t>
            </w:r>
          </w:p>
        </w:tc>
        <w:tc>
          <w:tcPr>
            <w:tcW w:w="678"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3.32</w:t>
            </w:r>
          </w:p>
        </w:tc>
        <w:tc>
          <w:tcPr>
            <w:tcW w:w="679"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2.3</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715" w:type="dxa"/>
            <w:gridSpan w:val="2"/>
            <w:tcBorders>
              <w:top w:val="nil"/>
              <w:left w:val="nil"/>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4.4</w:t>
            </w:r>
          </w:p>
        </w:tc>
        <w:tc>
          <w:tcPr>
            <w:tcW w:w="649"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2.68</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3.31</w:t>
            </w:r>
          </w:p>
        </w:tc>
        <w:tc>
          <w:tcPr>
            <w:tcW w:w="684"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2.9</w:t>
            </w:r>
          </w:p>
        </w:tc>
        <w:tc>
          <w:tcPr>
            <w:tcW w:w="709"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709" w:type="dxa"/>
            <w:gridSpan w:val="3"/>
            <w:tcBorders>
              <w:top w:val="nil"/>
              <w:left w:val="nil"/>
              <w:bottom w:val="nil"/>
              <w:right w:val="single" w:sz="4" w:space="0" w:color="auto"/>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4.8</w:t>
            </w:r>
          </w:p>
        </w:tc>
      </w:tr>
      <w:tr w:rsidR="00603D72" w:rsidTr="00552DE2">
        <w:trPr>
          <w:trHeight w:val="113"/>
        </w:trPr>
        <w:tc>
          <w:tcPr>
            <w:tcW w:w="1308" w:type="dxa"/>
            <w:gridSpan w:val="2"/>
            <w:tcBorders>
              <w:top w:val="nil"/>
              <w:left w:val="single" w:sz="4" w:space="0" w:color="auto"/>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04/09/2010*</w:t>
            </w:r>
          </w:p>
        </w:tc>
        <w:tc>
          <w:tcPr>
            <w:tcW w:w="681"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1.65</w:t>
            </w:r>
          </w:p>
        </w:tc>
        <w:tc>
          <w:tcPr>
            <w:tcW w:w="678"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2.27</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2.49</w:t>
            </w:r>
          </w:p>
        </w:tc>
        <w:tc>
          <w:tcPr>
            <w:tcW w:w="679"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15.9</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1.8</w:t>
            </w:r>
          </w:p>
        </w:tc>
        <w:tc>
          <w:tcPr>
            <w:tcW w:w="715" w:type="dxa"/>
            <w:gridSpan w:val="2"/>
            <w:tcBorders>
              <w:top w:val="nil"/>
              <w:left w:val="nil"/>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2.5</w:t>
            </w:r>
          </w:p>
        </w:tc>
        <w:tc>
          <w:tcPr>
            <w:tcW w:w="649"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1.62</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2.16</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2.47</w:t>
            </w:r>
          </w:p>
        </w:tc>
        <w:tc>
          <w:tcPr>
            <w:tcW w:w="684"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12.9</w:t>
            </w:r>
          </w:p>
        </w:tc>
        <w:tc>
          <w:tcPr>
            <w:tcW w:w="709"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8.0</w:t>
            </w:r>
          </w:p>
        </w:tc>
        <w:tc>
          <w:tcPr>
            <w:tcW w:w="709" w:type="dxa"/>
            <w:gridSpan w:val="3"/>
            <w:tcBorders>
              <w:top w:val="nil"/>
              <w:left w:val="nil"/>
              <w:bottom w:val="nil"/>
              <w:right w:val="single" w:sz="4" w:space="0" w:color="auto"/>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9.1</w:t>
            </w:r>
          </w:p>
        </w:tc>
      </w:tr>
      <w:tr w:rsidR="00603D72" w:rsidTr="00552DE2">
        <w:trPr>
          <w:trHeight w:val="113"/>
        </w:trPr>
        <w:tc>
          <w:tcPr>
            <w:tcW w:w="1308" w:type="dxa"/>
            <w:gridSpan w:val="2"/>
            <w:tcBorders>
              <w:top w:val="nil"/>
              <w:left w:val="single" w:sz="4" w:space="0" w:color="auto"/>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11/09/2010</w:t>
            </w:r>
          </w:p>
        </w:tc>
        <w:tc>
          <w:tcPr>
            <w:tcW w:w="681"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2.18</w:t>
            </w:r>
          </w:p>
        </w:tc>
        <w:tc>
          <w:tcPr>
            <w:tcW w:w="678"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2.79</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3.09</w:t>
            </w:r>
          </w:p>
        </w:tc>
        <w:tc>
          <w:tcPr>
            <w:tcW w:w="679"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3.3</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4.7</w:t>
            </w:r>
          </w:p>
        </w:tc>
        <w:tc>
          <w:tcPr>
            <w:tcW w:w="715" w:type="dxa"/>
            <w:gridSpan w:val="2"/>
            <w:tcBorders>
              <w:top w:val="nil"/>
              <w:left w:val="nil"/>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8.2</w:t>
            </w:r>
          </w:p>
        </w:tc>
        <w:tc>
          <w:tcPr>
            <w:tcW w:w="649"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2.18</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3.00</w:t>
            </w:r>
          </w:p>
        </w:tc>
        <w:tc>
          <w:tcPr>
            <w:tcW w:w="684"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2.2</w:t>
            </w:r>
          </w:p>
        </w:tc>
        <w:tc>
          <w:tcPr>
            <w:tcW w:w="709"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709" w:type="dxa"/>
            <w:gridSpan w:val="3"/>
            <w:tcBorders>
              <w:top w:val="nil"/>
              <w:left w:val="nil"/>
              <w:bottom w:val="nil"/>
              <w:right w:val="single" w:sz="4" w:space="0" w:color="auto"/>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6.3</w:t>
            </w:r>
          </w:p>
        </w:tc>
      </w:tr>
      <w:tr w:rsidR="00603D72" w:rsidTr="00552DE2">
        <w:trPr>
          <w:trHeight w:val="113"/>
        </w:trPr>
        <w:tc>
          <w:tcPr>
            <w:tcW w:w="1308" w:type="dxa"/>
            <w:gridSpan w:val="2"/>
            <w:tcBorders>
              <w:top w:val="nil"/>
              <w:left w:val="single" w:sz="4" w:space="0" w:color="auto"/>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06/11/2010</w:t>
            </w:r>
          </w:p>
        </w:tc>
        <w:tc>
          <w:tcPr>
            <w:tcW w:w="681"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2.17</w:t>
            </w:r>
          </w:p>
        </w:tc>
        <w:tc>
          <w:tcPr>
            <w:tcW w:w="678"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3.35</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2.88</w:t>
            </w:r>
          </w:p>
        </w:tc>
        <w:tc>
          <w:tcPr>
            <w:tcW w:w="679"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3.1</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12.9</w:t>
            </w:r>
          </w:p>
        </w:tc>
        <w:tc>
          <w:tcPr>
            <w:tcW w:w="715" w:type="dxa"/>
            <w:gridSpan w:val="2"/>
            <w:tcBorders>
              <w:top w:val="nil"/>
              <w:left w:val="nil"/>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4.3</w:t>
            </w:r>
          </w:p>
        </w:tc>
        <w:tc>
          <w:tcPr>
            <w:tcW w:w="649"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2.17</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3.04</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2.85</w:t>
            </w:r>
          </w:p>
        </w:tc>
        <w:tc>
          <w:tcPr>
            <w:tcW w:w="684"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2.5</w:t>
            </w:r>
          </w:p>
        </w:tc>
        <w:tc>
          <w:tcPr>
            <w:tcW w:w="709"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15.0</w:t>
            </w:r>
          </w:p>
        </w:tc>
        <w:tc>
          <w:tcPr>
            <w:tcW w:w="709" w:type="dxa"/>
            <w:gridSpan w:val="3"/>
            <w:tcBorders>
              <w:top w:val="nil"/>
              <w:left w:val="nil"/>
              <w:bottom w:val="nil"/>
              <w:right w:val="single" w:sz="4" w:space="0" w:color="auto"/>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3.6</w:t>
            </w:r>
          </w:p>
        </w:tc>
      </w:tr>
      <w:tr w:rsidR="00603D72" w:rsidTr="00552DE2">
        <w:trPr>
          <w:trHeight w:val="113"/>
        </w:trPr>
        <w:tc>
          <w:tcPr>
            <w:tcW w:w="1308" w:type="dxa"/>
            <w:gridSpan w:val="2"/>
            <w:tcBorders>
              <w:top w:val="nil"/>
              <w:left w:val="single" w:sz="4" w:space="0" w:color="auto"/>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22/02/2011</w:t>
            </w:r>
            <w:r>
              <w:rPr>
                <w:rFonts w:cstheme="minorHAnsi"/>
                <w:sz w:val="20"/>
                <w:szCs w:val="20"/>
              </w:rPr>
              <w:t>†</w:t>
            </w:r>
          </w:p>
        </w:tc>
        <w:tc>
          <w:tcPr>
            <w:tcW w:w="681"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1.65</w:t>
            </w:r>
          </w:p>
        </w:tc>
        <w:tc>
          <w:tcPr>
            <w:tcW w:w="678"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2.35</w:t>
            </w:r>
          </w:p>
        </w:tc>
        <w:tc>
          <w:tcPr>
            <w:tcW w:w="679"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3.1</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715" w:type="dxa"/>
            <w:gridSpan w:val="2"/>
            <w:tcBorders>
              <w:top w:val="nil"/>
              <w:left w:val="nil"/>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8.3</w:t>
            </w:r>
          </w:p>
        </w:tc>
        <w:tc>
          <w:tcPr>
            <w:tcW w:w="649"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1.64</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2.31</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2.27</w:t>
            </w:r>
          </w:p>
        </w:tc>
        <w:tc>
          <w:tcPr>
            <w:tcW w:w="684"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7.8</w:t>
            </w:r>
          </w:p>
        </w:tc>
        <w:tc>
          <w:tcPr>
            <w:tcW w:w="709"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9.3</w:t>
            </w:r>
          </w:p>
        </w:tc>
        <w:tc>
          <w:tcPr>
            <w:tcW w:w="709" w:type="dxa"/>
            <w:gridSpan w:val="3"/>
            <w:tcBorders>
              <w:top w:val="nil"/>
              <w:left w:val="nil"/>
              <w:bottom w:val="nil"/>
              <w:right w:val="single" w:sz="4" w:space="0" w:color="auto"/>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5.9</w:t>
            </w:r>
          </w:p>
        </w:tc>
      </w:tr>
      <w:tr w:rsidR="00603D72" w:rsidTr="00552DE2">
        <w:trPr>
          <w:trHeight w:val="113"/>
        </w:trPr>
        <w:tc>
          <w:tcPr>
            <w:tcW w:w="1308" w:type="dxa"/>
            <w:gridSpan w:val="2"/>
            <w:tcBorders>
              <w:top w:val="nil"/>
              <w:left w:val="single" w:sz="4" w:space="0" w:color="auto"/>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27/03/2011</w:t>
            </w:r>
          </w:p>
        </w:tc>
        <w:tc>
          <w:tcPr>
            <w:tcW w:w="681"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2.13</w:t>
            </w:r>
          </w:p>
        </w:tc>
        <w:tc>
          <w:tcPr>
            <w:tcW w:w="678"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2.93</w:t>
            </w:r>
          </w:p>
        </w:tc>
        <w:tc>
          <w:tcPr>
            <w:tcW w:w="679"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4.6</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715" w:type="dxa"/>
            <w:gridSpan w:val="2"/>
            <w:tcBorders>
              <w:top w:val="nil"/>
              <w:left w:val="nil"/>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7.5</w:t>
            </w:r>
          </w:p>
        </w:tc>
        <w:tc>
          <w:tcPr>
            <w:tcW w:w="649"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2.12</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2.89</w:t>
            </w:r>
          </w:p>
        </w:tc>
        <w:tc>
          <w:tcPr>
            <w:tcW w:w="684"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5.0</w:t>
            </w:r>
          </w:p>
        </w:tc>
        <w:tc>
          <w:tcPr>
            <w:tcW w:w="709"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709" w:type="dxa"/>
            <w:gridSpan w:val="3"/>
            <w:tcBorders>
              <w:top w:val="nil"/>
              <w:left w:val="nil"/>
              <w:bottom w:val="nil"/>
              <w:right w:val="single" w:sz="4" w:space="0" w:color="auto"/>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8.3</w:t>
            </w:r>
          </w:p>
        </w:tc>
      </w:tr>
      <w:tr w:rsidR="00603D72" w:rsidTr="00552DE2">
        <w:trPr>
          <w:trHeight w:val="113"/>
        </w:trPr>
        <w:tc>
          <w:tcPr>
            <w:tcW w:w="1308" w:type="dxa"/>
            <w:gridSpan w:val="2"/>
            <w:tcBorders>
              <w:top w:val="nil"/>
              <w:left w:val="single" w:sz="4" w:space="0" w:color="auto"/>
              <w:bottom w:val="single" w:sz="4" w:space="0" w:color="auto"/>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30/03/2011</w:t>
            </w:r>
          </w:p>
        </w:tc>
        <w:tc>
          <w:tcPr>
            <w:tcW w:w="681" w:type="dxa"/>
            <w:tcBorders>
              <w:top w:val="nil"/>
              <w:left w:val="single" w:sz="4" w:space="0" w:color="auto"/>
              <w:bottom w:val="single" w:sz="4" w:space="0" w:color="auto"/>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2.08</w:t>
            </w:r>
          </w:p>
        </w:tc>
        <w:tc>
          <w:tcPr>
            <w:tcW w:w="678" w:type="dxa"/>
            <w:tcBorders>
              <w:top w:val="nil"/>
              <w:left w:val="nil"/>
              <w:bottom w:val="single" w:sz="4" w:space="0" w:color="auto"/>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2.83</w:t>
            </w:r>
          </w:p>
        </w:tc>
        <w:tc>
          <w:tcPr>
            <w:tcW w:w="680" w:type="dxa"/>
            <w:tcBorders>
              <w:top w:val="nil"/>
              <w:left w:val="nil"/>
              <w:bottom w:val="single" w:sz="4" w:space="0" w:color="auto"/>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2.98</w:t>
            </w:r>
          </w:p>
        </w:tc>
        <w:tc>
          <w:tcPr>
            <w:tcW w:w="679" w:type="dxa"/>
            <w:tcBorders>
              <w:top w:val="nil"/>
              <w:left w:val="nil"/>
              <w:bottom w:val="single" w:sz="4" w:space="0" w:color="auto"/>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3.5</w:t>
            </w:r>
          </w:p>
        </w:tc>
        <w:tc>
          <w:tcPr>
            <w:tcW w:w="680" w:type="dxa"/>
            <w:gridSpan w:val="2"/>
            <w:tcBorders>
              <w:top w:val="nil"/>
              <w:left w:val="nil"/>
              <w:bottom w:val="single" w:sz="4" w:space="0" w:color="auto"/>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14.4</w:t>
            </w:r>
          </w:p>
        </w:tc>
        <w:tc>
          <w:tcPr>
            <w:tcW w:w="715" w:type="dxa"/>
            <w:gridSpan w:val="2"/>
            <w:tcBorders>
              <w:top w:val="nil"/>
              <w:left w:val="nil"/>
              <w:bottom w:val="single" w:sz="4" w:space="0" w:color="auto"/>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6.3</w:t>
            </w:r>
          </w:p>
        </w:tc>
        <w:tc>
          <w:tcPr>
            <w:tcW w:w="649" w:type="dxa"/>
            <w:tcBorders>
              <w:top w:val="nil"/>
              <w:left w:val="single" w:sz="4" w:space="0" w:color="auto"/>
              <w:bottom w:val="single" w:sz="4" w:space="0" w:color="auto"/>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2.08</w:t>
            </w:r>
          </w:p>
        </w:tc>
        <w:tc>
          <w:tcPr>
            <w:tcW w:w="680" w:type="dxa"/>
            <w:gridSpan w:val="2"/>
            <w:tcBorders>
              <w:top w:val="nil"/>
              <w:left w:val="nil"/>
              <w:bottom w:val="single" w:sz="4" w:space="0" w:color="auto"/>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2.81</w:t>
            </w:r>
          </w:p>
        </w:tc>
        <w:tc>
          <w:tcPr>
            <w:tcW w:w="680" w:type="dxa"/>
            <w:tcBorders>
              <w:top w:val="nil"/>
              <w:left w:val="nil"/>
              <w:bottom w:val="single" w:sz="4" w:space="0" w:color="auto"/>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2.98</w:t>
            </w:r>
          </w:p>
        </w:tc>
        <w:tc>
          <w:tcPr>
            <w:tcW w:w="684" w:type="dxa"/>
            <w:tcBorders>
              <w:top w:val="nil"/>
              <w:left w:val="nil"/>
              <w:bottom w:val="single" w:sz="4" w:space="0" w:color="auto"/>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3.6</w:t>
            </w:r>
          </w:p>
        </w:tc>
        <w:tc>
          <w:tcPr>
            <w:tcW w:w="709" w:type="dxa"/>
            <w:tcBorders>
              <w:top w:val="nil"/>
              <w:left w:val="nil"/>
              <w:bottom w:val="single" w:sz="4" w:space="0" w:color="auto"/>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13.9</w:t>
            </w:r>
          </w:p>
        </w:tc>
        <w:tc>
          <w:tcPr>
            <w:tcW w:w="709" w:type="dxa"/>
            <w:gridSpan w:val="3"/>
            <w:tcBorders>
              <w:top w:val="nil"/>
              <w:left w:val="nil"/>
              <w:bottom w:val="single" w:sz="4" w:space="0" w:color="auto"/>
              <w:right w:val="single" w:sz="4" w:space="0" w:color="auto"/>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6.5</w:t>
            </w:r>
          </w:p>
        </w:tc>
      </w:tr>
      <w:tr w:rsidR="00603D72" w:rsidTr="00552DE2">
        <w:trPr>
          <w:trHeight w:val="113"/>
        </w:trPr>
        <w:tc>
          <w:tcPr>
            <w:tcW w:w="1308" w:type="dxa"/>
            <w:gridSpan w:val="2"/>
            <w:tcBorders>
              <w:top w:val="single" w:sz="4" w:space="0" w:color="auto"/>
              <w:left w:val="single" w:sz="4" w:space="0" w:color="auto"/>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Minimum=</w:t>
            </w:r>
          </w:p>
        </w:tc>
        <w:tc>
          <w:tcPr>
            <w:tcW w:w="681" w:type="dxa"/>
            <w:tcBorders>
              <w:top w:val="single" w:sz="4" w:space="0" w:color="auto"/>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1.65</w:t>
            </w:r>
          </w:p>
        </w:tc>
        <w:tc>
          <w:tcPr>
            <w:tcW w:w="678" w:type="dxa"/>
            <w:tcBorders>
              <w:top w:val="single" w:sz="4" w:space="0" w:color="auto"/>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2.27</w:t>
            </w:r>
          </w:p>
        </w:tc>
        <w:tc>
          <w:tcPr>
            <w:tcW w:w="680" w:type="dxa"/>
            <w:tcBorders>
              <w:top w:val="single" w:sz="4" w:space="0" w:color="auto"/>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2.35</w:t>
            </w:r>
          </w:p>
        </w:tc>
        <w:tc>
          <w:tcPr>
            <w:tcW w:w="679" w:type="dxa"/>
            <w:tcBorders>
              <w:top w:val="single" w:sz="4" w:space="0" w:color="auto"/>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2.3</w:t>
            </w:r>
          </w:p>
        </w:tc>
        <w:tc>
          <w:tcPr>
            <w:tcW w:w="680" w:type="dxa"/>
            <w:gridSpan w:val="2"/>
            <w:tcBorders>
              <w:top w:val="single" w:sz="4" w:space="0" w:color="auto"/>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1.8</w:t>
            </w:r>
          </w:p>
        </w:tc>
        <w:tc>
          <w:tcPr>
            <w:tcW w:w="715" w:type="dxa"/>
            <w:gridSpan w:val="2"/>
            <w:tcBorders>
              <w:top w:val="single" w:sz="4" w:space="0" w:color="auto"/>
              <w:left w:val="nil"/>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2.5</w:t>
            </w:r>
          </w:p>
        </w:tc>
        <w:tc>
          <w:tcPr>
            <w:tcW w:w="649" w:type="dxa"/>
            <w:tcBorders>
              <w:top w:val="single" w:sz="4" w:space="0" w:color="auto"/>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1.62</w:t>
            </w:r>
          </w:p>
        </w:tc>
        <w:tc>
          <w:tcPr>
            <w:tcW w:w="680" w:type="dxa"/>
            <w:gridSpan w:val="2"/>
            <w:tcBorders>
              <w:top w:val="single" w:sz="4" w:space="0" w:color="auto"/>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2.16</w:t>
            </w:r>
          </w:p>
        </w:tc>
        <w:tc>
          <w:tcPr>
            <w:tcW w:w="680" w:type="dxa"/>
            <w:tcBorders>
              <w:top w:val="single" w:sz="4" w:space="0" w:color="auto"/>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2.27</w:t>
            </w:r>
          </w:p>
        </w:tc>
        <w:tc>
          <w:tcPr>
            <w:tcW w:w="684" w:type="dxa"/>
            <w:tcBorders>
              <w:top w:val="single" w:sz="4" w:space="0" w:color="auto"/>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2.2</w:t>
            </w:r>
          </w:p>
        </w:tc>
        <w:tc>
          <w:tcPr>
            <w:tcW w:w="709" w:type="dxa"/>
            <w:tcBorders>
              <w:top w:val="single" w:sz="4" w:space="0" w:color="auto"/>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8.0</w:t>
            </w:r>
          </w:p>
        </w:tc>
        <w:tc>
          <w:tcPr>
            <w:tcW w:w="709" w:type="dxa"/>
            <w:gridSpan w:val="3"/>
            <w:tcBorders>
              <w:top w:val="single" w:sz="4" w:space="0" w:color="auto"/>
              <w:left w:val="nil"/>
              <w:bottom w:val="nil"/>
              <w:right w:val="single" w:sz="4" w:space="0" w:color="auto"/>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3.2</w:t>
            </w:r>
          </w:p>
        </w:tc>
      </w:tr>
      <w:tr w:rsidR="00603D72" w:rsidTr="00552DE2">
        <w:trPr>
          <w:trHeight w:val="113"/>
        </w:trPr>
        <w:tc>
          <w:tcPr>
            <w:tcW w:w="1308" w:type="dxa"/>
            <w:gridSpan w:val="2"/>
            <w:tcBorders>
              <w:top w:val="nil"/>
              <w:left w:val="single" w:sz="4" w:space="0" w:color="auto"/>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Maximum=</w:t>
            </w:r>
          </w:p>
        </w:tc>
        <w:tc>
          <w:tcPr>
            <w:tcW w:w="681"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2.68</w:t>
            </w:r>
          </w:p>
        </w:tc>
        <w:tc>
          <w:tcPr>
            <w:tcW w:w="678"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3.35</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3.41</w:t>
            </w:r>
          </w:p>
        </w:tc>
        <w:tc>
          <w:tcPr>
            <w:tcW w:w="679"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15.9</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15.1</w:t>
            </w:r>
          </w:p>
        </w:tc>
        <w:tc>
          <w:tcPr>
            <w:tcW w:w="715" w:type="dxa"/>
            <w:gridSpan w:val="2"/>
            <w:tcBorders>
              <w:top w:val="nil"/>
              <w:left w:val="nil"/>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8.3</w:t>
            </w:r>
          </w:p>
        </w:tc>
        <w:tc>
          <w:tcPr>
            <w:tcW w:w="649"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2.68</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3.21</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3.40</w:t>
            </w:r>
          </w:p>
        </w:tc>
        <w:tc>
          <w:tcPr>
            <w:tcW w:w="684"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12.9</w:t>
            </w:r>
          </w:p>
        </w:tc>
        <w:tc>
          <w:tcPr>
            <w:tcW w:w="709"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15.8</w:t>
            </w:r>
          </w:p>
        </w:tc>
        <w:tc>
          <w:tcPr>
            <w:tcW w:w="709" w:type="dxa"/>
            <w:gridSpan w:val="3"/>
            <w:tcBorders>
              <w:top w:val="nil"/>
              <w:left w:val="nil"/>
              <w:bottom w:val="nil"/>
              <w:right w:val="single" w:sz="4" w:space="0" w:color="auto"/>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9.1</w:t>
            </w:r>
          </w:p>
        </w:tc>
      </w:tr>
      <w:tr w:rsidR="00603D72" w:rsidTr="00A37A20">
        <w:trPr>
          <w:trHeight w:val="113"/>
        </w:trPr>
        <w:tc>
          <w:tcPr>
            <w:tcW w:w="1308" w:type="dxa"/>
            <w:gridSpan w:val="2"/>
            <w:tcBorders>
              <w:top w:val="nil"/>
              <w:left w:val="single" w:sz="4" w:space="0" w:color="auto"/>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Average=</w:t>
            </w:r>
          </w:p>
        </w:tc>
        <w:tc>
          <w:tcPr>
            <w:tcW w:w="681"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2.20</w:t>
            </w:r>
          </w:p>
        </w:tc>
        <w:tc>
          <w:tcPr>
            <w:tcW w:w="678"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2.88</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2.98</w:t>
            </w:r>
          </w:p>
        </w:tc>
        <w:tc>
          <w:tcPr>
            <w:tcW w:w="679"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4.8</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9.8</w:t>
            </w:r>
          </w:p>
        </w:tc>
        <w:tc>
          <w:tcPr>
            <w:tcW w:w="715" w:type="dxa"/>
            <w:gridSpan w:val="2"/>
            <w:tcBorders>
              <w:top w:val="nil"/>
              <w:left w:val="nil"/>
              <w:bottom w:val="nil"/>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5.5</w:t>
            </w:r>
          </w:p>
        </w:tc>
        <w:tc>
          <w:tcPr>
            <w:tcW w:w="649" w:type="dxa"/>
            <w:tcBorders>
              <w:top w:val="nil"/>
              <w:left w:val="single" w:sz="4" w:space="0" w:color="auto"/>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2.20</w:t>
            </w:r>
          </w:p>
        </w:tc>
        <w:tc>
          <w:tcPr>
            <w:tcW w:w="680" w:type="dxa"/>
            <w:gridSpan w:val="2"/>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2.71</w:t>
            </w:r>
          </w:p>
        </w:tc>
        <w:tc>
          <w:tcPr>
            <w:tcW w:w="680" w:type="dxa"/>
            <w:tcBorders>
              <w:top w:val="nil"/>
              <w:left w:val="nil"/>
              <w:bottom w:val="nil"/>
              <w:right w:val="nil"/>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2.94</w:t>
            </w:r>
          </w:p>
        </w:tc>
        <w:tc>
          <w:tcPr>
            <w:tcW w:w="684"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4.9</w:t>
            </w:r>
          </w:p>
        </w:tc>
        <w:tc>
          <w:tcPr>
            <w:tcW w:w="709" w:type="dxa"/>
            <w:tcBorders>
              <w:top w:val="nil"/>
              <w:left w:val="nil"/>
              <w:bottom w:val="nil"/>
              <w:right w:val="nil"/>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12.4</w:t>
            </w:r>
          </w:p>
        </w:tc>
        <w:tc>
          <w:tcPr>
            <w:tcW w:w="709" w:type="dxa"/>
            <w:gridSpan w:val="3"/>
            <w:tcBorders>
              <w:top w:val="nil"/>
              <w:left w:val="nil"/>
              <w:bottom w:val="nil"/>
              <w:right w:val="single" w:sz="4" w:space="0" w:color="auto"/>
            </w:tcBorders>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5.8</w:t>
            </w:r>
          </w:p>
        </w:tc>
      </w:tr>
      <w:tr w:rsidR="00603D72" w:rsidTr="00A37A20">
        <w:trPr>
          <w:trHeight w:val="113"/>
        </w:trPr>
        <w:tc>
          <w:tcPr>
            <w:tcW w:w="1308" w:type="dxa"/>
            <w:gridSpan w:val="2"/>
            <w:tcBorders>
              <w:top w:val="nil"/>
              <w:left w:val="single" w:sz="4" w:space="0" w:color="auto"/>
              <w:bottom w:val="single" w:sz="4" w:space="0" w:color="auto"/>
              <w:right w:val="single" w:sz="4" w:space="0" w:color="auto"/>
            </w:tcBorders>
            <w:vAlign w:val="center"/>
          </w:tcPr>
          <w:p w:rsidR="00603D72" w:rsidRDefault="00603D72" w:rsidP="0040798A">
            <w:pPr>
              <w:spacing w:line="200" w:lineRule="atLeast"/>
              <w:contextualSpacing/>
              <w:jc w:val="center"/>
              <w:rPr>
                <w:rFonts w:ascii="Times New Roman" w:hAnsi="Times New Roman" w:cs="Times New Roman"/>
                <w:sz w:val="20"/>
                <w:szCs w:val="20"/>
              </w:rPr>
            </w:pPr>
            <w:r>
              <w:rPr>
                <w:rFonts w:ascii="Times New Roman" w:hAnsi="Times New Roman" w:cs="Times New Roman"/>
                <w:sz w:val="20"/>
                <w:szCs w:val="20"/>
              </w:rPr>
              <w:t>% Change</w:t>
            </w:r>
            <w:r>
              <w:rPr>
                <w:rFonts w:cstheme="minorHAnsi"/>
                <w:sz w:val="20"/>
                <w:szCs w:val="20"/>
              </w:rPr>
              <w:t>‡</w:t>
            </w:r>
            <w:r>
              <w:rPr>
                <w:rFonts w:ascii="Times New Roman" w:hAnsi="Times New Roman" w:cs="Times New Roman"/>
                <w:sz w:val="20"/>
                <w:szCs w:val="20"/>
              </w:rPr>
              <w:t>=</w:t>
            </w:r>
          </w:p>
        </w:tc>
        <w:tc>
          <w:tcPr>
            <w:tcW w:w="681" w:type="dxa"/>
            <w:tcBorders>
              <w:top w:val="nil"/>
              <w:left w:val="single" w:sz="4" w:space="0" w:color="auto"/>
              <w:bottom w:val="single" w:sz="4" w:space="0" w:color="auto"/>
              <w:right w:val="nil"/>
            </w:tcBorders>
            <w:vAlign w:val="center"/>
          </w:tcPr>
          <w:p w:rsidR="00603D72" w:rsidRPr="005465AD" w:rsidRDefault="00603D72" w:rsidP="0040798A">
            <w:pPr>
              <w:spacing w:line="200" w:lineRule="atLeast"/>
              <w:contextualSpacing/>
              <w:jc w:val="center"/>
              <w:rPr>
                <w:rFonts w:ascii="Times New Roman" w:hAnsi="Times New Roman" w:cs="Times New Roman"/>
                <w:sz w:val="19"/>
                <w:szCs w:val="19"/>
              </w:rPr>
            </w:pPr>
            <w:r w:rsidRPr="005465AD">
              <w:rPr>
                <w:rFonts w:ascii="Times New Roman" w:hAnsi="Times New Roman" w:cs="Times New Roman"/>
                <w:sz w:val="19"/>
                <w:szCs w:val="19"/>
              </w:rPr>
              <w:t>47%</w:t>
            </w:r>
          </w:p>
        </w:tc>
        <w:tc>
          <w:tcPr>
            <w:tcW w:w="678" w:type="dxa"/>
            <w:tcBorders>
              <w:top w:val="nil"/>
              <w:left w:val="nil"/>
              <w:bottom w:val="single" w:sz="4" w:space="0" w:color="auto"/>
              <w:right w:val="nil"/>
            </w:tcBorders>
            <w:vAlign w:val="center"/>
          </w:tcPr>
          <w:p w:rsidR="00603D72" w:rsidRPr="005465AD" w:rsidRDefault="00603D72" w:rsidP="0040798A">
            <w:pPr>
              <w:spacing w:line="200" w:lineRule="atLeast"/>
              <w:contextualSpacing/>
              <w:rPr>
                <w:rFonts w:ascii="Times New Roman" w:hAnsi="Times New Roman" w:cs="Times New Roman"/>
                <w:sz w:val="19"/>
                <w:szCs w:val="19"/>
              </w:rPr>
            </w:pPr>
            <w:r w:rsidRPr="005465AD">
              <w:rPr>
                <w:rFonts w:ascii="Times New Roman" w:hAnsi="Times New Roman" w:cs="Times New Roman"/>
                <w:sz w:val="19"/>
                <w:szCs w:val="19"/>
              </w:rPr>
              <w:t>37%</w:t>
            </w:r>
          </w:p>
        </w:tc>
        <w:tc>
          <w:tcPr>
            <w:tcW w:w="680" w:type="dxa"/>
            <w:tcBorders>
              <w:top w:val="nil"/>
              <w:left w:val="nil"/>
              <w:bottom w:val="single" w:sz="4" w:space="0" w:color="auto"/>
              <w:right w:val="nil"/>
            </w:tcBorders>
            <w:vAlign w:val="center"/>
          </w:tcPr>
          <w:p w:rsidR="00603D72" w:rsidRPr="005465AD" w:rsidRDefault="00603D72" w:rsidP="0040798A">
            <w:pPr>
              <w:spacing w:line="200" w:lineRule="atLeast"/>
              <w:contextualSpacing/>
              <w:jc w:val="center"/>
              <w:rPr>
                <w:rFonts w:ascii="Times New Roman" w:hAnsi="Times New Roman" w:cs="Times New Roman"/>
                <w:sz w:val="19"/>
                <w:szCs w:val="19"/>
              </w:rPr>
            </w:pPr>
            <w:r w:rsidRPr="005465AD">
              <w:rPr>
                <w:rFonts w:ascii="Times New Roman" w:hAnsi="Times New Roman" w:cs="Times New Roman"/>
                <w:sz w:val="19"/>
                <w:szCs w:val="19"/>
              </w:rPr>
              <w:t>36%</w:t>
            </w:r>
          </w:p>
        </w:tc>
        <w:tc>
          <w:tcPr>
            <w:tcW w:w="679" w:type="dxa"/>
            <w:tcBorders>
              <w:top w:val="nil"/>
              <w:left w:val="nil"/>
              <w:bottom w:val="single" w:sz="4" w:space="0" w:color="auto"/>
              <w:right w:val="nil"/>
            </w:tcBorders>
            <w:vAlign w:val="center"/>
          </w:tcPr>
          <w:p w:rsidR="00603D72" w:rsidRPr="005465AD" w:rsidRDefault="00603D72" w:rsidP="0040798A">
            <w:pPr>
              <w:spacing w:line="200" w:lineRule="atLeast"/>
              <w:contextualSpacing/>
              <w:jc w:val="center"/>
              <w:rPr>
                <w:rFonts w:ascii="Times New Roman" w:hAnsi="Times New Roman" w:cs="Times New Roman"/>
                <w:sz w:val="19"/>
                <w:szCs w:val="19"/>
              </w:rPr>
            </w:pPr>
            <w:r w:rsidRPr="005465AD">
              <w:rPr>
                <w:rFonts w:ascii="Times New Roman" w:hAnsi="Times New Roman" w:cs="Times New Roman"/>
                <w:sz w:val="19"/>
                <w:szCs w:val="19"/>
              </w:rPr>
              <w:t>279%</w:t>
            </w:r>
          </w:p>
        </w:tc>
        <w:tc>
          <w:tcPr>
            <w:tcW w:w="680" w:type="dxa"/>
            <w:gridSpan w:val="2"/>
            <w:tcBorders>
              <w:top w:val="nil"/>
              <w:left w:val="nil"/>
              <w:bottom w:val="single" w:sz="4" w:space="0" w:color="auto"/>
              <w:right w:val="nil"/>
            </w:tcBorders>
            <w:vAlign w:val="center"/>
          </w:tcPr>
          <w:p w:rsidR="00603D72" w:rsidRPr="005465AD" w:rsidRDefault="00603D72" w:rsidP="0040798A">
            <w:pPr>
              <w:spacing w:line="200" w:lineRule="atLeast"/>
              <w:contextualSpacing/>
              <w:jc w:val="center"/>
              <w:rPr>
                <w:rFonts w:ascii="Times New Roman" w:hAnsi="Times New Roman" w:cs="Times New Roman"/>
                <w:sz w:val="19"/>
                <w:szCs w:val="19"/>
              </w:rPr>
            </w:pPr>
            <w:r w:rsidRPr="005465AD">
              <w:rPr>
                <w:rFonts w:ascii="Times New Roman" w:hAnsi="Times New Roman" w:cs="Times New Roman"/>
                <w:sz w:val="19"/>
                <w:szCs w:val="19"/>
              </w:rPr>
              <w:t>135%</w:t>
            </w:r>
          </w:p>
        </w:tc>
        <w:tc>
          <w:tcPr>
            <w:tcW w:w="715" w:type="dxa"/>
            <w:gridSpan w:val="2"/>
            <w:tcBorders>
              <w:top w:val="nil"/>
              <w:left w:val="nil"/>
              <w:bottom w:val="single" w:sz="4" w:space="0" w:color="auto"/>
              <w:right w:val="single" w:sz="4" w:space="0" w:color="auto"/>
            </w:tcBorders>
            <w:vAlign w:val="center"/>
          </w:tcPr>
          <w:p w:rsidR="00603D72" w:rsidRPr="005465AD" w:rsidRDefault="00603D72" w:rsidP="0040798A">
            <w:pPr>
              <w:spacing w:line="200" w:lineRule="atLeast"/>
              <w:contextualSpacing/>
              <w:jc w:val="center"/>
              <w:rPr>
                <w:rFonts w:ascii="Times New Roman" w:hAnsi="Times New Roman" w:cs="Times New Roman"/>
                <w:sz w:val="19"/>
                <w:szCs w:val="19"/>
              </w:rPr>
            </w:pPr>
            <w:r w:rsidRPr="005465AD">
              <w:rPr>
                <w:rFonts w:ascii="Times New Roman" w:hAnsi="Times New Roman" w:cs="Times New Roman"/>
                <w:sz w:val="19"/>
                <w:szCs w:val="19"/>
              </w:rPr>
              <w:t>105%</w:t>
            </w:r>
          </w:p>
        </w:tc>
        <w:tc>
          <w:tcPr>
            <w:tcW w:w="649" w:type="dxa"/>
            <w:tcBorders>
              <w:top w:val="nil"/>
              <w:left w:val="single" w:sz="4" w:space="0" w:color="auto"/>
              <w:bottom w:val="single" w:sz="4" w:space="0" w:color="auto"/>
              <w:right w:val="nil"/>
            </w:tcBorders>
            <w:vAlign w:val="center"/>
          </w:tcPr>
          <w:p w:rsidR="00603D72" w:rsidRPr="005465AD" w:rsidRDefault="00603D72" w:rsidP="0040798A">
            <w:pPr>
              <w:spacing w:line="200" w:lineRule="atLeast"/>
              <w:contextualSpacing/>
              <w:jc w:val="center"/>
              <w:rPr>
                <w:rFonts w:ascii="Times New Roman" w:hAnsi="Times New Roman" w:cs="Times New Roman"/>
                <w:sz w:val="19"/>
                <w:szCs w:val="19"/>
              </w:rPr>
            </w:pPr>
            <w:r w:rsidRPr="005465AD">
              <w:rPr>
                <w:rFonts w:ascii="Times New Roman" w:hAnsi="Times New Roman" w:cs="Times New Roman"/>
                <w:sz w:val="19"/>
                <w:szCs w:val="19"/>
              </w:rPr>
              <w:t>48%</w:t>
            </w:r>
          </w:p>
        </w:tc>
        <w:tc>
          <w:tcPr>
            <w:tcW w:w="680" w:type="dxa"/>
            <w:gridSpan w:val="2"/>
            <w:tcBorders>
              <w:top w:val="nil"/>
              <w:left w:val="nil"/>
              <w:bottom w:val="single" w:sz="4" w:space="0" w:color="auto"/>
              <w:right w:val="nil"/>
            </w:tcBorders>
            <w:vAlign w:val="center"/>
          </w:tcPr>
          <w:p w:rsidR="00603D72" w:rsidRPr="005465AD" w:rsidRDefault="00603D72" w:rsidP="0040798A">
            <w:pPr>
              <w:spacing w:line="200" w:lineRule="atLeast"/>
              <w:contextualSpacing/>
              <w:jc w:val="center"/>
              <w:rPr>
                <w:rFonts w:ascii="Times New Roman" w:hAnsi="Times New Roman" w:cs="Times New Roman"/>
                <w:sz w:val="19"/>
                <w:szCs w:val="19"/>
              </w:rPr>
            </w:pPr>
            <w:r w:rsidRPr="005465AD">
              <w:rPr>
                <w:rFonts w:ascii="Times New Roman" w:hAnsi="Times New Roman" w:cs="Times New Roman"/>
                <w:sz w:val="19"/>
                <w:szCs w:val="19"/>
              </w:rPr>
              <w:t>39%</w:t>
            </w:r>
          </w:p>
        </w:tc>
        <w:tc>
          <w:tcPr>
            <w:tcW w:w="680" w:type="dxa"/>
            <w:tcBorders>
              <w:top w:val="nil"/>
              <w:left w:val="nil"/>
              <w:bottom w:val="single" w:sz="4" w:space="0" w:color="auto"/>
              <w:right w:val="nil"/>
            </w:tcBorders>
            <w:vAlign w:val="center"/>
          </w:tcPr>
          <w:p w:rsidR="00603D72" w:rsidRPr="005465AD" w:rsidRDefault="00603D72" w:rsidP="0040798A">
            <w:pPr>
              <w:spacing w:line="200" w:lineRule="atLeast"/>
              <w:contextualSpacing/>
              <w:jc w:val="center"/>
              <w:rPr>
                <w:rFonts w:ascii="Times New Roman" w:hAnsi="Times New Roman" w:cs="Times New Roman"/>
                <w:sz w:val="19"/>
                <w:szCs w:val="19"/>
              </w:rPr>
            </w:pPr>
            <w:r w:rsidRPr="005465AD">
              <w:rPr>
                <w:rFonts w:ascii="Times New Roman" w:hAnsi="Times New Roman" w:cs="Times New Roman"/>
                <w:sz w:val="19"/>
                <w:szCs w:val="19"/>
              </w:rPr>
              <w:t>38%</w:t>
            </w:r>
          </w:p>
        </w:tc>
        <w:tc>
          <w:tcPr>
            <w:tcW w:w="684" w:type="dxa"/>
            <w:tcBorders>
              <w:top w:val="nil"/>
              <w:left w:val="nil"/>
              <w:bottom w:val="single" w:sz="4" w:space="0" w:color="auto"/>
              <w:right w:val="nil"/>
            </w:tcBorders>
          </w:tcPr>
          <w:p w:rsidR="00603D72" w:rsidRPr="005465AD" w:rsidRDefault="00603D72" w:rsidP="0040798A">
            <w:pPr>
              <w:spacing w:line="200" w:lineRule="atLeast"/>
              <w:contextualSpacing/>
              <w:jc w:val="center"/>
              <w:rPr>
                <w:rFonts w:ascii="Times New Roman" w:hAnsi="Times New Roman" w:cs="Times New Roman"/>
                <w:sz w:val="19"/>
                <w:szCs w:val="19"/>
              </w:rPr>
            </w:pPr>
            <w:r w:rsidRPr="005465AD">
              <w:rPr>
                <w:rFonts w:ascii="Times New Roman" w:hAnsi="Times New Roman" w:cs="Times New Roman"/>
                <w:sz w:val="19"/>
                <w:szCs w:val="19"/>
              </w:rPr>
              <w:t>217%</w:t>
            </w:r>
          </w:p>
        </w:tc>
        <w:tc>
          <w:tcPr>
            <w:tcW w:w="709" w:type="dxa"/>
            <w:tcBorders>
              <w:top w:val="nil"/>
              <w:left w:val="nil"/>
              <w:bottom w:val="single" w:sz="4" w:space="0" w:color="auto"/>
              <w:right w:val="nil"/>
            </w:tcBorders>
          </w:tcPr>
          <w:p w:rsidR="00603D72" w:rsidRPr="005465AD" w:rsidRDefault="00603D72" w:rsidP="0040798A">
            <w:pPr>
              <w:spacing w:line="200" w:lineRule="atLeast"/>
              <w:contextualSpacing/>
              <w:jc w:val="center"/>
              <w:rPr>
                <w:rFonts w:ascii="Times New Roman" w:hAnsi="Times New Roman" w:cs="Times New Roman"/>
                <w:sz w:val="19"/>
                <w:szCs w:val="19"/>
              </w:rPr>
            </w:pPr>
            <w:r w:rsidRPr="005465AD">
              <w:rPr>
                <w:rFonts w:ascii="Times New Roman" w:hAnsi="Times New Roman" w:cs="Times New Roman"/>
                <w:sz w:val="19"/>
                <w:szCs w:val="19"/>
              </w:rPr>
              <w:t>63%</w:t>
            </w:r>
          </w:p>
        </w:tc>
        <w:tc>
          <w:tcPr>
            <w:tcW w:w="709" w:type="dxa"/>
            <w:gridSpan w:val="3"/>
            <w:tcBorders>
              <w:top w:val="nil"/>
              <w:left w:val="nil"/>
              <w:bottom w:val="single" w:sz="4" w:space="0" w:color="auto"/>
              <w:right w:val="single" w:sz="4" w:space="0" w:color="auto"/>
            </w:tcBorders>
          </w:tcPr>
          <w:p w:rsidR="00603D72" w:rsidRPr="005465AD" w:rsidRDefault="00603D72" w:rsidP="0040798A">
            <w:pPr>
              <w:spacing w:line="200" w:lineRule="atLeast"/>
              <w:contextualSpacing/>
              <w:jc w:val="center"/>
              <w:rPr>
                <w:rFonts w:ascii="Times New Roman" w:hAnsi="Times New Roman" w:cs="Times New Roman"/>
                <w:sz w:val="19"/>
                <w:szCs w:val="19"/>
              </w:rPr>
            </w:pPr>
            <w:r w:rsidRPr="005465AD">
              <w:rPr>
                <w:rFonts w:ascii="Times New Roman" w:hAnsi="Times New Roman" w:cs="Times New Roman"/>
                <w:sz w:val="19"/>
                <w:szCs w:val="19"/>
              </w:rPr>
              <w:t>101%</w:t>
            </w:r>
          </w:p>
        </w:tc>
      </w:tr>
      <w:tr w:rsidR="00603D72" w:rsidTr="00A37A20">
        <w:trPr>
          <w:trHeight w:val="113"/>
        </w:trPr>
        <w:tc>
          <w:tcPr>
            <w:tcW w:w="9532" w:type="dxa"/>
            <w:gridSpan w:val="19"/>
            <w:tcBorders>
              <w:top w:val="single" w:sz="4" w:space="0" w:color="auto"/>
              <w:left w:val="nil"/>
              <w:bottom w:val="nil"/>
              <w:right w:val="nil"/>
            </w:tcBorders>
            <w:vAlign w:val="center"/>
          </w:tcPr>
          <w:p w:rsidR="00FD491A" w:rsidRPr="007A4246" w:rsidRDefault="00603D72" w:rsidP="007A4246">
            <w:pPr>
              <w:pStyle w:val="ListParagraph"/>
              <w:spacing w:after="0" w:line="200" w:lineRule="atLeast"/>
              <w:ind w:left="0"/>
              <w:jc w:val="center"/>
              <w:rPr>
                <w:rFonts w:ascii="Times New Roman" w:hAnsi="Times New Roman" w:cs="Times New Roman"/>
                <w:color w:val="FF0000"/>
                <w:sz w:val="19"/>
                <w:szCs w:val="19"/>
              </w:rPr>
            </w:pPr>
            <w:r w:rsidRPr="00F6435F">
              <w:rPr>
                <w:rFonts w:ascii="Times New Roman" w:hAnsi="Times New Roman" w:cs="Times New Roman"/>
                <w:sz w:val="19"/>
                <w:szCs w:val="19"/>
              </w:rPr>
              <w:t>*Darfield earthquake</w:t>
            </w:r>
            <w:r w:rsidR="00FD491A" w:rsidRPr="00F6435F">
              <w:rPr>
                <w:rFonts w:ascii="Times New Roman" w:hAnsi="Times New Roman" w:cs="Times New Roman"/>
                <w:sz w:val="19"/>
                <w:szCs w:val="19"/>
              </w:rPr>
              <w:t xml:space="preserve"> main shock</w:t>
            </w:r>
            <w:r w:rsidR="00DE3A23" w:rsidRPr="00F6435F">
              <w:rPr>
                <w:rFonts w:ascii="Times New Roman" w:hAnsi="Times New Roman" w:cs="Times New Roman"/>
                <w:sz w:val="19"/>
                <w:szCs w:val="19"/>
              </w:rPr>
              <w:t>;</w:t>
            </w:r>
            <w:r w:rsidRPr="00F6435F">
              <w:rPr>
                <w:rFonts w:ascii="Times New Roman" w:hAnsi="Times New Roman" w:cs="Times New Roman"/>
                <w:sz w:val="19"/>
                <w:szCs w:val="19"/>
              </w:rPr>
              <w:t xml:space="preserve"> †Christchurch earthquake</w:t>
            </w:r>
            <w:r w:rsidR="00FD491A" w:rsidRPr="00F6435F">
              <w:rPr>
                <w:rFonts w:ascii="Times New Roman" w:hAnsi="Times New Roman" w:cs="Times New Roman"/>
                <w:sz w:val="19"/>
                <w:szCs w:val="19"/>
              </w:rPr>
              <w:t xml:space="preserve"> main shock</w:t>
            </w:r>
            <w:r w:rsidRPr="00F6435F">
              <w:rPr>
                <w:rFonts w:ascii="Times New Roman" w:hAnsi="Times New Roman" w:cs="Times New Roman"/>
                <w:sz w:val="19"/>
                <w:szCs w:val="19"/>
              </w:rPr>
              <w:t>; ‡% Change= (Maximum-Minimum)x100</w:t>
            </w:r>
            <w:r w:rsidR="00DE3A23" w:rsidRPr="00F6435F">
              <w:rPr>
                <w:rFonts w:ascii="Times New Roman" w:hAnsi="Times New Roman" w:cs="Times New Roman"/>
                <w:sz w:val="19"/>
                <w:szCs w:val="19"/>
              </w:rPr>
              <w:t>%</w:t>
            </w:r>
            <w:r w:rsidRPr="00F6435F">
              <w:rPr>
                <w:rFonts w:ascii="Times New Roman" w:hAnsi="Times New Roman" w:cs="Times New Roman"/>
                <w:sz w:val="19"/>
                <w:szCs w:val="19"/>
              </w:rPr>
              <w:t>/Average</w:t>
            </w:r>
          </w:p>
        </w:tc>
      </w:tr>
      <w:tr w:rsidR="00603D72" w:rsidTr="00AB7D2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34" w:type="dxa"/>
          <w:wAfter w:w="211" w:type="dxa"/>
          <w:trHeight w:val="2985"/>
        </w:trPr>
        <w:tc>
          <w:tcPr>
            <w:tcW w:w="4643" w:type="dxa"/>
            <w:gridSpan w:val="6"/>
          </w:tcPr>
          <w:p w:rsidR="00603D72" w:rsidRDefault="00384B97" w:rsidP="00B4730D">
            <w:pPr>
              <w:spacing w:before="0"/>
              <w:jc w:val="center"/>
            </w:pPr>
            <w:r>
              <w:rPr>
                <w:noProof/>
                <w:lang w:eastAsia="en-NZ"/>
              </w:rPr>
              <w:pict>
                <v:shapetype id="_x0000_t202" coordsize="21600,21600" o:spt="202" path="m,l,21600r21600,l21600,xe">
                  <v:stroke joinstyle="miter"/>
                  <v:path gradientshapeok="t" o:connecttype="rect"/>
                </v:shapetype>
                <v:shape id="Text Box 80" o:spid="_x0000_s1026" type="#_x0000_t202" style="position:absolute;left:0;text-align:left;margin-left:197.45pt;margin-top:12.2pt;width:28.1pt;height:28.7pt;z-index:25165926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" filled="f" stroked="f" strokeweight=".5pt">
                  <v:path arrowok="t"/>
                  <v:textbox>
                    <w:txbxContent>
                      <w:p w:rsidR="007816AB" w:rsidRDefault="007816AB" w:rsidP="00603D72">
                        <w:r>
                          <w:t>(a)</w:t>
                        </w:r>
                      </w:p>
                    </w:txbxContent>
                  </v:textbox>
                </v:shape>
              </w:pict>
            </w:r>
            <w:r w:rsidR="00603D72">
              <w:rPr>
                <w:noProof/>
                <w:lang w:eastAsia="en-NZ"/>
              </w:rPr>
              <w:drawing>
                <wp:inline distT="0" distB="0" distL="0" distR="0">
                  <wp:extent cx="2411732" cy="1872343"/>
                  <wp:effectExtent l="0" t="0" r="762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stFreq_PRA28X.tif"/>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412572" cy="1872995"/>
                          </a:xfrm>
                          <a:prstGeom prst="rect">
                            <a:avLst/>
                          </a:prstGeom>
                        </pic:spPr>
                      </pic:pic>
                    </a:graphicData>
                  </a:graphic>
                </wp:inline>
              </w:drawing>
            </w:r>
          </w:p>
        </w:tc>
        <w:tc>
          <w:tcPr>
            <w:tcW w:w="4644" w:type="dxa"/>
            <w:gridSpan w:val="11"/>
          </w:tcPr>
          <w:p w:rsidR="00FD491A" w:rsidRDefault="00384B97" w:rsidP="00AB7D22">
            <w:pPr>
              <w:spacing w:before="0"/>
              <w:jc w:val="center"/>
            </w:pPr>
            <w:r>
              <w:rPr>
                <w:noProof/>
                <w:lang w:eastAsia="en-NZ"/>
              </w:rPr>
              <w:pict>
                <v:shape id="Text Box 82" o:spid="_x0000_s1027" type="#_x0000_t202" style="position:absolute;left:0;text-align:left;margin-left:188.6pt;margin-top:11.7pt;width:28.1pt;height:28.7pt;z-index:25166028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" filled="f" stroked="f" strokeweight=".5pt">
                  <v:path arrowok="t"/>
                  <v:textbox>
                    <w:txbxContent>
                      <w:p w:rsidR="007816AB" w:rsidRDefault="007816AB" w:rsidP="00603D72">
                        <w:r>
                          <w:t>(b)</w:t>
                        </w:r>
                      </w:p>
                    </w:txbxContent>
                  </v:textbox>
                </v:shape>
              </w:pict>
            </w:r>
            <w:r w:rsidR="00603D72">
              <w:rPr>
                <w:noProof/>
                <w:lang w:eastAsia="en-NZ"/>
              </w:rPr>
              <w:drawing>
                <wp:inline distT="0" distB="0" distL="0" distR="0">
                  <wp:extent cx="2464526" cy="1869491"/>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stFreq_PRA28Y.tif"/>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495490" cy="1892979"/>
                          </a:xfrm>
                          <a:prstGeom prst="rect">
                            <a:avLst/>
                          </a:prstGeom>
                        </pic:spPr>
                      </pic:pic>
                    </a:graphicData>
                  </a:graphic>
                </wp:inline>
              </w:drawing>
            </w:r>
          </w:p>
        </w:tc>
      </w:tr>
      <w:tr w:rsidR="00603D72" w:rsidTr="00B4730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34" w:type="dxa"/>
          <w:wAfter w:w="211" w:type="dxa"/>
          <w:trHeight w:val="3017"/>
        </w:trPr>
        <w:tc>
          <w:tcPr>
            <w:tcW w:w="4643" w:type="dxa"/>
            <w:gridSpan w:val="6"/>
          </w:tcPr>
          <w:p w:rsidR="00603D72" w:rsidRDefault="00384B97" w:rsidP="00B4730D">
            <w:pPr>
              <w:spacing w:before="0"/>
              <w:jc w:val="center"/>
            </w:pPr>
            <w:r>
              <w:rPr>
                <w:noProof/>
                <w:lang w:eastAsia="en-NZ"/>
              </w:rPr>
              <w:pict>
                <v:shape id="Text Box 83" o:spid="_x0000_s1028" type="#_x0000_t202" style="position:absolute;left:0;text-align:left;margin-left:194.35pt;margin-top:11pt;width:28.1pt;height:28.7pt;z-index:25166131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" filled="f" stroked="f" strokeweight=".5pt">
                  <v:path arrowok="t"/>
                  <v:textbox>
                    <w:txbxContent>
                      <w:p w:rsidR="007816AB" w:rsidRDefault="007816AB" w:rsidP="00603D72">
                        <w:r>
                          <w:t>(c)</w:t>
                        </w:r>
                      </w:p>
                    </w:txbxContent>
                  </v:textbox>
                </v:shape>
              </w:pict>
            </w:r>
            <w:r w:rsidR="00603D72">
              <w:rPr>
                <w:noProof/>
                <w:lang w:eastAsia="en-NZ"/>
              </w:rPr>
              <w:drawing>
                <wp:inline distT="0" distB="0" distL="0" distR="0">
                  <wp:extent cx="2481943" cy="1879190"/>
                  <wp:effectExtent l="0" t="0" r="0" b="698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ndFreq_PRA28X.tif"/>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491624" cy="1886520"/>
                          </a:xfrm>
                          <a:prstGeom prst="rect">
                            <a:avLst/>
                          </a:prstGeom>
                        </pic:spPr>
                      </pic:pic>
                    </a:graphicData>
                  </a:graphic>
                </wp:inline>
              </w:drawing>
            </w:r>
          </w:p>
        </w:tc>
        <w:tc>
          <w:tcPr>
            <w:tcW w:w="4644" w:type="dxa"/>
            <w:gridSpan w:val="11"/>
          </w:tcPr>
          <w:p w:rsidR="00FD491A" w:rsidRDefault="00384B97" w:rsidP="00AB7D22">
            <w:pPr>
              <w:spacing w:before="0"/>
              <w:jc w:val="center"/>
            </w:pPr>
            <w:r>
              <w:rPr>
                <w:noProof/>
                <w:lang w:eastAsia="en-NZ"/>
              </w:rPr>
              <w:pict>
                <v:shape id="Text Box 84" o:spid="_x0000_s1029" type="#_x0000_t202" style="position:absolute;left:0;text-align:left;margin-left:190.75pt;margin-top:10.45pt;width:28.1pt;height:28.7pt;z-index:25166233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" filled="f" stroked="f" strokeweight=".5pt">
                  <v:path arrowok="t"/>
                  <v:textbox>
                    <w:txbxContent>
                      <w:p w:rsidR="007816AB" w:rsidRDefault="007816AB" w:rsidP="00603D72">
                        <w:r>
                          <w:t>(d)</w:t>
                        </w:r>
                      </w:p>
                    </w:txbxContent>
                  </v:textbox>
                </v:shape>
              </w:pict>
            </w:r>
            <w:r w:rsidR="00603D72">
              <w:rPr>
                <w:noProof/>
                <w:lang w:eastAsia="en-NZ"/>
              </w:rPr>
              <w:drawing>
                <wp:inline distT="0" distB="0" distL="0" distR="0">
                  <wp:extent cx="2503812" cy="1872343"/>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ndFreq_PRA28Y.tif"/>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19848" cy="1884335"/>
                          </a:xfrm>
                          <a:prstGeom prst="rect">
                            <a:avLst/>
                          </a:prstGeom>
                        </pic:spPr>
                      </pic:pic>
                    </a:graphicData>
                  </a:graphic>
                </wp:inline>
              </w:drawing>
            </w:r>
          </w:p>
        </w:tc>
      </w:tr>
      <w:tr w:rsidR="00603D72" w:rsidTr="00552D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34" w:type="dxa"/>
          <w:wAfter w:w="211" w:type="dxa"/>
        </w:trPr>
        <w:tc>
          <w:tcPr>
            <w:tcW w:w="4643" w:type="dxa"/>
            <w:gridSpan w:val="6"/>
          </w:tcPr>
          <w:p w:rsidR="00603D72" w:rsidRDefault="00384B97" w:rsidP="00552DE2">
            <w:pPr>
              <w:spacing w:before="0"/>
              <w:jc w:val="center"/>
            </w:pPr>
            <w:r>
              <w:rPr>
                <w:noProof/>
                <w:lang w:eastAsia="en-NZ"/>
              </w:rPr>
              <w:pict>
                <v:shape id="Text Box 85" o:spid="_x0000_s1030" type="#_x0000_t202" style="position:absolute;left:0;text-align:left;margin-left:189.05pt;margin-top:8.95pt;width:28.1pt;height:28.7pt;z-index:2516633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" filled="f" stroked="f" strokeweight=".5pt">
                  <v:path arrowok="t"/>
                  <v:textbox>
                    <w:txbxContent>
                      <w:p w:rsidR="007816AB" w:rsidRDefault="007816AB" w:rsidP="00603D72">
                        <w:r>
                          <w:t>(e)</w:t>
                        </w:r>
                      </w:p>
                    </w:txbxContent>
                  </v:textbox>
                </v:shape>
              </w:pict>
            </w:r>
            <w:r w:rsidR="00603D72">
              <w:rPr>
                <w:noProof/>
                <w:lang w:eastAsia="en-NZ"/>
              </w:rPr>
              <w:drawing>
                <wp:inline distT="0" distB="0" distL="0" distR="0">
                  <wp:extent cx="2498415" cy="1776548"/>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rdFreq_PRA28X.tif"/>
                          <pic:cNvPicPr/>
                        </pic:nvPicPr>
                        <pic:blipFill>
                          <a:blip r:embed="rId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01575" cy="1778795"/>
                          </a:xfrm>
                          <a:prstGeom prst="rect">
                            <a:avLst/>
                          </a:prstGeom>
                        </pic:spPr>
                      </pic:pic>
                    </a:graphicData>
                  </a:graphic>
                </wp:inline>
              </w:drawing>
            </w:r>
          </w:p>
        </w:tc>
        <w:tc>
          <w:tcPr>
            <w:tcW w:w="4644" w:type="dxa"/>
            <w:gridSpan w:val="11"/>
          </w:tcPr>
          <w:p w:rsidR="00603D72" w:rsidRDefault="00384B97" w:rsidP="00552DE2">
            <w:pPr>
              <w:spacing w:before="0"/>
              <w:jc w:val="center"/>
            </w:pPr>
            <w:r>
              <w:rPr>
                <w:noProof/>
                <w:lang w:eastAsia="en-NZ"/>
              </w:rPr>
              <w:pict>
                <v:shape id="Text Box 86" o:spid="_x0000_s1031" type="#_x0000_t202" style="position:absolute;left:0;text-align:left;margin-left:183.95pt;margin-top:9.85pt;width:28.1pt;height:28.7pt;z-index:25166438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" filled="f" stroked="f" strokeweight=".5pt">
                  <v:path arrowok="t"/>
                  <v:textbox>
                    <w:txbxContent>
                      <w:p w:rsidR="007816AB" w:rsidRDefault="007816AB" w:rsidP="00603D72">
                        <w:r>
                          <w:t>(f)</w:t>
                        </w:r>
                      </w:p>
                    </w:txbxContent>
                  </v:textbox>
                </v:shape>
              </w:pict>
            </w:r>
            <w:r w:rsidR="00603D72">
              <w:rPr>
                <w:noProof/>
                <w:lang w:eastAsia="en-NZ"/>
              </w:rPr>
              <w:drawing>
                <wp:inline distT="0" distB="0" distL="0" distR="0">
                  <wp:extent cx="2507307" cy="1776548"/>
                  <wp:effectExtent l="0" t="0" r="762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rdFreq_PRA28Y.tif"/>
                          <pic:cNvPicPr/>
                        </pic:nvPicPr>
                        <pic:blipFill>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11270" cy="1779356"/>
                          </a:xfrm>
                          <a:prstGeom prst="rect">
                            <a:avLst/>
                          </a:prstGeom>
                        </pic:spPr>
                      </pic:pic>
                    </a:graphicData>
                  </a:graphic>
                </wp:inline>
              </w:drawing>
            </w:r>
          </w:p>
        </w:tc>
      </w:tr>
    </w:tbl>
    <w:p w:rsidR="00603D72" w:rsidRPr="001D0877" w:rsidRDefault="00603D72" w:rsidP="00603D72">
      <w:pPr>
        <w:rPr>
          <w:sz w:val="20"/>
        </w:rPr>
      </w:pPr>
      <w:r w:rsidRPr="001D0877">
        <w:rPr>
          <w:sz w:val="20"/>
        </w:rPr>
        <w:t xml:space="preserve">Figure 6. </w:t>
      </w:r>
      <w:r w:rsidR="008A2C9D">
        <w:rPr>
          <w:sz w:val="20"/>
        </w:rPr>
        <w:t>F</w:t>
      </w:r>
      <w:r w:rsidR="008A2C9D" w:rsidRPr="001D0877">
        <w:rPr>
          <w:sz w:val="20"/>
        </w:rPr>
        <w:t>requencies v</w:t>
      </w:r>
      <w:r w:rsidR="008A2C9D">
        <w:rPr>
          <w:sz w:val="20"/>
        </w:rPr>
        <w:t>ersu</w:t>
      </w:r>
      <w:r w:rsidR="008A2C9D" w:rsidRPr="001D0877">
        <w:rPr>
          <w:sz w:val="20"/>
        </w:rPr>
        <w:t>s PRA of sensor 28</w:t>
      </w:r>
      <w:r w:rsidR="008A2C9D">
        <w:rPr>
          <w:sz w:val="20"/>
        </w:rPr>
        <w:t xml:space="preserve"> </w:t>
      </w:r>
      <w:r w:rsidRPr="001D0877">
        <w:rPr>
          <w:sz w:val="20"/>
        </w:rPr>
        <w:t xml:space="preserve">for pseudo flexible base models along X </w:t>
      </w:r>
      <w:r>
        <w:rPr>
          <w:sz w:val="20"/>
        </w:rPr>
        <w:t xml:space="preserve">(a, c and e) </w:t>
      </w:r>
      <w:r w:rsidRPr="001D0877">
        <w:rPr>
          <w:sz w:val="20"/>
        </w:rPr>
        <w:t>and Y directions</w:t>
      </w:r>
      <w:r>
        <w:rPr>
          <w:sz w:val="20"/>
        </w:rPr>
        <w:t xml:space="preserve"> (b, d and f).</w:t>
      </w:r>
    </w:p>
    <w:p w:rsidR="00E95542" w:rsidRDefault="00BB501E" w:rsidP="00E95542">
      <w:r>
        <w:t xml:space="preserve">during the 06/11/2010 event. </w:t>
      </w:r>
      <w:r w:rsidR="006E3734">
        <w:t>Damping ratios</w:t>
      </w:r>
      <w:r w:rsidR="00B21BDC">
        <w:t>,</w:t>
      </w:r>
      <w:r w:rsidR="006E3734">
        <w:t xml:space="preserve"> </w:t>
      </w:r>
      <w:r w:rsidR="00021495" w:rsidRPr="00B21BDC">
        <w:t>on the other hand,</w:t>
      </w:r>
      <w:r w:rsidR="00021495">
        <w:t xml:space="preserve"> </w:t>
      </w:r>
      <w:r w:rsidR="006E3734">
        <w:t xml:space="preserve">have large variation and the average values for the first, second and third modal </w:t>
      </w:r>
      <w:r w:rsidR="00FD491A">
        <w:t>frequencies for the fixed base model are 4.8%, 9.8% and 5.5%</w:t>
      </w:r>
      <w:r w:rsidR="00E40691">
        <w:t>,</w:t>
      </w:r>
      <w:r w:rsidR="00FD491A">
        <w:t xml:space="preserve"> respectively, whereas for the pseudo flexible base model these are 4.9%, 12.4% and 5.8%. Generally</w:t>
      </w:r>
      <w:r w:rsidR="00E40691">
        <w:t>,</w:t>
      </w:r>
      <w:r w:rsidR="00FD491A">
        <w:t xml:space="preserve"> </w:t>
      </w:r>
      <w:r w:rsidR="00E40691">
        <w:t xml:space="preserve">the </w:t>
      </w:r>
      <w:r w:rsidR="00FD491A">
        <w:t>damping ratio</w:t>
      </w:r>
      <w:r w:rsidR="00E40691">
        <w:t>s</w:t>
      </w:r>
      <w:r w:rsidR="00FD491A">
        <w:t xml:space="preserve"> for </w:t>
      </w:r>
      <w:r w:rsidR="00E40691">
        <w:t xml:space="preserve">the </w:t>
      </w:r>
      <w:r w:rsidR="00FD491A">
        <w:t xml:space="preserve">pseudo </w:t>
      </w:r>
      <w:r w:rsidR="00E95542">
        <w:t xml:space="preserve">flexible base model </w:t>
      </w:r>
      <w:r w:rsidR="00E40691">
        <w:t>are</w:t>
      </w:r>
      <w:r w:rsidR="00E95542">
        <w:t xml:space="preserve"> higher than </w:t>
      </w:r>
      <w:r w:rsidR="00E40691">
        <w:t xml:space="preserve">for </w:t>
      </w:r>
      <w:r w:rsidR="00E95542">
        <w:t xml:space="preserve">the fixed base model except for </w:t>
      </w:r>
      <w:r w:rsidR="000A5BC0">
        <w:t>a few</w:t>
      </w:r>
      <w:r w:rsidR="00E95542">
        <w:t xml:space="preserve"> cases (Table 1).</w:t>
      </w:r>
    </w:p>
    <w:p w:rsidR="00575C21" w:rsidRDefault="00575C21" w:rsidP="00575C21">
      <w:r>
        <w:t xml:space="preserve">During the Darfield earthquake, the </w:t>
      </w:r>
      <w:r w:rsidR="00260CB8">
        <w:t xml:space="preserve">first mode </w:t>
      </w:r>
      <w:r>
        <w:t>frequency dropped to 1.6</w:t>
      </w:r>
      <w:r w:rsidR="00260CB8">
        <w:t>2</w:t>
      </w:r>
      <w:r>
        <w:t>Hz</w:t>
      </w:r>
      <w:r w:rsidR="005B74CC">
        <w:t>,</w:t>
      </w:r>
      <w:r w:rsidR="00260CB8">
        <w:t xml:space="preserve"> while in </w:t>
      </w:r>
      <w:r w:rsidR="00E40691">
        <w:t xml:space="preserve">the </w:t>
      </w:r>
      <w:r w:rsidR="00260CB8">
        <w:t xml:space="preserve">Christchurch earthquake it was </w:t>
      </w:r>
      <w:r w:rsidR="00750B10">
        <w:t>1.64Hz for the pseudo flexible base model</w:t>
      </w:r>
      <w:r w:rsidR="0028452C">
        <w:t>s</w:t>
      </w:r>
      <w:r w:rsidR="005B74CC">
        <w:t>,</w:t>
      </w:r>
      <w:r w:rsidR="00A60220">
        <w:t xml:space="preserve"> which is </w:t>
      </w:r>
      <w:r w:rsidR="005B74CC">
        <w:t xml:space="preserve">a decrease by </w:t>
      </w:r>
      <w:r w:rsidR="00A60220">
        <w:t>a factor of 1.63 (</w:t>
      </w:r>
      <w:r w:rsidR="005B74CC">
        <w:t>a</w:t>
      </w:r>
      <w:r w:rsidR="00A60220">
        <w:t>verage frequency in 2007</w:t>
      </w:r>
      <w:r w:rsidR="005B74CC">
        <w:t xml:space="preserve"> events</w:t>
      </w:r>
      <w:r w:rsidR="00A60220">
        <w:t xml:space="preserve">/frequency in the </w:t>
      </w:r>
      <w:r w:rsidR="005B74CC">
        <w:t xml:space="preserve">Darfield/Christchurch </w:t>
      </w:r>
      <w:r w:rsidR="00A60220">
        <w:t xml:space="preserve">earthquake) </w:t>
      </w:r>
      <w:r w:rsidR="005B74CC">
        <w:t xml:space="preserve">compared to </w:t>
      </w:r>
      <w:r w:rsidR="00A60220">
        <w:t>the pre</w:t>
      </w:r>
      <w:r w:rsidR="005B74CC">
        <w:t>-</w:t>
      </w:r>
      <w:r w:rsidR="007066D8">
        <w:t xml:space="preserve">Darfield </w:t>
      </w:r>
      <w:r w:rsidR="005B74CC">
        <w:t>events</w:t>
      </w:r>
      <w:r w:rsidR="00A60220">
        <w:t>. For the second mode frequency, the decrease is by a factor of 1.49 and 1.39</w:t>
      </w:r>
      <w:r w:rsidR="005B74CC">
        <w:t>,</w:t>
      </w:r>
      <w:r w:rsidR="00A60220">
        <w:t xml:space="preserve"> </w:t>
      </w:r>
      <w:r w:rsidR="002662EE">
        <w:t xml:space="preserve">whereas for the third mode frequency it is 1.36 and 1.48 for </w:t>
      </w:r>
      <w:r w:rsidR="005B74CC">
        <w:t xml:space="preserve">the </w:t>
      </w:r>
      <w:r w:rsidR="007066D8">
        <w:t>Darfield</w:t>
      </w:r>
      <w:r w:rsidR="002662EE">
        <w:t xml:space="preserve"> and Christchurch earthquakes</w:t>
      </w:r>
      <w:r w:rsidR="005B74CC">
        <w:t>,</w:t>
      </w:r>
      <w:r w:rsidR="002662EE">
        <w:t xml:space="preserve"> respectively. </w:t>
      </w:r>
      <w:r w:rsidR="00750B10">
        <w:t xml:space="preserve">It has been shown by </w:t>
      </w:r>
      <w:r w:rsidR="002B1624" w:rsidRPr="008B6142">
        <w:rPr>
          <w:color w:val="000000" w:themeColor="text1"/>
        </w:rPr>
        <w:t>Celebi (2006) and Trifunac et al. (2001)</w:t>
      </w:r>
      <w:r w:rsidR="002B1624">
        <w:rPr>
          <w:color w:val="FF0000"/>
        </w:rPr>
        <w:t xml:space="preserve"> </w:t>
      </w:r>
      <w:r w:rsidR="00750B10">
        <w:t>that frequenc</w:t>
      </w:r>
      <w:r w:rsidR="009B421C">
        <w:t>y</w:t>
      </w:r>
      <w:r w:rsidR="00750B10">
        <w:t xml:space="preserve"> </w:t>
      </w:r>
      <w:r w:rsidR="0028452C">
        <w:t>decreases</w:t>
      </w:r>
      <w:r w:rsidR="00750B10">
        <w:t xml:space="preserve"> with the </w:t>
      </w:r>
      <w:r w:rsidR="0028452C">
        <w:t xml:space="preserve">increase in </w:t>
      </w:r>
      <w:r w:rsidR="00750B10">
        <w:t xml:space="preserve">excitation and response levels. To </w:t>
      </w:r>
      <w:r w:rsidR="005B74CC">
        <w:t>determine</w:t>
      </w:r>
      <w:r w:rsidR="00750B10">
        <w:t xml:space="preserve"> wheth</w:t>
      </w:r>
      <w:r w:rsidR="009B421C">
        <w:t xml:space="preserve">er </w:t>
      </w:r>
      <w:r w:rsidR="005B74CC">
        <w:t>a similar</w:t>
      </w:r>
      <w:r w:rsidR="00750B10">
        <w:t xml:space="preserve"> behaviour is observed after the two main earthquakes, </w:t>
      </w:r>
      <w:r w:rsidR="005B74CC">
        <w:t xml:space="preserve">the </w:t>
      </w:r>
      <w:r w:rsidR="00750B10">
        <w:t xml:space="preserve">first three frequencies of </w:t>
      </w:r>
      <w:r w:rsidR="005B74CC">
        <w:t xml:space="preserve">the </w:t>
      </w:r>
      <w:r w:rsidR="00750B10">
        <w:t>pseudo flexible base model are plotted against PRA of sensor 28 (level 7) in both X and Y directions</w:t>
      </w:r>
      <w:r w:rsidR="00A60220">
        <w:t xml:space="preserve"> (Figures 6a-f)</w:t>
      </w:r>
      <w:r w:rsidR="00750B10">
        <w:t xml:space="preserve">. </w:t>
      </w:r>
      <w:r w:rsidR="005B74CC">
        <w:t>S</w:t>
      </w:r>
      <w:r w:rsidR="00750B10">
        <w:t xml:space="preserve">ensor 28 was </w:t>
      </w:r>
      <w:r w:rsidR="005B74CC">
        <w:t>selected because</w:t>
      </w:r>
      <w:r w:rsidR="00750B10">
        <w:t xml:space="preserve"> for </w:t>
      </w:r>
      <w:r w:rsidR="005B74CC">
        <w:t xml:space="preserve">the </w:t>
      </w:r>
      <w:r w:rsidR="00750B10">
        <w:t xml:space="preserve">2007 events the sensors at level 8 were </w:t>
      </w:r>
      <w:r w:rsidR="005B74CC">
        <w:t>measuring</w:t>
      </w:r>
      <w:r w:rsidR="00750B10">
        <w:t xml:space="preserve"> only </w:t>
      </w:r>
      <w:r w:rsidR="005B74CC">
        <w:t xml:space="preserve">the </w:t>
      </w:r>
      <w:r w:rsidR="00750B10">
        <w:t xml:space="preserve">vertical components so the response of the building cannot be compared with </w:t>
      </w:r>
      <w:r w:rsidR="005B74CC">
        <w:t xml:space="preserve">the </w:t>
      </w:r>
      <w:r w:rsidR="00750B10">
        <w:t xml:space="preserve">pre-earthquake scenario </w:t>
      </w:r>
      <w:r w:rsidR="00A60220">
        <w:t>by taking PRA of sensors at level 8</w:t>
      </w:r>
      <w:r w:rsidR="005B74CC">
        <w:t>,</w:t>
      </w:r>
      <w:r w:rsidR="00542475">
        <w:t xml:space="preserve"> which </w:t>
      </w:r>
      <w:r w:rsidR="005B74CC">
        <w:t>would be</w:t>
      </w:r>
      <w:r w:rsidR="00542475">
        <w:t xml:space="preserve"> the maximum response in the building</w:t>
      </w:r>
      <w:r w:rsidR="00A60220">
        <w:t>.</w:t>
      </w:r>
      <w:r w:rsidR="00603D72">
        <w:t xml:space="preserve"> It can be</w:t>
      </w:r>
      <w:r w:rsidR="005B0224">
        <w:t xml:space="preserve"> observed in Figure 6 (a, c and e</w:t>
      </w:r>
      <w:r w:rsidR="00603D72">
        <w:t xml:space="preserve">) that after </w:t>
      </w:r>
      <w:r w:rsidR="005B74CC">
        <w:t xml:space="preserve">the </w:t>
      </w:r>
      <w:r w:rsidR="00603D72">
        <w:t>Darfield earthquake</w:t>
      </w:r>
      <w:r w:rsidR="00E06016">
        <w:t xml:space="preserve"> for almost the same level of response </w:t>
      </w:r>
      <w:r w:rsidR="00812308">
        <w:t xml:space="preserve">for </w:t>
      </w:r>
      <w:r w:rsidR="005B74CC">
        <w:t xml:space="preserve">the </w:t>
      </w:r>
      <w:r w:rsidR="00812308">
        <w:t xml:space="preserve">pre and post-earthquake </w:t>
      </w:r>
      <w:r w:rsidR="005B74CC">
        <w:t xml:space="preserve">cases </w:t>
      </w:r>
      <w:r w:rsidR="00E06016">
        <w:t>the frequencies are 18%</w:t>
      </w:r>
      <w:r w:rsidR="005B0224">
        <w:t>, 5% and 30%</w:t>
      </w:r>
      <w:r w:rsidR="00E06016">
        <w:t xml:space="preserve"> </w:t>
      </w:r>
      <w:r w:rsidR="005B74CC">
        <w:t xml:space="preserve">less for the first, second and third modal frequencies, respectively, along X-direction </w:t>
      </w:r>
      <w:r w:rsidR="00E06016">
        <w:t>((</w:t>
      </w:r>
      <w:r w:rsidR="005B74CC">
        <w:t>a</w:t>
      </w:r>
      <w:r w:rsidR="00E06016">
        <w:t>verage pre-earthquake frequency – average post-earthquake frequency)/</w:t>
      </w:r>
      <w:r w:rsidR="005B74CC">
        <w:t>a</w:t>
      </w:r>
      <w:r w:rsidR="00E06016">
        <w:t>verage pre-earthquake frequency)</w:t>
      </w:r>
      <w:r w:rsidR="005B0224">
        <w:t xml:space="preserve">. </w:t>
      </w:r>
      <w:r w:rsidR="00D72437">
        <w:t>After the Christchurch earthquake, for the response level</w:t>
      </w:r>
      <w:r w:rsidR="005B74CC">
        <w:t>s</w:t>
      </w:r>
      <w:r w:rsidR="00D72437">
        <w:t xml:space="preserve"> of 0.0005g and 0.002g the </w:t>
      </w:r>
      <w:r w:rsidR="0039274C">
        <w:t xml:space="preserve">first mode </w:t>
      </w:r>
      <w:r w:rsidR="00D72437">
        <w:t xml:space="preserve">frequencies are almost </w:t>
      </w:r>
      <w:r w:rsidR="005B74CC">
        <w:t xml:space="preserve">the </w:t>
      </w:r>
      <w:r w:rsidR="00D72437">
        <w:t>same (2.12Hz, 2.</w:t>
      </w:r>
      <w:r w:rsidR="00812308">
        <w:t xml:space="preserve">08Hz) </w:t>
      </w:r>
      <w:r w:rsidR="005B74CC">
        <w:t xml:space="preserve">and correspond </w:t>
      </w:r>
      <w:r w:rsidR="00812308">
        <w:t xml:space="preserve">to </w:t>
      </w:r>
      <w:r w:rsidR="005B74CC">
        <w:t xml:space="preserve">a </w:t>
      </w:r>
      <w:r w:rsidR="00812308">
        <w:t>21% decrease (Fig. 6a)</w:t>
      </w:r>
      <w:r w:rsidR="005B74CC">
        <w:t>,</w:t>
      </w:r>
      <w:r w:rsidR="00812308">
        <w:t xml:space="preserve"> </w:t>
      </w:r>
      <w:r w:rsidR="00966530">
        <w:t>while</w:t>
      </w:r>
      <w:r w:rsidR="0039274C">
        <w:t xml:space="preserve"> for </w:t>
      </w:r>
      <w:r w:rsidR="005B74CC">
        <w:t xml:space="preserve">the </w:t>
      </w:r>
      <w:r w:rsidR="0039274C">
        <w:t xml:space="preserve">second mode frequency </w:t>
      </w:r>
      <w:r w:rsidR="009A61B1">
        <w:t>the decrease is 12.5%</w:t>
      </w:r>
      <w:r w:rsidR="00DE3A23">
        <w:t>,</w:t>
      </w:r>
      <w:r w:rsidR="009A61B1">
        <w:t xml:space="preserve"> </w:t>
      </w:r>
      <w:r w:rsidR="00966530">
        <w:t>and for third mode frequency for the response level</w:t>
      </w:r>
      <w:r w:rsidR="00DE3A23">
        <w:t>s</w:t>
      </w:r>
      <w:r w:rsidR="00966530">
        <w:t xml:space="preserve"> of 0.0004g and 0.002g the frequencies are very close (i.e. 2.89Hz and 2.98Hz). This</w:t>
      </w:r>
      <w:r w:rsidR="00812308">
        <w:t xml:space="preserve"> shows a</w:t>
      </w:r>
      <w:r w:rsidR="00D72437">
        <w:t xml:space="preserve"> loss of stiffness along the X-direction</w:t>
      </w:r>
      <w:r w:rsidR="00966530">
        <w:t xml:space="preserve"> after both </w:t>
      </w:r>
      <w:r w:rsidR="00DE3A23">
        <w:t xml:space="preserve">the </w:t>
      </w:r>
      <w:r w:rsidR="00966530">
        <w:t>main events</w:t>
      </w:r>
      <w:r w:rsidR="00D72437">
        <w:t>.</w:t>
      </w:r>
      <w:r w:rsidR="00812308">
        <w:t xml:space="preserve"> </w:t>
      </w:r>
      <w:r w:rsidR="00695A86">
        <w:t>T</w:t>
      </w:r>
      <w:r w:rsidR="00812308">
        <w:t xml:space="preserve">he Y-direction plots (Fig. 6b, d and f) </w:t>
      </w:r>
      <w:r w:rsidR="00DE3A23">
        <w:t>show</w:t>
      </w:r>
      <w:r w:rsidR="00695A86">
        <w:t xml:space="preserve"> </w:t>
      </w:r>
      <w:r w:rsidR="00DE3A23">
        <w:t>very</w:t>
      </w:r>
      <w:r w:rsidR="00695A86">
        <w:t xml:space="preserve"> </w:t>
      </w:r>
      <w:r w:rsidR="00DE3A23">
        <w:t>similar trends</w:t>
      </w:r>
      <w:r w:rsidR="00695A86">
        <w:t xml:space="preserve"> except for the second mode frequency plot</w:t>
      </w:r>
      <w:r w:rsidR="008F421F">
        <w:t xml:space="preserve"> (Fig. 6d)</w:t>
      </w:r>
      <w:r w:rsidR="00812308">
        <w:t>.</w:t>
      </w:r>
    </w:p>
    <w:p w:rsidR="00FD5D76" w:rsidRDefault="00FD5D76" w:rsidP="00575C21">
      <w:r>
        <w:t xml:space="preserve">It can be concluded from the above discussion that the building system (soil-foundation-structure) had </w:t>
      </w:r>
      <w:r w:rsidRPr="00B41328">
        <w:t>experience</w:t>
      </w:r>
      <w:r w:rsidR="000A0A6B" w:rsidRPr="00B41328">
        <w:t>d</w:t>
      </w:r>
      <w:r>
        <w:t xml:space="preserve"> significant loss in stiffness after both the main events. However, this stiffness was </w:t>
      </w:r>
      <w:r w:rsidR="00921597">
        <w:t xml:space="preserve">partly </w:t>
      </w:r>
      <w:r>
        <w:t xml:space="preserve">restored after certain period </w:t>
      </w:r>
      <w:r w:rsidR="00921597">
        <w:t>of time</w:t>
      </w:r>
      <w:r w:rsidR="00DE3A23">
        <w:t>, probably</w:t>
      </w:r>
      <w:r w:rsidR="00921597">
        <w:t xml:space="preserve"> </w:t>
      </w:r>
      <w:r>
        <w:t>due to the soil healing capacity</w:t>
      </w:r>
      <w:r w:rsidR="00921597">
        <w:t xml:space="preserve"> </w:t>
      </w:r>
      <w:r w:rsidR="0077571D">
        <w:t>(Trifunac et al. 2001)</w:t>
      </w:r>
      <w:r w:rsidR="00DE3A23">
        <w:t xml:space="preserve"> </w:t>
      </w:r>
      <w:r w:rsidR="00921597">
        <w:t>by dynamic compaction caused by aftershocks and by settlement after certain time.</w:t>
      </w:r>
    </w:p>
    <w:p w:rsidR="00734F66" w:rsidRDefault="00734F66" w:rsidP="00734F66">
      <w:pPr>
        <w:pStyle w:val="Heading1"/>
      </w:pPr>
      <w:r>
        <w:t>Conclusions</w:t>
      </w:r>
    </w:p>
    <w:p w:rsidR="00036D79" w:rsidRPr="005E3352" w:rsidRDefault="00036D79" w:rsidP="00036D79">
      <w:r w:rsidRPr="009221F5">
        <w:t>In this study, pre and post-earthquake seismic response analysis of an eight storey RC building was presented considering nine earthquake records.</w:t>
      </w:r>
      <w:r w:rsidRPr="00C41C12">
        <w:t xml:space="preserve"> </w:t>
      </w:r>
      <w:r w:rsidR="00930CDF">
        <w:t xml:space="preserve">N4SID system identification technique was used to extract frequencies, damping ratios and mode shapes considering fixed and pseudo flexible base models. It was observed that </w:t>
      </w:r>
      <w:r w:rsidR="00DE3A23">
        <w:t xml:space="preserve">the </w:t>
      </w:r>
      <w:r w:rsidR="00930CDF">
        <w:t xml:space="preserve">first mode frequencies have negligible </w:t>
      </w:r>
      <w:r w:rsidR="00DE3A23">
        <w:t xml:space="preserve">differences, </w:t>
      </w:r>
      <w:r w:rsidR="00930CDF">
        <w:t xml:space="preserve">whereas </w:t>
      </w:r>
      <w:r w:rsidR="00DE3A23">
        <w:t xml:space="preserve">the </w:t>
      </w:r>
      <w:r w:rsidR="00930CDF">
        <w:t xml:space="preserve">second and third mode frequencies have visible differences for </w:t>
      </w:r>
      <w:r w:rsidR="00DE3A23">
        <w:t xml:space="preserve">the </w:t>
      </w:r>
      <w:r w:rsidR="00930CDF">
        <w:t xml:space="preserve">fixed and pseudo flexible base models. The behaviour of the building </w:t>
      </w:r>
      <w:r w:rsidR="00007AE0">
        <w:t xml:space="preserve">considering </w:t>
      </w:r>
      <w:r w:rsidR="00DE3A23">
        <w:t xml:space="preserve">the </w:t>
      </w:r>
      <w:r w:rsidR="00007AE0">
        <w:t xml:space="preserve">pseudo flexible base model </w:t>
      </w:r>
      <w:r w:rsidR="00930CDF">
        <w:t xml:space="preserve">was ascertained after the Darfield (2010) and Christchurch (2011) earthquakes by plotting the identified frequencies </w:t>
      </w:r>
      <w:r w:rsidR="00DE3A23">
        <w:t>vs.</w:t>
      </w:r>
      <w:r w:rsidR="00930CDF">
        <w:t xml:space="preserve"> the PRA of </w:t>
      </w:r>
      <w:r w:rsidR="00DE3A23">
        <w:t xml:space="preserve">a </w:t>
      </w:r>
      <w:r w:rsidR="00930CDF">
        <w:t xml:space="preserve">sensor </w:t>
      </w:r>
      <w:r w:rsidR="00385CA8">
        <w:t xml:space="preserve">at </w:t>
      </w:r>
      <w:r w:rsidR="00930CDF">
        <w:t xml:space="preserve">level 7. It was </w:t>
      </w:r>
      <w:r w:rsidR="00007AE0">
        <w:t>concluded</w:t>
      </w:r>
      <w:r w:rsidR="00930CDF">
        <w:t xml:space="preserve"> that after both the main earthquakes </w:t>
      </w:r>
      <w:r w:rsidR="00DE3A23">
        <w:t xml:space="preserve">the </w:t>
      </w:r>
      <w:r w:rsidR="00930CDF">
        <w:t>building system (soil-foundation-structure) has lost stiffness</w:t>
      </w:r>
      <w:r w:rsidR="00DE3A23">
        <w:t>.</w:t>
      </w:r>
      <w:r w:rsidR="00930CDF">
        <w:t xml:space="preserve"> </w:t>
      </w:r>
      <w:r w:rsidR="00DE3A23">
        <w:t>This was, however,</w:t>
      </w:r>
      <w:r w:rsidR="00930CDF">
        <w:t xml:space="preserve"> </w:t>
      </w:r>
      <w:r w:rsidR="00DE3A23">
        <w:t>partly</w:t>
      </w:r>
      <w:r w:rsidR="00930CDF">
        <w:t xml:space="preserve"> restored </w:t>
      </w:r>
      <w:r w:rsidR="00DE3A23">
        <w:t xml:space="preserve">probably </w:t>
      </w:r>
      <w:r w:rsidR="00930CDF">
        <w:t>due to the healing capacity of soil</w:t>
      </w:r>
      <w:r w:rsidR="00DE3A23">
        <w:t>.</w:t>
      </w:r>
    </w:p>
    <w:p w:rsidR="00734F66" w:rsidRDefault="00734F66">
      <w:pPr>
        <w:pStyle w:val="Headingwithoutnumber"/>
      </w:pPr>
      <w:r>
        <w:t>acknowledgement:</w:t>
      </w:r>
    </w:p>
    <w:p w:rsidR="00734F66" w:rsidRDefault="00734F66" w:rsidP="00734F66">
      <w:r>
        <w:t>Grateful</w:t>
      </w:r>
      <w:r w:rsidRPr="00C41C12">
        <w:t xml:space="preserve"> acknowledge</w:t>
      </w:r>
      <w:r w:rsidR="00902384">
        <w:t>ment</w:t>
      </w:r>
      <w:r w:rsidRPr="00C41C12">
        <w:t xml:space="preserve"> </w:t>
      </w:r>
      <w:r>
        <w:t xml:space="preserve">is due to </w:t>
      </w:r>
      <w:r w:rsidRPr="00C41C12">
        <w:t xml:space="preserve">GeoNet staff for facilitating this research. Particular thanks go to </w:t>
      </w:r>
      <w:r w:rsidR="00912935">
        <w:t>Dr Jim Cousin</w:t>
      </w:r>
      <w:r w:rsidR="00A871F5">
        <w:t>s</w:t>
      </w:r>
      <w:r w:rsidR="00912935">
        <w:t xml:space="preserve">, </w:t>
      </w:r>
      <w:r w:rsidRPr="00C41C12">
        <w:t>Dr S.R. Uma and Dr Ken Gledhill.</w:t>
      </w:r>
      <w:r>
        <w:t xml:space="preserve"> The first author would also like to thank Higher Education Commission (HEC) Pakistan for funding his PhD study. </w:t>
      </w:r>
    </w:p>
    <w:p w:rsidR="00D97EC9" w:rsidRDefault="00D97EC9" w:rsidP="00BB501E">
      <w:pPr>
        <w:pStyle w:val="Headingwithoutnumber"/>
        <w:spacing w:after="0"/>
      </w:pPr>
      <w:r>
        <w:t xml:space="preserve">References: </w:t>
      </w:r>
    </w:p>
    <w:p w:rsidR="007816AB" w:rsidRDefault="007816AB" w:rsidP="00BB501E">
      <w:pPr>
        <w:pStyle w:val="Referencetext"/>
        <w:spacing w:before="60"/>
        <w:ind w:left="232" w:hanging="232"/>
      </w:pPr>
      <w:r>
        <w:t xml:space="preserve">Butt, F. &amp; Omenzetter, P. 2012. Evaluation of seismic response trends from long term monitoring of two instrumented RC buildings including soil-structure-interaction. </w:t>
      </w:r>
      <w:r>
        <w:rPr>
          <w:i/>
        </w:rPr>
        <w:t>Advances in Civil engineering</w:t>
      </w:r>
      <w:r>
        <w:t xml:space="preserve"> (in press).</w:t>
      </w:r>
    </w:p>
    <w:p w:rsidR="006F78E8" w:rsidRDefault="006F78E8" w:rsidP="00BB501E">
      <w:pPr>
        <w:pStyle w:val="Referencetext"/>
        <w:spacing w:before="60"/>
        <w:ind w:left="232" w:hanging="232"/>
      </w:pPr>
      <w:r>
        <w:t xml:space="preserve">Celebi, M. 2006. Recorded earthquake responses from the integrated seismic monitoring network of the Atwood Building, Anchorage, Alaska. </w:t>
      </w:r>
      <w:r w:rsidRPr="006F78E8">
        <w:rPr>
          <w:i/>
        </w:rPr>
        <w:t>Earthquake Spectra</w:t>
      </w:r>
      <w:r>
        <w:t xml:space="preserve"> Vol 22(4): 847-864.</w:t>
      </w:r>
    </w:p>
    <w:p w:rsidR="00265718" w:rsidRDefault="00265718" w:rsidP="00BB501E">
      <w:pPr>
        <w:pStyle w:val="Referencetext"/>
        <w:spacing w:before="60"/>
        <w:ind w:left="232" w:hanging="232"/>
      </w:pPr>
      <w:r w:rsidRPr="00265718">
        <w:t xml:space="preserve">De Roeck, G., Peeters, B. </w:t>
      </w:r>
      <w:r>
        <w:t>&amp;</w:t>
      </w:r>
      <w:r w:rsidRPr="00265718">
        <w:t xml:space="preserve"> Ren, W.</w:t>
      </w:r>
      <w:r>
        <w:t xml:space="preserve"> </w:t>
      </w:r>
      <w:r w:rsidRPr="00265718">
        <w:t xml:space="preserve">X. </w:t>
      </w:r>
      <w:r>
        <w:t xml:space="preserve">2000. </w:t>
      </w:r>
      <w:r w:rsidRPr="00265718">
        <w:t>Benchmark study on system identification through ambient vibration measurements.</w:t>
      </w:r>
      <w:r>
        <w:t xml:space="preserve"> </w:t>
      </w:r>
      <w:r w:rsidRPr="00265718">
        <w:t xml:space="preserve"> </w:t>
      </w:r>
      <w:r w:rsidRPr="000B1EF8">
        <w:rPr>
          <w:i/>
        </w:rPr>
        <w:t>18th International Modal Analysis Conference (IMAC)</w:t>
      </w:r>
      <w:r w:rsidR="000B1EF8">
        <w:rPr>
          <w:i/>
        </w:rPr>
        <w:t>: Proc. Intern. Conf.</w:t>
      </w:r>
      <w:r w:rsidRPr="00265718">
        <w:t xml:space="preserve">, San Antonio, Texas, USA, </w:t>
      </w:r>
      <w:r w:rsidR="000B1EF8">
        <w:t xml:space="preserve">7-10 February: </w:t>
      </w:r>
      <w:r w:rsidRPr="00265718">
        <w:t>1106-1112</w:t>
      </w:r>
      <w:r w:rsidR="000B1EF8">
        <w:t>.</w:t>
      </w:r>
    </w:p>
    <w:p w:rsidR="008C3A22" w:rsidRDefault="008C3A22" w:rsidP="00BB501E">
      <w:pPr>
        <w:pStyle w:val="Referencetext"/>
        <w:spacing w:before="60"/>
        <w:ind w:left="232" w:hanging="232"/>
      </w:pPr>
      <w:r>
        <w:t xml:space="preserve">Ewins, D.J. 2000. </w:t>
      </w:r>
      <w:r w:rsidRPr="00A67944">
        <w:rPr>
          <w:i/>
        </w:rPr>
        <w:t>Modal testing: Theory, practice and application</w:t>
      </w:r>
      <w:r>
        <w:t>. Baldock, Hertfordshire, UK: Research Studies Press Ltd.</w:t>
      </w:r>
    </w:p>
    <w:p w:rsidR="000B1EF8" w:rsidRDefault="000B1EF8" w:rsidP="00BB501E">
      <w:pPr>
        <w:pStyle w:val="Referencetext"/>
        <w:spacing w:before="60"/>
        <w:ind w:left="232" w:hanging="232"/>
      </w:pPr>
      <w:r>
        <w:t>Skolnik, D., Lei, Y., Yu, E. &amp;</w:t>
      </w:r>
      <w:r w:rsidRPr="000B1EF8">
        <w:t xml:space="preserve"> Wallace, J. W. 2006. Identification, model updating, and response prediction of an instrumented 15-story steel-frame building.</w:t>
      </w:r>
      <w:r>
        <w:t xml:space="preserve"> </w:t>
      </w:r>
      <w:r w:rsidRPr="000B1EF8">
        <w:rPr>
          <w:i/>
        </w:rPr>
        <w:t>Earthquake Spectra</w:t>
      </w:r>
      <w:r>
        <w:t xml:space="preserve"> Vol </w:t>
      </w:r>
      <w:r w:rsidRPr="000B1EF8">
        <w:t>22(3)</w:t>
      </w:r>
      <w:r>
        <w:t>:</w:t>
      </w:r>
      <w:r w:rsidRPr="000B1EF8">
        <w:t xml:space="preserve"> 781-802</w:t>
      </w:r>
      <w:r>
        <w:t>.</w:t>
      </w:r>
    </w:p>
    <w:p w:rsidR="008C3A22" w:rsidRDefault="008C3A22" w:rsidP="00BB501E">
      <w:pPr>
        <w:pStyle w:val="Referencetext"/>
        <w:spacing w:before="60"/>
        <w:ind w:left="232" w:hanging="232"/>
      </w:pPr>
      <w:r>
        <w:t>Stewart, J.P. &amp;</w:t>
      </w:r>
      <w:r w:rsidR="00F7398B">
        <w:t xml:space="preserve"> Fenves, G.L. 1998. System identification for evaluating soil-structure interaction effects in buildings from strong motion recordings. </w:t>
      </w:r>
      <w:r w:rsidR="00F7398B" w:rsidRPr="00A67944">
        <w:rPr>
          <w:i/>
        </w:rPr>
        <w:t>Earthquake Engineering and Structural Dynamics</w:t>
      </w:r>
      <w:r w:rsidR="00F7398B">
        <w:t xml:space="preserve"> Vol 27(8): 869-885</w:t>
      </w:r>
      <w:r w:rsidR="001D37A8">
        <w:t>.</w:t>
      </w:r>
    </w:p>
    <w:p w:rsidR="0077571D" w:rsidRPr="003E71C1" w:rsidRDefault="0077571D" w:rsidP="00BB501E">
      <w:pPr>
        <w:pStyle w:val="Referencetext"/>
        <w:spacing w:before="60"/>
        <w:ind w:left="232" w:hanging="232"/>
      </w:pPr>
      <w:r w:rsidRPr="00C41C12">
        <w:t xml:space="preserve">Trifunac, M.D., Ivanovic, S.S. &amp; Todorovska, M.I. 2001. Apparent periods of a building I: Fourier analysis, </w:t>
      </w:r>
      <w:r w:rsidRPr="00C41C12">
        <w:rPr>
          <w:i/>
        </w:rPr>
        <w:t>Journal of Structural Engineering, ASCE</w:t>
      </w:r>
      <w:r w:rsidRPr="00C41C12">
        <w:t>, Vol 127(5): 517-526.</w:t>
      </w:r>
    </w:p>
    <w:p w:rsidR="00265718" w:rsidRDefault="00265718" w:rsidP="00BB501E">
      <w:pPr>
        <w:pStyle w:val="Referencetext"/>
        <w:spacing w:before="60"/>
        <w:ind w:left="232" w:hanging="232"/>
      </w:pPr>
      <w:r>
        <w:t xml:space="preserve">Van Overschee, P. &amp; De Moor, B. 1994. </w:t>
      </w:r>
      <w:r>
        <w:rPr>
          <w:noProof/>
        </w:rPr>
        <w:t xml:space="preserve">N4SID: Subspace algorithms for the identification of combined deterministic-stochastic systems. </w:t>
      </w:r>
      <w:r w:rsidRPr="00265718">
        <w:rPr>
          <w:i/>
          <w:noProof/>
        </w:rPr>
        <w:t>Automatica</w:t>
      </w:r>
      <w:r>
        <w:rPr>
          <w:noProof/>
        </w:rPr>
        <w:t xml:space="preserve"> Vol </w:t>
      </w:r>
      <w:r w:rsidRPr="00265718">
        <w:rPr>
          <w:noProof/>
        </w:rPr>
        <w:t>30</w:t>
      </w:r>
      <w:r>
        <w:rPr>
          <w:noProof/>
        </w:rPr>
        <w:t>(1): 75-93.</w:t>
      </w:r>
    </w:p>
    <w:p w:rsidR="001D37A8" w:rsidRDefault="001D37A8" w:rsidP="00BB501E">
      <w:pPr>
        <w:pStyle w:val="Referencetext"/>
        <w:spacing w:before="60"/>
        <w:ind w:left="232" w:hanging="232"/>
      </w:pPr>
      <w:r>
        <w:t xml:space="preserve">Van Overschee, P. &amp; De Moor, B. 1996. </w:t>
      </w:r>
      <w:r w:rsidRPr="008C3A22">
        <w:rPr>
          <w:i/>
        </w:rPr>
        <w:t>Subspace identification for linear systems</w:t>
      </w:r>
      <w:r>
        <w:rPr>
          <w:i/>
        </w:rPr>
        <w:t>.</w:t>
      </w:r>
      <w:r>
        <w:t xml:space="preserve"> Dordrecht, Netherlands: Kluwer Academic Publishers.</w:t>
      </w:r>
    </w:p>
    <w:sectPr w:rsidR="001D37A8" w:rsidSect="00E11621">
      <w:footerReference w:type="even" r:id="rId28"/>
      <w:footerReference w:type="default" r:id="rId29"/>
      <w:footerReference w:type="first" r:id="rId30"/>
      <w:type w:val="continuous"/>
      <w:pgSz w:w="11907" w:h="16840" w:code="9"/>
      <w:pgMar w:top="1418" w:right="1418" w:bottom="1418" w:left="1418" w:header="0" w:footer="680" w:gutter="0"/>
      <w:cols w:space="284"/>
      <w:formProt w:val="0"/>
      <w:noEndnote/>
      <w:titlePg/>
    </w:sectPr>
  </w:body>
</w:document>
</file>

<file path=word/customizations.xml><?xml version="1.0" encoding="utf-8"?>
<wne:tcg xmlns:r="http://schemas.openxmlformats.org/officeDocument/2006/relationships" xmlns:wne="http://schemas.microsoft.com/office/word/2006/wordml">
  <wne:keymaps>
    <wne:keymap wne:kcmPrimary="0431">
      <wne:acd wne:acdName="acd2"/>
    </wne:keymap>
    <wne:keymap wne:kcmPrimary="0432">
      <wne:acd wne:acdName="acd1"/>
    </wne:keymap>
    <wne:keymap wne:kcmPrimary="0446">
      <wne:acd wne:acdName="acd3"/>
    </wne:keymap>
    <wne:keymap wne:kcmPrimary="044E">
      <wne:acd wne:acdName="acd0"/>
    </wne:keymap>
  </wne:keymaps>
  <wne:toolbars>
    <wne:acdManifest>
      <wne:acdEntry wne:acdName="acd0"/>
      <wne:acdEntry wne:acdName="acd1"/>
      <wne:acdEntry wne:acdName="acd2"/>
      <wne:acdEntry wne:acdName="acd3"/>
    </wne:acdManifest>
  </wne:toolbars>
  <wne:acds>
    <wne:acd wne:argValue="AgBOAG8AcgBtAGEAbAAsAHQAZQB4AHQA" wne:acdName="acd0" wne:fciIndexBasedOn="0065"/>
    <wne:acd wne:argValue="AgBIAGUAYQBkAGkAbgBnACAAMgAsAGgAZQBhAGQAaQBuAGcAIAAyAA==" wne:acdName="acd1" wne:fciIndexBasedOn="0065"/>
    <wne:acd wne:argValue="AgBIAGUAYQBkAGkAbgBnACAAMQAsAGgAZQBhAGQAaQBuAGcAIAAxAA==" wne:acdName="acd2" wne:fciIndexBasedOn="0065"/>
    <wne:acd wne:argValue="AgBGAGkAZwB1AHIAZQAgAGMAYQBwAHQAaQBvAG4A" wne:acdName="acd3" wne:fciIndexBasedOn="0065"/>
  </wne:acds>
</wne:tcg>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113C2" w:rsidRDefault="00C113C2">
      <w:r>
        <w:separator/>
      </w:r>
    </w:p>
  </w:endnote>
  <w:endnote w:type="continuationSeparator" w:id="0">
    <w:p w:rsidR="00C113C2" w:rsidRDefault="00C113C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6AB" w:rsidRDefault="00384B97">
    <w:pPr>
      <w:pStyle w:val="Footer"/>
      <w:ind w:right="360"/>
      <w:jc w:val="center"/>
    </w:pPr>
    <w:fldSimple w:instr=" PAGE ">
      <w:r w:rsidR="007816AB">
        <w:rPr>
          <w:noProof/>
        </w:rPr>
        <w:t>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6AB" w:rsidRDefault="00384B97">
    <w:pPr>
      <w:pStyle w:val="Footer"/>
      <w:tabs>
        <w:tab w:val="clear" w:pos="4153"/>
        <w:tab w:val="clear" w:pos="8306"/>
      </w:tabs>
      <w:ind w:right="-1"/>
      <w:jc w:val="center"/>
    </w:pPr>
    <w:fldSimple w:instr=" PAGE ">
      <w:r w:rsidR="008F2614">
        <w:rPr>
          <w:noProof/>
        </w:rPr>
        <w:t>8</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6AB" w:rsidRDefault="007816AB">
    <w:pPr>
      <w:pStyle w:val="Footer"/>
      <w:tabs>
        <w:tab w:val="clear" w:pos="4153"/>
        <w:tab w:val="clear" w:pos="8306"/>
      </w:tabs>
      <w:jc w:val="center"/>
    </w:pPr>
    <w:r>
      <w:t>Paper Number 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113C2" w:rsidRDefault="00C113C2">
      <w:r>
        <w:separator/>
      </w:r>
    </w:p>
  </w:footnote>
  <w:footnote w:type="continuationSeparator" w:id="0">
    <w:p w:rsidR="00C113C2" w:rsidRDefault="00C113C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34E0BBCC"/>
    <w:lvl w:ilvl="0">
      <w:start w:val="1"/>
      <w:numFmt w:val="decimal"/>
      <w:pStyle w:val="Heading1"/>
      <w:lvlText w:val="%1"/>
      <w:legacy w:legacy="1" w:legacySpace="153" w:legacyIndent="0"/>
      <w:lvlJc w:val="left"/>
      <w:rPr>
        <w:rFonts w:ascii="Times New Roman" w:hAnsi="Times New Roman" w:hint="default"/>
        <w:b w:val="0"/>
        <w:i w:val="0"/>
        <w:sz w:val="22"/>
      </w:rPr>
    </w:lvl>
    <w:lvl w:ilvl="1">
      <w:start w:val="1"/>
      <w:numFmt w:val="decimal"/>
      <w:pStyle w:val="Heading2"/>
      <w:lvlText w:val="%1.%2"/>
      <w:legacy w:legacy="1" w:legacySpace="153" w:legacyIndent="0"/>
      <w:lvlJc w:val="left"/>
      <w:pPr>
        <w:ind w:left="0" w:firstLine="0"/>
      </w:pPr>
      <w:rPr>
        <w:rFonts w:ascii="Times New Roman" w:hAnsi="Times New Roman" w:hint="default"/>
        <w:b w:val="0"/>
        <w:i w:val="0"/>
        <w:sz w:val="22"/>
      </w:rPr>
    </w:lvl>
    <w:lvl w:ilvl="2">
      <w:start w:val="1"/>
      <w:numFmt w:val="decimal"/>
      <w:pStyle w:val="Heading3"/>
      <w:lvlText w:val="%1.%2.%3"/>
      <w:legacy w:legacy="1" w:legacySpace="153" w:legacyIndent="0"/>
      <w:lvlJc w:val="left"/>
      <w:pPr>
        <w:ind w:left="0" w:firstLine="0"/>
      </w:pPr>
      <w:rPr>
        <w:rFonts w:ascii="Times New Roman" w:hAnsi="Times New Roman" w:hint="default"/>
        <w:b w:val="0"/>
        <w:i w:val="0"/>
        <w:sz w:val="22"/>
      </w:rPr>
    </w:lvl>
    <w:lvl w:ilvl="3">
      <w:start w:val="1"/>
      <w:numFmt w:val="decimal"/>
      <w:pStyle w:val="Heading4"/>
      <w:lvlText w:val="%1.%2.%3.%4"/>
      <w:legacy w:legacy="1" w:legacySpace="153" w:legacyIndent="0"/>
      <w:lvlJc w:val="left"/>
      <w:pPr>
        <w:ind w:left="0" w:firstLine="0"/>
      </w:pPr>
      <w:rPr>
        <w:rFonts w:ascii="Times New Roman" w:hAnsi="Times New Roman" w:hint="default"/>
        <w:b w:val="0"/>
        <w:i w:val="0"/>
        <w:sz w:val="22"/>
      </w:rPr>
    </w:lvl>
    <w:lvl w:ilvl="4">
      <w:start w:val="1"/>
      <w:numFmt w:val="decimal"/>
      <w:pStyle w:val="Heading5"/>
      <w:lvlText w:val="(%5)"/>
      <w:legacy w:legacy="1" w:legacySpace="0" w:legacyIndent="708"/>
      <w:lvlJc w:val="left"/>
      <w:pPr>
        <w:ind w:left="708" w:hanging="708"/>
      </w:pPr>
    </w:lvl>
    <w:lvl w:ilvl="5">
      <w:start w:val="1"/>
      <w:numFmt w:val="lowerLetter"/>
      <w:pStyle w:val="Heading6"/>
      <w:lvlText w:val="(%6)"/>
      <w:legacy w:legacy="1" w:legacySpace="0" w:legacyIndent="708"/>
      <w:lvlJc w:val="left"/>
      <w:pPr>
        <w:ind w:left="1416" w:hanging="708"/>
      </w:pPr>
    </w:lvl>
    <w:lvl w:ilvl="6">
      <w:start w:val="1"/>
      <w:numFmt w:val="lowerRoman"/>
      <w:pStyle w:val="Heading7"/>
      <w:lvlText w:val="(%7)"/>
      <w:legacy w:legacy="1" w:legacySpace="0" w:legacyIndent="708"/>
      <w:lvlJc w:val="left"/>
      <w:pPr>
        <w:ind w:left="2124" w:hanging="708"/>
      </w:pPr>
    </w:lvl>
    <w:lvl w:ilvl="7">
      <w:start w:val="1"/>
      <w:numFmt w:val="lowerLetter"/>
      <w:pStyle w:val="Heading8"/>
      <w:lvlText w:val="(%8)"/>
      <w:legacy w:legacy="1" w:legacySpace="0" w:legacyIndent="708"/>
      <w:lvlJc w:val="left"/>
      <w:pPr>
        <w:ind w:left="2832" w:hanging="708"/>
      </w:pPr>
    </w:lvl>
    <w:lvl w:ilvl="8">
      <w:start w:val="1"/>
      <w:numFmt w:val="lowerRoman"/>
      <w:pStyle w:val="Heading9"/>
      <w:lvlText w:val="(%9)"/>
      <w:legacy w:legacy="1" w:legacySpace="0" w:legacyIndent="708"/>
      <w:lvlJc w:val="left"/>
      <w:pPr>
        <w:ind w:left="3540" w:hanging="708"/>
      </w:pPr>
    </w:lvl>
  </w:abstractNum>
  <w:abstractNum w:abstractNumId="1">
    <w:nsid w:val="FFFFFFFE"/>
    <w:multiLevelType w:val="singleLevel"/>
    <w:tmpl w:val="271000F2"/>
    <w:lvl w:ilvl="0">
      <w:numFmt w:val="decimal"/>
      <w:lvlText w:val="*"/>
      <w:lvlJc w:val="left"/>
    </w:lvl>
  </w:abstractNum>
  <w:abstractNum w:abstractNumId="2">
    <w:nsid w:val="092C1580"/>
    <w:multiLevelType w:val="hybridMultilevel"/>
    <w:tmpl w:val="2A1A8EE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
    <w:nsid w:val="120343DE"/>
    <w:multiLevelType w:val="hybridMultilevel"/>
    <w:tmpl w:val="ADAC18B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nsid w:val="1DC4311E"/>
    <w:multiLevelType w:val="hybridMultilevel"/>
    <w:tmpl w:val="37F41D1E"/>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720"/>
        </w:tabs>
        <w:ind w:left="72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258E6E8D"/>
    <w:multiLevelType w:val="hybridMultilevel"/>
    <w:tmpl w:val="37F41D1E"/>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720"/>
        </w:tabs>
        <w:ind w:left="720" w:hanging="360"/>
      </w:p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BC72172"/>
    <w:multiLevelType w:val="hybridMultilevel"/>
    <w:tmpl w:val="1394798C"/>
    <w:lvl w:ilvl="0" w:tplc="0409000F">
      <w:start w:val="1"/>
      <w:numFmt w:val="decimal"/>
      <w:lvlText w:val="%1."/>
      <w:lvlJc w:val="left"/>
      <w:pPr>
        <w:tabs>
          <w:tab w:val="num" w:pos="770"/>
        </w:tabs>
        <w:ind w:left="770" w:hanging="360"/>
      </w:pPr>
    </w:lvl>
    <w:lvl w:ilvl="1" w:tplc="04090003" w:tentative="1">
      <w:start w:val="1"/>
      <w:numFmt w:val="bullet"/>
      <w:lvlText w:val="o"/>
      <w:lvlJc w:val="left"/>
      <w:pPr>
        <w:tabs>
          <w:tab w:val="num" w:pos="1490"/>
        </w:tabs>
        <w:ind w:left="1490" w:hanging="360"/>
      </w:pPr>
      <w:rPr>
        <w:rFonts w:ascii="Courier New" w:hAnsi="Courier New" w:hint="default"/>
      </w:rPr>
    </w:lvl>
    <w:lvl w:ilvl="2" w:tplc="04090005" w:tentative="1">
      <w:start w:val="1"/>
      <w:numFmt w:val="bullet"/>
      <w:lvlText w:val=""/>
      <w:lvlJc w:val="left"/>
      <w:pPr>
        <w:tabs>
          <w:tab w:val="num" w:pos="2210"/>
        </w:tabs>
        <w:ind w:left="2210" w:hanging="360"/>
      </w:pPr>
      <w:rPr>
        <w:rFonts w:ascii="Wingdings" w:hAnsi="Wingdings" w:hint="default"/>
      </w:rPr>
    </w:lvl>
    <w:lvl w:ilvl="3" w:tplc="04090001" w:tentative="1">
      <w:start w:val="1"/>
      <w:numFmt w:val="bullet"/>
      <w:lvlText w:val=""/>
      <w:lvlJc w:val="left"/>
      <w:pPr>
        <w:tabs>
          <w:tab w:val="num" w:pos="2930"/>
        </w:tabs>
        <w:ind w:left="2930" w:hanging="360"/>
      </w:pPr>
      <w:rPr>
        <w:rFonts w:ascii="Symbol" w:hAnsi="Symbol" w:hint="default"/>
      </w:rPr>
    </w:lvl>
    <w:lvl w:ilvl="4" w:tplc="04090003" w:tentative="1">
      <w:start w:val="1"/>
      <w:numFmt w:val="bullet"/>
      <w:lvlText w:val="o"/>
      <w:lvlJc w:val="left"/>
      <w:pPr>
        <w:tabs>
          <w:tab w:val="num" w:pos="3650"/>
        </w:tabs>
        <w:ind w:left="3650" w:hanging="360"/>
      </w:pPr>
      <w:rPr>
        <w:rFonts w:ascii="Courier New" w:hAnsi="Courier New" w:hint="default"/>
      </w:rPr>
    </w:lvl>
    <w:lvl w:ilvl="5" w:tplc="04090005" w:tentative="1">
      <w:start w:val="1"/>
      <w:numFmt w:val="bullet"/>
      <w:lvlText w:val=""/>
      <w:lvlJc w:val="left"/>
      <w:pPr>
        <w:tabs>
          <w:tab w:val="num" w:pos="4370"/>
        </w:tabs>
        <w:ind w:left="4370" w:hanging="360"/>
      </w:pPr>
      <w:rPr>
        <w:rFonts w:ascii="Wingdings" w:hAnsi="Wingdings" w:hint="default"/>
      </w:rPr>
    </w:lvl>
    <w:lvl w:ilvl="6" w:tplc="04090001" w:tentative="1">
      <w:start w:val="1"/>
      <w:numFmt w:val="bullet"/>
      <w:lvlText w:val=""/>
      <w:lvlJc w:val="left"/>
      <w:pPr>
        <w:tabs>
          <w:tab w:val="num" w:pos="5090"/>
        </w:tabs>
        <w:ind w:left="5090" w:hanging="360"/>
      </w:pPr>
      <w:rPr>
        <w:rFonts w:ascii="Symbol" w:hAnsi="Symbol" w:hint="default"/>
      </w:rPr>
    </w:lvl>
    <w:lvl w:ilvl="7" w:tplc="04090003" w:tentative="1">
      <w:start w:val="1"/>
      <w:numFmt w:val="bullet"/>
      <w:lvlText w:val="o"/>
      <w:lvlJc w:val="left"/>
      <w:pPr>
        <w:tabs>
          <w:tab w:val="num" w:pos="5810"/>
        </w:tabs>
        <w:ind w:left="5810" w:hanging="360"/>
      </w:pPr>
      <w:rPr>
        <w:rFonts w:ascii="Courier New" w:hAnsi="Courier New" w:hint="default"/>
      </w:rPr>
    </w:lvl>
    <w:lvl w:ilvl="8" w:tplc="04090005" w:tentative="1">
      <w:start w:val="1"/>
      <w:numFmt w:val="bullet"/>
      <w:lvlText w:val=""/>
      <w:lvlJc w:val="left"/>
      <w:pPr>
        <w:tabs>
          <w:tab w:val="num" w:pos="6530"/>
        </w:tabs>
        <w:ind w:left="6530" w:hanging="360"/>
      </w:pPr>
      <w:rPr>
        <w:rFonts w:ascii="Wingdings" w:hAnsi="Wingdings" w:hint="default"/>
      </w:rPr>
    </w:lvl>
  </w:abstractNum>
  <w:abstractNum w:abstractNumId="7">
    <w:nsid w:val="5949088F"/>
    <w:multiLevelType w:val="hybridMultilevel"/>
    <w:tmpl w:val="1394798C"/>
    <w:lvl w:ilvl="0" w:tplc="04090001">
      <w:start w:val="1"/>
      <w:numFmt w:val="bullet"/>
      <w:lvlText w:val=""/>
      <w:lvlJc w:val="left"/>
      <w:pPr>
        <w:tabs>
          <w:tab w:val="num" w:pos="770"/>
        </w:tabs>
        <w:ind w:left="770" w:hanging="360"/>
      </w:pPr>
      <w:rPr>
        <w:rFonts w:ascii="Symbol" w:hAnsi="Symbol" w:hint="default"/>
      </w:rPr>
    </w:lvl>
    <w:lvl w:ilvl="1" w:tplc="04090003" w:tentative="1">
      <w:start w:val="1"/>
      <w:numFmt w:val="bullet"/>
      <w:lvlText w:val="o"/>
      <w:lvlJc w:val="left"/>
      <w:pPr>
        <w:tabs>
          <w:tab w:val="num" w:pos="1490"/>
        </w:tabs>
        <w:ind w:left="1490" w:hanging="360"/>
      </w:pPr>
      <w:rPr>
        <w:rFonts w:ascii="Courier New" w:hAnsi="Courier New" w:hint="default"/>
      </w:rPr>
    </w:lvl>
    <w:lvl w:ilvl="2" w:tplc="04090005" w:tentative="1">
      <w:start w:val="1"/>
      <w:numFmt w:val="bullet"/>
      <w:lvlText w:val=""/>
      <w:lvlJc w:val="left"/>
      <w:pPr>
        <w:tabs>
          <w:tab w:val="num" w:pos="2210"/>
        </w:tabs>
        <w:ind w:left="2210" w:hanging="360"/>
      </w:pPr>
      <w:rPr>
        <w:rFonts w:ascii="Wingdings" w:hAnsi="Wingdings" w:hint="default"/>
      </w:rPr>
    </w:lvl>
    <w:lvl w:ilvl="3" w:tplc="04090001" w:tentative="1">
      <w:start w:val="1"/>
      <w:numFmt w:val="bullet"/>
      <w:lvlText w:val=""/>
      <w:lvlJc w:val="left"/>
      <w:pPr>
        <w:tabs>
          <w:tab w:val="num" w:pos="2930"/>
        </w:tabs>
        <w:ind w:left="2930" w:hanging="360"/>
      </w:pPr>
      <w:rPr>
        <w:rFonts w:ascii="Symbol" w:hAnsi="Symbol" w:hint="default"/>
      </w:rPr>
    </w:lvl>
    <w:lvl w:ilvl="4" w:tplc="04090003" w:tentative="1">
      <w:start w:val="1"/>
      <w:numFmt w:val="bullet"/>
      <w:lvlText w:val="o"/>
      <w:lvlJc w:val="left"/>
      <w:pPr>
        <w:tabs>
          <w:tab w:val="num" w:pos="3650"/>
        </w:tabs>
        <w:ind w:left="3650" w:hanging="360"/>
      </w:pPr>
      <w:rPr>
        <w:rFonts w:ascii="Courier New" w:hAnsi="Courier New" w:hint="default"/>
      </w:rPr>
    </w:lvl>
    <w:lvl w:ilvl="5" w:tplc="04090005" w:tentative="1">
      <w:start w:val="1"/>
      <w:numFmt w:val="bullet"/>
      <w:lvlText w:val=""/>
      <w:lvlJc w:val="left"/>
      <w:pPr>
        <w:tabs>
          <w:tab w:val="num" w:pos="4370"/>
        </w:tabs>
        <w:ind w:left="4370" w:hanging="360"/>
      </w:pPr>
      <w:rPr>
        <w:rFonts w:ascii="Wingdings" w:hAnsi="Wingdings" w:hint="default"/>
      </w:rPr>
    </w:lvl>
    <w:lvl w:ilvl="6" w:tplc="04090001" w:tentative="1">
      <w:start w:val="1"/>
      <w:numFmt w:val="bullet"/>
      <w:lvlText w:val=""/>
      <w:lvlJc w:val="left"/>
      <w:pPr>
        <w:tabs>
          <w:tab w:val="num" w:pos="5090"/>
        </w:tabs>
        <w:ind w:left="5090" w:hanging="360"/>
      </w:pPr>
      <w:rPr>
        <w:rFonts w:ascii="Symbol" w:hAnsi="Symbol" w:hint="default"/>
      </w:rPr>
    </w:lvl>
    <w:lvl w:ilvl="7" w:tplc="04090003" w:tentative="1">
      <w:start w:val="1"/>
      <w:numFmt w:val="bullet"/>
      <w:lvlText w:val="o"/>
      <w:lvlJc w:val="left"/>
      <w:pPr>
        <w:tabs>
          <w:tab w:val="num" w:pos="5810"/>
        </w:tabs>
        <w:ind w:left="5810" w:hanging="360"/>
      </w:pPr>
      <w:rPr>
        <w:rFonts w:ascii="Courier New" w:hAnsi="Courier New" w:hint="default"/>
      </w:rPr>
    </w:lvl>
    <w:lvl w:ilvl="8" w:tplc="04090005" w:tentative="1">
      <w:start w:val="1"/>
      <w:numFmt w:val="bullet"/>
      <w:lvlText w:val=""/>
      <w:lvlJc w:val="left"/>
      <w:pPr>
        <w:tabs>
          <w:tab w:val="num" w:pos="6530"/>
        </w:tabs>
        <w:ind w:left="6530" w:hanging="360"/>
      </w:pPr>
      <w:rPr>
        <w:rFonts w:ascii="Wingdings" w:hAnsi="Wingdings" w:hint="default"/>
      </w:rPr>
    </w:lvl>
  </w:abstractNum>
  <w:abstractNum w:abstractNumId="8">
    <w:nsid w:val="5BD96BF8"/>
    <w:multiLevelType w:val="hybridMultilevel"/>
    <w:tmpl w:val="0DDE7726"/>
    <w:lvl w:ilvl="0" w:tplc="F336E772">
      <w:start w:val="1"/>
      <w:numFmt w:val="bullet"/>
      <w:pStyle w:val="Bulletedlists"/>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5F712C31"/>
    <w:multiLevelType w:val="hybridMultilevel"/>
    <w:tmpl w:val="45F8D04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nsid w:val="66CD0D1F"/>
    <w:multiLevelType w:val="hybridMultilevel"/>
    <w:tmpl w:val="1B76DAA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1">
    <w:nsid w:val="7A376120"/>
    <w:multiLevelType w:val="hybridMultilevel"/>
    <w:tmpl w:val="85DE05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B73420D"/>
    <w:multiLevelType w:val="hybridMultilevel"/>
    <w:tmpl w:val="53AE996C"/>
    <w:lvl w:ilvl="0" w:tplc="60DA0218">
      <w:start w:val="1"/>
      <w:numFmt w:val="bullet"/>
      <w:lvlText w:val=""/>
      <w:lvlJc w:val="left"/>
      <w:pPr>
        <w:tabs>
          <w:tab w:val="num" w:pos="947"/>
        </w:tabs>
        <w:ind w:left="947" w:hanging="360"/>
      </w:pPr>
      <w:rPr>
        <w:rFonts w:ascii="Symbol" w:hAnsi="Symbol" w:hint="default"/>
      </w:rPr>
    </w:lvl>
    <w:lvl w:ilvl="1" w:tplc="B008A1EE" w:tentative="1">
      <w:start w:val="1"/>
      <w:numFmt w:val="bullet"/>
      <w:lvlText w:val="o"/>
      <w:lvlJc w:val="left"/>
      <w:pPr>
        <w:tabs>
          <w:tab w:val="num" w:pos="1667"/>
        </w:tabs>
        <w:ind w:left="1667" w:hanging="360"/>
      </w:pPr>
      <w:rPr>
        <w:rFonts w:ascii="Courier New" w:hAnsi="Courier New" w:hint="default"/>
      </w:rPr>
    </w:lvl>
    <w:lvl w:ilvl="2" w:tplc="A6964772" w:tentative="1">
      <w:start w:val="1"/>
      <w:numFmt w:val="bullet"/>
      <w:lvlText w:val=""/>
      <w:lvlJc w:val="left"/>
      <w:pPr>
        <w:tabs>
          <w:tab w:val="num" w:pos="2387"/>
        </w:tabs>
        <w:ind w:left="2387" w:hanging="360"/>
      </w:pPr>
      <w:rPr>
        <w:rFonts w:ascii="Wingdings" w:hAnsi="Wingdings" w:hint="default"/>
      </w:rPr>
    </w:lvl>
    <w:lvl w:ilvl="3" w:tplc="3AA2AD2E" w:tentative="1">
      <w:start w:val="1"/>
      <w:numFmt w:val="bullet"/>
      <w:lvlText w:val=""/>
      <w:lvlJc w:val="left"/>
      <w:pPr>
        <w:tabs>
          <w:tab w:val="num" w:pos="3107"/>
        </w:tabs>
        <w:ind w:left="3107" w:hanging="360"/>
      </w:pPr>
      <w:rPr>
        <w:rFonts w:ascii="Symbol" w:hAnsi="Symbol" w:hint="default"/>
      </w:rPr>
    </w:lvl>
    <w:lvl w:ilvl="4" w:tplc="2FC4D944" w:tentative="1">
      <w:start w:val="1"/>
      <w:numFmt w:val="bullet"/>
      <w:lvlText w:val="o"/>
      <w:lvlJc w:val="left"/>
      <w:pPr>
        <w:tabs>
          <w:tab w:val="num" w:pos="3827"/>
        </w:tabs>
        <w:ind w:left="3827" w:hanging="360"/>
      </w:pPr>
      <w:rPr>
        <w:rFonts w:ascii="Courier New" w:hAnsi="Courier New" w:hint="default"/>
      </w:rPr>
    </w:lvl>
    <w:lvl w:ilvl="5" w:tplc="90103152" w:tentative="1">
      <w:start w:val="1"/>
      <w:numFmt w:val="bullet"/>
      <w:lvlText w:val=""/>
      <w:lvlJc w:val="left"/>
      <w:pPr>
        <w:tabs>
          <w:tab w:val="num" w:pos="4547"/>
        </w:tabs>
        <w:ind w:left="4547" w:hanging="360"/>
      </w:pPr>
      <w:rPr>
        <w:rFonts w:ascii="Wingdings" w:hAnsi="Wingdings" w:hint="default"/>
      </w:rPr>
    </w:lvl>
    <w:lvl w:ilvl="6" w:tplc="8B90A648" w:tentative="1">
      <w:start w:val="1"/>
      <w:numFmt w:val="bullet"/>
      <w:lvlText w:val=""/>
      <w:lvlJc w:val="left"/>
      <w:pPr>
        <w:tabs>
          <w:tab w:val="num" w:pos="5267"/>
        </w:tabs>
        <w:ind w:left="5267" w:hanging="360"/>
      </w:pPr>
      <w:rPr>
        <w:rFonts w:ascii="Symbol" w:hAnsi="Symbol" w:hint="default"/>
      </w:rPr>
    </w:lvl>
    <w:lvl w:ilvl="7" w:tplc="983A9580" w:tentative="1">
      <w:start w:val="1"/>
      <w:numFmt w:val="bullet"/>
      <w:lvlText w:val="o"/>
      <w:lvlJc w:val="left"/>
      <w:pPr>
        <w:tabs>
          <w:tab w:val="num" w:pos="5987"/>
        </w:tabs>
        <w:ind w:left="5987" w:hanging="360"/>
      </w:pPr>
      <w:rPr>
        <w:rFonts w:ascii="Courier New" w:hAnsi="Courier New" w:hint="default"/>
      </w:rPr>
    </w:lvl>
    <w:lvl w:ilvl="8" w:tplc="ED56AD68" w:tentative="1">
      <w:start w:val="1"/>
      <w:numFmt w:val="bullet"/>
      <w:lvlText w:val=""/>
      <w:lvlJc w:val="left"/>
      <w:pPr>
        <w:tabs>
          <w:tab w:val="num" w:pos="6707"/>
        </w:tabs>
        <w:ind w:left="6707" w:hanging="360"/>
      </w:pPr>
      <w:rPr>
        <w:rFonts w:ascii="Wingdings" w:hAnsi="Wingdings" w:hint="default"/>
      </w:rPr>
    </w:lvl>
  </w:abstractNum>
  <w:num w:numId="1">
    <w:abstractNumId w:val="0"/>
  </w:num>
  <w:num w:numId="2">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
    <w:lvlOverride w:ilvl="0">
      <w:lvl w:ilvl="0">
        <w:start w:val="1"/>
        <w:numFmt w:val="bullet"/>
        <w:lvlText w:val=""/>
        <w:legacy w:legacy="1" w:legacySpace="0" w:legacyIndent="230"/>
        <w:lvlJc w:val="left"/>
        <w:pPr>
          <w:ind w:left="230" w:hanging="230"/>
        </w:pPr>
        <w:rPr>
          <w:rFonts w:ascii="Symbol" w:hAnsi="Symbol" w:hint="default"/>
        </w:rPr>
      </w:lvl>
    </w:lvlOverride>
  </w:num>
  <w:num w:numId="4">
    <w:abstractNumId w:val="12"/>
  </w:num>
  <w:num w:numId="5">
    <w:abstractNumId w:val="1"/>
    <w:lvlOverride w:ilvl="0">
      <w:lvl w:ilvl="0">
        <w:start w:val="1"/>
        <w:numFmt w:val="bullet"/>
        <w:lvlText w:val=""/>
        <w:legacy w:legacy="1" w:legacySpace="0" w:legacyIndent="283"/>
        <w:lvlJc w:val="left"/>
        <w:pPr>
          <w:ind w:left="283" w:hanging="283"/>
        </w:pPr>
        <w:rPr>
          <w:rFonts w:ascii="Courier New" w:hAnsi="Courier New" w:hint="default"/>
        </w:rPr>
      </w:lvl>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6"/>
  </w:num>
  <w:num w:numId="9">
    <w:abstractNumId w:val="4"/>
  </w:num>
  <w:num w:numId="10">
    <w:abstractNumId w:val="5"/>
  </w:num>
  <w:num w:numId="11">
    <w:abstractNumId w:val="11"/>
  </w:num>
  <w:num w:numId="12">
    <w:abstractNumId w:val="9"/>
  </w:num>
  <w:num w:numId="13">
    <w:abstractNumId w:val="2"/>
  </w:num>
  <w:num w:numId="14">
    <w:abstractNumId w:val="3"/>
  </w:num>
  <w:num w:numId="15">
    <w:abstractNumId w:val="10"/>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9"/>
  <w:embedSystemFonts/>
  <w:proofState w:spelling="clean" w:grammar="clean"/>
  <w:attachedTemplate r:id="rId1"/>
  <w:linkStyles/>
  <w:stylePaneFormatFilter w:val="1F08"/>
  <w:defaultTabStop w:val="227"/>
  <w:autoHyphenation/>
  <w:consecutiveHyphenLimit w:val="3"/>
  <w:hyphenationZone w:val="48"/>
  <w:drawingGridHorizontalSpacing w:val="120"/>
  <w:drawingGridVerticalSpacing w:val="12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506B21"/>
    <w:rsid w:val="00001B59"/>
    <w:rsid w:val="00007AE0"/>
    <w:rsid w:val="000133AC"/>
    <w:rsid w:val="000144D5"/>
    <w:rsid w:val="00021495"/>
    <w:rsid w:val="00036D79"/>
    <w:rsid w:val="000477C0"/>
    <w:rsid w:val="00075738"/>
    <w:rsid w:val="000A0A6B"/>
    <w:rsid w:val="000A2F18"/>
    <w:rsid w:val="000A5BC0"/>
    <w:rsid w:val="000B1EF8"/>
    <w:rsid w:val="000C0558"/>
    <w:rsid w:val="000C2AEF"/>
    <w:rsid w:val="000D621B"/>
    <w:rsid w:val="00123D57"/>
    <w:rsid w:val="001342EA"/>
    <w:rsid w:val="00161D3E"/>
    <w:rsid w:val="0019117D"/>
    <w:rsid w:val="0019427F"/>
    <w:rsid w:val="00196C3B"/>
    <w:rsid w:val="001B6322"/>
    <w:rsid w:val="001B6CB0"/>
    <w:rsid w:val="001C7DB5"/>
    <w:rsid w:val="001D0877"/>
    <w:rsid w:val="001D37A8"/>
    <w:rsid w:val="001E27AE"/>
    <w:rsid w:val="00211AEA"/>
    <w:rsid w:val="00213109"/>
    <w:rsid w:val="002216E9"/>
    <w:rsid w:val="00223E44"/>
    <w:rsid w:val="0023229F"/>
    <w:rsid w:val="00235DD3"/>
    <w:rsid w:val="00260CB8"/>
    <w:rsid w:val="00265718"/>
    <w:rsid w:val="002662EE"/>
    <w:rsid w:val="00272753"/>
    <w:rsid w:val="0028452C"/>
    <w:rsid w:val="00292E89"/>
    <w:rsid w:val="002930E6"/>
    <w:rsid w:val="002A2CE6"/>
    <w:rsid w:val="002B1624"/>
    <w:rsid w:val="002B30E9"/>
    <w:rsid w:val="002F1AA3"/>
    <w:rsid w:val="002F34A4"/>
    <w:rsid w:val="0030661A"/>
    <w:rsid w:val="00312C00"/>
    <w:rsid w:val="00366A26"/>
    <w:rsid w:val="00384B97"/>
    <w:rsid w:val="00385CA8"/>
    <w:rsid w:val="0039274C"/>
    <w:rsid w:val="003A30EF"/>
    <w:rsid w:val="003A71EE"/>
    <w:rsid w:val="003C0777"/>
    <w:rsid w:val="003E1024"/>
    <w:rsid w:val="003E2ACB"/>
    <w:rsid w:val="003E5F33"/>
    <w:rsid w:val="003F04E4"/>
    <w:rsid w:val="004015EB"/>
    <w:rsid w:val="00404E37"/>
    <w:rsid w:val="0040798A"/>
    <w:rsid w:val="0042764D"/>
    <w:rsid w:val="00447D2F"/>
    <w:rsid w:val="00463353"/>
    <w:rsid w:val="00465B41"/>
    <w:rsid w:val="004749F0"/>
    <w:rsid w:val="00491936"/>
    <w:rsid w:val="004A13B2"/>
    <w:rsid w:val="004C5993"/>
    <w:rsid w:val="004D1DE3"/>
    <w:rsid w:val="004F7BDE"/>
    <w:rsid w:val="00501723"/>
    <w:rsid w:val="00506B21"/>
    <w:rsid w:val="00506C7F"/>
    <w:rsid w:val="00532C9F"/>
    <w:rsid w:val="00542475"/>
    <w:rsid w:val="005465AD"/>
    <w:rsid w:val="00552DE2"/>
    <w:rsid w:val="0057032C"/>
    <w:rsid w:val="00570379"/>
    <w:rsid w:val="00572247"/>
    <w:rsid w:val="00575C21"/>
    <w:rsid w:val="005A594D"/>
    <w:rsid w:val="005B0224"/>
    <w:rsid w:val="005B5EE1"/>
    <w:rsid w:val="005B74CC"/>
    <w:rsid w:val="005D04EB"/>
    <w:rsid w:val="005D3B16"/>
    <w:rsid w:val="005F386C"/>
    <w:rsid w:val="00603D72"/>
    <w:rsid w:val="0060567A"/>
    <w:rsid w:val="00607C4B"/>
    <w:rsid w:val="006252B9"/>
    <w:rsid w:val="006276C9"/>
    <w:rsid w:val="00634EF9"/>
    <w:rsid w:val="00670CC9"/>
    <w:rsid w:val="006750D6"/>
    <w:rsid w:val="006846FA"/>
    <w:rsid w:val="00684EFB"/>
    <w:rsid w:val="00695A86"/>
    <w:rsid w:val="00695AEE"/>
    <w:rsid w:val="006D18A9"/>
    <w:rsid w:val="006D5D5D"/>
    <w:rsid w:val="006E3734"/>
    <w:rsid w:val="006F78E8"/>
    <w:rsid w:val="007066D8"/>
    <w:rsid w:val="00734F66"/>
    <w:rsid w:val="00745839"/>
    <w:rsid w:val="00750B10"/>
    <w:rsid w:val="00755032"/>
    <w:rsid w:val="0075514E"/>
    <w:rsid w:val="0077571D"/>
    <w:rsid w:val="007816AB"/>
    <w:rsid w:val="007913A7"/>
    <w:rsid w:val="007A4246"/>
    <w:rsid w:val="007A4728"/>
    <w:rsid w:val="007B6DE4"/>
    <w:rsid w:val="007C703D"/>
    <w:rsid w:val="007D5FA6"/>
    <w:rsid w:val="007E351B"/>
    <w:rsid w:val="007F0B24"/>
    <w:rsid w:val="007F100F"/>
    <w:rsid w:val="007F3C4E"/>
    <w:rsid w:val="007F6A93"/>
    <w:rsid w:val="00807D0A"/>
    <w:rsid w:val="00812308"/>
    <w:rsid w:val="00841850"/>
    <w:rsid w:val="00847600"/>
    <w:rsid w:val="00852CAF"/>
    <w:rsid w:val="00855351"/>
    <w:rsid w:val="008625C5"/>
    <w:rsid w:val="00865191"/>
    <w:rsid w:val="0088141F"/>
    <w:rsid w:val="008A2C9D"/>
    <w:rsid w:val="008A530F"/>
    <w:rsid w:val="008A7DE7"/>
    <w:rsid w:val="008B6142"/>
    <w:rsid w:val="008C3A22"/>
    <w:rsid w:val="008C405F"/>
    <w:rsid w:val="008E16C0"/>
    <w:rsid w:val="008F2614"/>
    <w:rsid w:val="008F421F"/>
    <w:rsid w:val="009012A7"/>
    <w:rsid w:val="00902384"/>
    <w:rsid w:val="00912935"/>
    <w:rsid w:val="00915330"/>
    <w:rsid w:val="00916A11"/>
    <w:rsid w:val="00921597"/>
    <w:rsid w:val="009221F5"/>
    <w:rsid w:val="00922281"/>
    <w:rsid w:val="00930CC9"/>
    <w:rsid w:val="00930CDF"/>
    <w:rsid w:val="00934A13"/>
    <w:rsid w:val="00946390"/>
    <w:rsid w:val="0095458B"/>
    <w:rsid w:val="00966530"/>
    <w:rsid w:val="0097057B"/>
    <w:rsid w:val="00980268"/>
    <w:rsid w:val="0099225F"/>
    <w:rsid w:val="00992827"/>
    <w:rsid w:val="0099733A"/>
    <w:rsid w:val="009A61B1"/>
    <w:rsid w:val="009B005E"/>
    <w:rsid w:val="009B421C"/>
    <w:rsid w:val="009D2174"/>
    <w:rsid w:val="009F215E"/>
    <w:rsid w:val="00A01881"/>
    <w:rsid w:val="00A23238"/>
    <w:rsid w:val="00A238E5"/>
    <w:rsid w:val="00A24E64"/>
    <w:rsid w:val="00A3520D"/>
    <w:rsid w:val="00A37A20"/>
    <w:rsid w:val="00A405D7"/>
    <w:rsid w:val="00A553C7"/>
    <w:rsid w:val="00A60220"/>
    <w:rsid w:val="00A61A9B"/>
    <w:rsid w:val="00A67944"/>
    <w:rsid w:val="00A74E3E"/>
    <w:rsid w:val="00A83E74"/>
    <w:rsid w:val="00A871F5"/>
    <w:rsid w:val="00A92FBC"/>
    <w:rsid w:val="00AA1F4E"/>
    <w:rsid w:val="00AA49F2"/>
    <w:rsid w:val="00AB23FA"/>
    <w:rsid w:val="00AB7D22"/>
    <w:rsid w:val="00AD68C8"/>
    <w:rsid w:val="00AF32CB"/>
    <w:rsid w:val="00AF52B6"/>
    <w:rsid w:val="00B050E3"/>
    <w:rsid w:val="00B21BDC"/>
    <w:rsid w:val="00B26BC1"/>
    <w:rsid w:val="00B408A4"/>
    <w:rsid w:val="00B41328"/>
    <w:rsid w:val="00B4730D"/>
    <w:rsid w:val="00B65955"/>
    <w:rsid w:val="00B65D80"/>
    <w:rsid w:val="00B80406"/>
    <w:rsid w:val="00B92248"/>
    <w:rsid w:val="00B949A6"/>
    <w:rsid w:val="00B95B73"/>
    <w:rsid w:val="00BA266D"/>
    <w:rsid w:val="00BB501E"/>
    <w:rsid w:val="00BC1D1D"/>
    <w:rsid w:val="00BD7A7F"/>
    <w:rsid w:val="00BE0B29"/>
    <w:rsid w:val="00C01239"/>
    <w:rsid w:val="00C03668"/>
    <w:rsid w:val="00C113C2"/>
    <w:rsid w:val="00C23930"/>
    <w:rsid w:val="00CA4FC5"/>
    <w:rsid w:val="00CA6844"/>
    <w:rsid w:val="00CC6962"/>
    <w:rsid w:val="00CE0136"/>
    <w:rsid w:val="00CE70BE"/>
    <w:rsid w:val="00CF2A52"/>
    <w:rsid w:val="00D03EB0"/>
    <w:rsid w:val="00D25BDD"/>
    <w:rsid w:val="00D33D65"/>
    <w:rsid w:val="00D4133B"/>
    <w:rsid w:val="00D42E17"/>
    <w:rsid w:val="00D449BC"/>
    <w:rsid w:val="00D4551B"/>
    <w:rsid w:val="00D522EC"/>
    <w:rsid w:val="00D72437"/>
    <w:rsid w:val="00D73A30"/>
    <w:rsid w:val="00D77DE5"/>
    <w:rsid w:val="00D85E93"/>
    <w:rsid w:val="00D8627D"/>
    <w:rsid w:val="00D94967"/>
    <w:rsid w:val="00D9518B"/>
    <w:rsid w:val="00D97D0B"/>
    <w:rsid w:val="00D97EC9"/>
    <w:rsid w:val="00DA5555"/>
    <w:rsid w:val="00DA59E2"/>
    <w:rsid w:val="00DB1E0F"/>
    <w:rsid w:val="00DC0904"/>
    <w:rsid w:val="00DC3AAC"/>
    <w:rsid w:val="00DE3A23"/>
    <w:rsid w:val="00E06016"/>
    <w:rsid w:val="00E06AD9"/>
    <w:rsid w:val="00E11621"/>
    <w:rsid w:val="00E13776"/>
    <w:rsid w:val="00E25B97"/>
    <w:rsid w:val="00E31DE3"/>
    <w:rsid w:val="00E40277"/>
    <w:rsid w:val="00E40691"/>
    <w:rsid w:val="00E40997"/>
    <w:rsid w:val="00E455D4"/>
    <w:rsid w:val="00E47861"/>
    <w:rsid w:val="00E50DF6"/>
    <w:rsid w:val="00E529B0"/>
    <w:rsid w:val="00E675A6"/>
    <w:rsid w:val="00E67B6B"/>
    <w:rsid w:val="00E73934"/>
    <w:rsid w:val="00E77973"/>
    <w:rsid w:val="00E872A7"/>
    <w:rsid w:val="00E95542"/>
    <w:rsid w:val="00E97F27"/>
    <w:rsid w:val="00F14143"/>
    <w:rsid w:val="00F257B0"/>
    <w:rsid w:val="00F30FEF"/>
    <w:rsid w:val="00F435AD"/>
    <w:rsid w:val="00F4678E"/>
    <w:rsid w:val="00F55D2E"/>
    <w:rsid w:val="00F574AB"/>
    <w:rsid w:val="00F6435F"/>
    <w:rsid w:val="00F6573A"/>
    <w:rsid w:val="00F7398B"/>
    <w:rsid w:val="00F804EA"/>
    <w:rsid w:val="00F80909"/>
    <w:rsid w:val="00FB0F8C"/>
    <w:rsid w:val="00FB3254"/>
    <w:rsid w:val="00FC29C9"/>
    <w:rsid w:val="00FD30CA"/>
    <w:rsid w:val="00FD491A"/>
    <w:rsid w:val="00FD5D76"/>
    <w:rsid w:val="00FE47CA"/>
    <w:rsid w:val="00FF11A4"/>
  </w:rsids>
  <m:mathPr>
    <m:mathFont m:val="Cambria Math"/>
    <m:brkBin m:val="before"/>
    <m:brkBinSub m:val="--"/>
    <m:smallFrac/>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NZ" w:eastAsia="en-N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A71EE"/>
    <w:pPr>
      <w:widowControl w:val="0"/>
      <w:suppressAutoHyphens/>
      <w:overflowPunct w:val="0"/>
      <w:autoSpaceDE w:val="0"/>
      <w:autoSpaceDN w:val="0"/>
      <w:adjustRightInd w:val="0"/>
      <w:spacing w:before="120" w:line="240" w:lineRule="atLeast"/>
      <w:jc w:val="both"/>
      <w:textAlignment w:val="baseline"/>
    </w:pPr>
    <w:rPr>
      <w:sz w:val="22"/>
      <w:lang w:eastAsia="en-US"/>
    </w:rPr>
  </w:style>
  <w:style w:type="paragraph" w:styleId="Heading1">
    <w:name w:val="heading 1"/>
    <w:basedOn w:val="Normal"/>
    <w:next w:val="Normal"/>
    <w:qFormat/>
    <w:rsid w:val="003A71EE"/>
    <w:pPr>
      <w:keepNext/>
      <w:keepLines/>
      <w:numPr>
        <w:numId w:val="1"/>
      </w:numPr>
      <w:spacing w:before="360" w:after="120"/>
      <w:jc w:val="left"/>
      <w:outlineLvl w:val="0"/>
    </w:pPr>
    <w:rPr>
      <w:b/>
      <w:caps/>
    </w:rPr>
  </w:style>
  <w:style w:type="paragraph" w:styleId="Heading2">
    <w:name w:val="heading 2"/>
    <w:basedOn w:val="Normal"/>
    <w:next w:val="Normal"/>
    <w:qFormat/>
    <w:rsid w:val="003A71EE"/>
    <w:pPr>
      <w:keepNext/>
      <w:keepLines/>
      <w:numPr>
        <w:ilvl w:val="1"/>
        <w:numId w:val="1"/>
      </w:numPr>
      <w:spacing w:before="240" w:after="120"/>
      <w:jc w:val="left"/>
      <w:outlineLvl w:val="1"/>
    </w:pPr>
    <w:rPr>
      <w:i/>
    </w:rPr>
  </w:style>
  <w:style w:type="paragraph" w:styleId="Heading3">
    <w:name w:val="heading 3"/>
    <w:basedOn w:val="Normal"/>
    <w:next w:val="Normal"/>
    <w:qFormat/>
    <w:rsid w:val="003A71EE"/>
    <w:pPr>
      <w:keepNext/>
      <w:keepLines/>
      <w:numPr>
        <w:ilvl w:val="2"/>
        <w:numId w:val="1"/>
      </w:numPr>
      <w:spacing w:before="240"/>
      <w:jc w:val="left"/>
      <w:outlineLvl w:val="2"/>
    </w:pPr>
    <w:rPr>
      <w:i/>
    </w:rPr>
  </w:style>
  <w:style w:type="paragraph" w:styleId="Heading4">
    <w:name w:val="heading 4"/>
    <w:basedOn w:val="Normal"/>
    <w:next w:val="Normal"/>
    <w:qFormat/>
    <w:rsid w:val="003A71EE"/>
    <w:pPr>
      <w:keepNext/>
      <w:numPr>
        <w:ilvl w:val="3"/>
        <w:numId w:val="1"/>
      </w:numPr>
      <w:spacing w:before="240"/>
      <w:outlineLvl w:val="3"/>
    </w:pPr>
  </w:style>
  <w:style w:type="paragraph" w:styleId="Heading5">
    <w:name w:val="heading 5"/>
    <w:basedOn w:val="Normal"/>
    <w:next w:val="Normal"/>
    <w:qFormat/>
    <w:rsid w:val="003A71EE"/>
    <w:pPr>
      <w:numPr>
        <w:ilvl w:val="4"/>
        <w:numId w:val="1"/>
      </w:numPr>
      <w:spacing w:before="240" w:after="60"/>
      <w:outlineLvl w:val="4"/>
    </w:pPr>
    <w:rPr>
      <w:rFonts w:ascii="Arial" w:hAnsi="Arial"/>
    </w:rPr>
  </w:style>
  <w:style w:type="paragraph" w:styleId="Heading6">
    <w:name w:val="heading 6"/>
    <w:basedOn w:val="Normal"/>
    <w:next w:val="Normal"/>
    <w:qFormat/>
    <w:rsid w:val="003A71EE"/>
    <w:pPr>
      <w:numPr>
        <w:ilvl w:val="5"/>
        <w:numId w:val="1"/>
      </w:numPr>
      <w:spacing w:before="240" w:after="60"/>
      <w:outlineLvl w:val="5"/>
    </w:pPr>
    <w:rPr>
      <w:rFonts w:ascii="Arial" w:hAnsi="Arial"/>
      <w:i/>
    </w:rPr>
  </w:style>
  <w:style w:type="paragraph" w:styleId="Heading7">
    <w:name w:val="heading 7"/>
    <w:basedOn w:val="Normal"/>
    <w:next w:val="Normal"/>
    <w:qFormat/>
    <w:rsid w:val="003A71EE"/>
    <w:pPr>
      <w:numPr>
        <w:ilvl w:val="6"/>
        <w:numId w:val="1"/>
      </w:numPr>
      <w:spacing w:before="240" w:after="60"/>
      <w:outlineLvl w:val="6"/>
    </w:pPr>
    <w:rPr>
      <w:rFonts w:ascii="Arial" w:hAnsi="Arial"/>
      <w:sz w:val="20"/>
    </w:rPr>
  </w:style>
  <w:style w:type="paragraph" w:styleId="Heading8">
    <w:name w:val="heading 8"/>
    <w:basedOn w:val="Normal"/>
    <w:next w:val="Normal"/>
    <w:qFormat/>
    <w:rsid w:val="003A71EE"/>
    <w:pPr>
      <w:numPr>
        <w:ilvl w:val="7"/>
        <w:numId w:val="1"/>
      </w:numPr>
      <w:spacing w:before="240" w:after="60"/>
      <w:outlineLvl w:val="7"/>
    </w:pPr>
    <w:rPr>
      <w:rFonts w:ascii="Arial" w:hAnsi="Arial"/>
      <w:i/>
      <w:sz w:val="20"/>
    </w:rPr>
  </w:style>
  <w:style w:type="paragraph" w:styleId="Heading9">
    <w:name w:val="heading 9"/>
    <w:basedOn w:val="Normal"/>
    <w:next w:val="Normal"/>
    <w:qFormat/>
    <w:rsid w:val="003A71EE"/>
    <w:pPr>
      <w:numPr>
        <w:ilvl w:val="8"/>
        <w:numId w:val="1"/>
      </w:numPr>
      <w:spacing w:before="240" w:after="60"/>
      <w:outlineLvl w:val="8"/>
    </w:pPr>
    <w:rPr>
      <w:rFonts w:ascii="Arial" w:hAnsi="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pertitle">
    <w:name w:val="Paper title"/>
    <w:basedOn w:val="Normal"/>
    <w:next w:val="Normal"/>
    <w:rsid w:val="00FF11A4"/>
    <w:pPr>
      <w:spacing w:before="40" w:after="240" w:line="240" w:lineRule="auto"/>
      <w:jc w:val="left"/>
    </w:pPr>
    <w:rPr>
      <w:sz w:val="32"/>
    </w:rPr>
  </w:style>
  <w:style w:type="paragraph" w:customStyle="1" w:styleId="Tableheading">
    <w:name w:val="Table heading"/>
    <w:basedOn w:val="Tabletext"/>
    <w:rsid w:val="003A71EE"/>
    <w:pPr>
      <w:spacing w:before="40" w:after="40"/>
      <w:jc w:val="center"/>
    </w:pPr>
    <w:rPr>
      <w:b/>
      <w:bCs/>
    </w:rPr>
  </w:style>
  <w:style w:type="paragraph" w:customStyle="1" w:styleId="Tabletext">
    <w:name w:val="Table text"/>
    <w:basedOn w:val="Normal"/>
    <w:rsid w:val="003A71EE"/>
    <w:pPr>
      <w:jc w:val="left"/>
    </w:pPr>
  </w:style>
  <w:style w:type="paragraph" w:customStyle="1" w:styleId="Headingwithoutnumber">
    <w:name w:val="Heading without number"/>
    <w:basedOn w:val="Normal"/>
    <w:next w:val="Referencetext"/>
    <w:rsid w:val="003A71EE"/>
    <w:pPr>
      <w:keepNext/>
      <w:spacing w:before="360" w:after="120"/>
      <w:jc w:val="left"/>
    </w:pPr>
    <w:rPr>
      <w:caps/>
    </w:rPr>
  </w:style>
  <w:style w:type="paragraph" w:customStyle="1" w:styleId="Referencetext">
    <w:name w:val="Reference text"/>
    <w:basedOn w:val="Normal"/>
    <w:rsid w:val="003A71EE"/>
    <w:pPr>
      <w:spacing w:line="220" w:lineRule="exact"/>
      <w:ind w:left="230" w:hanging="230"/>
    </w:pPr>
    <w:rPr>
      <w:sz w:val="20"/>
    </w:rPr>
  </w:style>
  <w:style w:type="paragraph" w:customStyle="1" w:styleId="Author">
    <w:name w:val="Author"/>
    <w:basedOn w:val="Normal"/>
    <w:next w:val="Affiliation"/>
    <w:rsid w:val="003A71EE"/>
    <w:pPr>
      <w:tabs>
        <w:tab w:val="left" w:pos="4706"/>
      </w:tabs>
      <w:spacing w:line="280" w:lineRule="exact"/>
      <w:ind w:left="567" w:right="567"/>
    </w:pPr>
    <w:rPr>
      <w:sz w:val="24"/>
    </w:rPr>
  </w:style>
  <w:style w:type="paragraph" w:customStyle="1" w:styleId="Affiliation">
    <w:name w:val="Affiliation"/>
    <w:basedOn w:val="Author"/>
    <w:next w:val="Author"/>
    <w:rsid w:val="003A71EE"/>
    <w:pPr>
      <w:spacing w:after="120" w:line="220" w:lineRule="exact"/>
    </w:pPr>
    <w:rPr>
      <w:i/>
      <w:sz w:val="20"/>
    </w:rPr>
  </w:style>
  <w:style w:type="paragraph" w:customStyle="1" w:styleId="Figurecaption">
    <w:name w:val="Figure caption"/>
    <w:basedOn w:val="Normal"/>
    <w:next w:val="Normal"/>
    <w:rsid w:val="003A71EE"/>
    <w:pPr>
      <w:spacing w:after="120" w:line="220" w:lineRule="exact"/>
      <w:jc w:val="left"/>
    </w:pPr>
    <w:rPr>
      <w:sz w:val="20"/>
    </w:rPr>
  </w:style>
  <w:style w:type="paragraph" w:customStyle="1" w:styleId="Equation">
    <w:name w:val="Equation"/>
    <w:basedOn w:val="Normal"/>
    <w:next w:val="Normal"/>
    <w:rsid w:val="003A71EE"/>
    <w:pPr>
      <w:tabs>
        <w:tab w:val="right" w:pos="8505"/>
      </w:tabs>
      <w:spacing w:before="100" w:after="100" w:line="240" w:lineRule="auto"/>
      <w:ind w:left="680"/>
      <w:jc w:val="left"/>
    </w:pPr>
  </w:style>
  <w:style w:type="paragraph" w:customStyle="1" w:styleId="Tablecaption">
    <w:name w:val="Table caption"/>
    <w:basedOn w:val="Normal"/>
    <w:next w:val="Normal"/>
    <w:rsid w:val="003A71EE"/>
    <w:pPr>
      <w:keepNext/>
      <w:spacing w:before="240" w:after="120" w:line="220" w:lineRule="exact"/>
      <w:jc w:val="center"/>
    </w:pPr>
    <w:rPr>
      <w:b/>
      <w:bCs/>
      <w:sz w:val="20"/>
    </w:rPr>
  </w:style>
  <w:style w:type="paragraph" w:customStyle="1" w:styleId="Figurephoto">
    <w:name w:val="Figure/photo"/>
    <w:basedOn w:val="Normal"/>
    <w:next w:val="Figurecaption"/>
    <w:rsid w:val="003A71EE"/>
    <w:pPr>
      <w:widowControl/>
      <w:spacing w:before="0" w:line="240" w:lineRule="auto"/>
      <w:jc w:val="center"/>
    </w:pPr>
  </w:style>
  <w:style w:type="paragraph" w:styleId="Footer">
    <w:name w:val="footer"/>
    <w:basedOn w:val="Normal"/>
    <w:rsid w:val="003A71EE"/>
    <w:pPr>
      <w:tabs>
        <w:tab w:val="center" w:pos="4153"/>
        <w:tab w:val="right" w:pos="8306"/>
      </w:tabs>
    </w:pPr>
  </w:style>
  <w:style w:type="paragraph" w:styleId="Header">
    <w:name w:val="header"/>
    <w:basedOn w:val="Normal"/>
    <w:rsid w:val="003A71EE"/>
    <w:pPr>
      <w:tabs>
        <w:tab w:val="center" w:pos="4320"/>
        <w:tab w:val="right" w:pos="8640"/>
      </w:tabs>
    </w:pPr>
  </w:style>
  <w:style w:type="paragraph" w:customStyle="1" w:styleId="Year">
    <w:name w:val="Year"/>
    <w:basedOn w:val="Normal"/>
    <w:rsid w:val="00755032"/>
    <w:pPr>
      <w:jc w:val="center"/>
    </w:pPr>
    <w:rPr>
      <w:rFonts w:ascii="Arial Narrow" w:hAnsi="Arial Narrow"/>
      <w:b/>
      <w:sz w:val="20"/>
    </w:rPr>
  </w:style>
  <w:style w:type="paragraph" w:customStyle="1" w:styleId="Abstract">
    <w:name w:val="Abstract"/>
    <w:basedOn w:val="Normal"/>
    <w:rsid w:val="003A71EE"/>
    <w:pPr>
      <w:spacing w:before="240"/>
      <w:ind w:left="567" w:right="566"/>
    </w:pPr>
  </w:style>
  <w:style w:type="character" w:styleId="Hyperlink">
    <w:name w:val="Hyperlink"/>
    <w:basedOn w:val="DefaultParagraphFont"/>
    <w:rsid w:val="00DA5555"/>
    <w:rPr>
      <w:color w:val="0000FF"/>
      <w:u w:val="single"/>
    </w:rPr>
  </w:style>
  <w:style w:type="paragraph" w:styleId="BalloonText">
    <w:name w:val="Balloon Text"/>
    <w:basedOn w:val="Normal"/>
    <w:link w:val="BalloonTextChar"/>
    <w:rsid w:val="00AB23FA"/>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rsid w:val="00AB23FA"/>
    <w:rPr>
      <w:rFonts w:ascii="Tahoma" w:hAnsi="Tahoma" w:cs="Tahoma"/>
      <w:sz w:val="16"/>
      <w:szCs w:val="16"/>
      <w:lang w:eastAsia="en-US"/>
    </w:rPr>
  </w:style>
  <w:style w:type="paragraph" w:customStyle="1" w:styleId="PaperText">
    <w:name w:val="Paper_Text"/>
    <w:basedOn w:val="Normal"/>
    <w:rsid w:val="000A2F18"/>
    <w:pPr>
      <w:widowControl/>
      <w:tabs>
        <w:tab w:val="left" w:pos="4706"/>
      </w:tabs>
      <w:suppressAutoHyphens w:val="0"/>
      <w:spacing w:line="240" w:lineRule="auto"/>
      <w:textAlignment w:val="auto"/>
    </w:pPr>
    <w:rPr>
      <w:lang w:val="en-US"/>
    </w:rPr>
  </w:style>
  <w:style w:type="paragraph" w:customStyle="1" w:styleId="Firstparagraphstyle">
    <w:name w:val="First paragraph style"/>
    <w:basedOn w:val="Normal"/>
    <w:next w:val="Normal"/>
    <w:qFormat/>
    <w:rsid w:val="00272753"/>
    <w:pPr>
      <w:widowControl/>
      <w:suppressAutoHyphens w:val="0"/>
      <w:overflowPunct/>
      <w:autoSpaceDE/>
      <w:autoSpaceDN/>
      <w:adjustRightInd/>
      <w:spacing w:before="0" w:line="480" w:lineRule="auto"/>
      <w:jc w:val="left"/>
      <w:textAlignment w:val="auto"/>
    </w:pPr>
    <w:rPr>
      <w:sz w:val="24"/>
      <w:szCs w:val="24"/>
      <w:lang w:val="en-GB" w:eastAsia="en-GB"/>
    </w:rPr>
  </w:style>
  <w:style w:type="paragraph" w:styleId="ListParagraph">
    <w:name w:val="List Paragraph"/>
    <w:basedOn w:val="Normal"/>
    <w:uiPriority w:val="34"/>
    <w:qFormat/>
    <w:rsid w:val="00916A11"/>
    <w:pPr>
      <w:widowControl/>
      <w:suppressAutoHyphens w:val="0"/>
      <w:overflowPunct/>
      <w:autoSpaceDE/>
      <w:autoSpaceDN/>
      <w:adjustRightInd/>
      <w:spacing w:before="0" w:after="200" w:line="276" w:lineRule="auto"/>
      <w:ind w:left="720"/>
      <w:contextualSpacing/>
      <w:jc w:val="left"/>
      <w:textAlignment w:val="auto"/>
    </w:pPr>
    <w:rPr>
      <w:rFonts w:asciiTheme="minorHAnsi" w:eastAsiaTheme="minorHAnsi" w:hAnsiTheme="minorHAnsi" w:cstheme="minorBidi"/>
      <w:szCs w:val="22"/>
    </w:rPr>
  </w:style>
  <w:style w:type="paragraph" w:customStyle="1" w:styleId="SPIEbodytext">
    <w:name w:val="SPIE body text"/>
    <w:basedOn w:val="Normal"/>
    <w:link w:val="SPIEbodytextCharChar"/>
    <w:rsid w:val="00AA49F2"/>
    <w:pPr>
      <w:widowControl/>
      <w:suppressAutoHyphens w:val="0"/>
      <w:overflowPunct/>
      <w:autoSpaceDE/>
      <w:autoSpaceDN/>
      <w:adjustRightInd/>
      <w:spacing w:before="0" w:after="120" w:line="240" w:lineRule="auto"/>
      <w:textAlignment w:val="auto"/>
    </w:pPr>
    <w:rPr>
      <w:sz w:val="20"/>
      <w:szCs w:val="24"/>
      <w:lang w:val="en-US"/>
    </w:rPr>
  </w:style>
  <w:style w:type="character" w:customStyle="1" w:styleId="SPIEbodytextCharChar">
    <w:name w:val="SPIE body text Char Char"/>
    <w:basedOn w:val="DefaultParagraphFont"/>
    <w:link w:val="SPIEbodytext"/>
    <w:rsid w:val="00AA49F2"/>
    <w:rPr>
      <w:szCs w:val="24"/>
      <w:lang w:val="en-US" w:eastAsia="en-US"/>
    </w:rPr>
  </w:style>
  <w:style w:type="table" w:styleId="TableGrid">
    <w:name w:val="Table Grid"/>
    <w:basedOn w:val="TableNormal"/>
    <w:uiPriority w:val="59"/>
    <w:rsid w:val="00D94967"/>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ulletedlists">
    <w:name w:val="Bulleted lists"/>
    <w:basedOn w:val="Normal"/>
    <w:next w:val="Normal"/>
    <w:qFormat/>
    <w:rsid w:val="00036D79"/>
    <w:pPr>
      <w:widowControl/>
      <w:numPr>
        <w:numId w:val="16"/>
      </w:numPr>
      <w:suppressAutoHyphens w:val="0"/>
      <w:overflowPunct/>
      <w:autoSpaceDE/>
      <w:autoSpaceDN/>
      <w:adjustRightInd/>
      <w:spacing w:before="0" w:line="480" w:lineRule="auto"/>
      <w:jc w:val="left"/>
      <w:textAlignment w:val="auto"/>
    </w:pPr>
    <w:rPr>
      <w:sz w:val="24"/>
      <w:szCs w:val="24"/>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NZ" w:eastAsia="en-N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widowControl w:val="0"/>
      <w:suppressAutoHyphens/>
      <w:overflowPunct w:val="0"/>
      <w:autoSpaceDE w:val="0"/>
      <w:autoSpaceDN w:val="0"/>
      <w:adjustRightInd w:val="0"/>
      <w:spacing w:before="120" w:line="240" w:lineRule="atLeast"/>
      <w:jc w:val="both"/>
      <w:textAlignment w:val="baseline"/>
    </w:pPr>
    <w:rPr>
      <w:sz w:val="22"/>
      <w:lang w:eastAsia="en-US"/>
    </w:rPr>
  </w:style>
  <w:style w:type="paragraph" w:styleId="Heading1">
    <w:name w:val="heading 1"/>
    <w:basedOn w:val="Normal"/>
    <w:next w:val="Normal"/>
    <w:qFormat/>
    <w:pPr>
      <w:keepNext/>
      <w:keepLines/>
      <w:numPr>
        <w:numId w:val="1"/>
      </w:numPr>
      <w:spacing w:before="360" w:after="120"/>
      <w:jc w:val="left"/>
      <w:outlineLvl w:val="0"/>
    </w:pPr>
    <w:rPr>
      <w:b/>
      <w:caps/>
    </w:rPr>
  </w:style>
  <w:style w:type="paragraph" w:styleId="Heading2">
    <w:name w:val="heading 2"/>
    <w:basedOn w:val="Normal"/>
    <w:next w:val="Normal"/>
    <w:qFormat/>
    <w:pPr>
      <w:keepNext/>
      <w:keepLines/>
      <w:numPr>
        <w:ilvl w:val="1"/>
        <w:numId w:val="1"/>
      </w:numPr>
      <w:spacing w:before="240" w:after="120"/>
      <w:jc w:val="left"/>
      <w:outlineLvl w:val="1"/>
    </w:pPr>
    <w:rPr>
      <w:i/>
    </w:rPr>
  </w:style>
  <w:style w:type="paragraph" w:styleId="Heading3">
    <w:name w:val="heading 3"/>
    <w:basedOn w:val="Normal"/>
    <w:next w:val="Normal"/>
    <w:qFormat/>
    <w:pPr>
      <w:keepNext/>
      <w:keepLines/>
      <w:numPr>
        <w:ilvl w:val="2"/>
        <w:numId w:val="1"/>
      </w:numPr>
      <w:spacing w:before="240"/>
      <w:jc w:val="left"/>
      <w:outlineLvl w:val="2"/>
    </w:pPr>
    <w:rPr>
      <w:i/>
    </w:rPr>
  </w:style>
  <w:style w:type="paragraph" w:styleId="Heading4">
    <w:name w:val="heading 4"/>
    <w:basedOn w:val="Normal"/>
    <w:next w:val="Normal"/>
    <w:qFormat/>
    <w:pPr>
      <w:keepNext/>
      <w:numPr>
        <w:ilvl w:val="3"/>
        <w:numId w:val="1"/>
      </w:numPr>
      <w:spacing w:before="240"/>
      <w:outlineLvl w:val="3"/>
    </w:pPr>
  </w:style>
  <w:style w:type="paragraph" w:styleId="Heading5">
    <w:name w:val="heading 5"/>
    <w:basedOn w:val="Normal"/>
    <w:next w:val="Normal"/>
    <w:qFormat/>
    <w:pPr>
      <w:numPr>
        <w:ilvl w:val="4"/>
        <w:numId w:val="1"/>
      </w:numPr>
      <w:spacing w:before="240" w:after="60"/>
      <w:outlineLvl w:val="4"/>
    </w:pPr>
    <w:rPr>
      <w:rFonts w:ascii="Arial" w:hAnsi="Arial"/>
    </w:rPr>
  </w:style>
  <w:style w:type="paragraph" w:styleId="Heading6">
    <w:name w:val="heading 6"/>
    <w:basedOn w:val="Normal"/>
    <w:next w:val="Normal"/>
    <w:qFormat/>
    <w:pPr>
      <w:numPr>
        <w:ilvl w:val="5"/>
        <w:numId w:val="1"/>
      </w:numPr>
      <w:spacing w:before="240" w:after="60"/>
      <w:outlineLvl w:val="5"/>
    </w:pPr>
    <w:rPr>
      <w:rFonts w:ascii="Arial" w:hAnsi="Arial"/>
      <w:i/>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pertitle">
    <w:name w:val="Paper title"/>
    <w:basedOn w:val="Normal"/>
    <w:next w:val="Normal"/>
    <w:rsid w:val="00FF11A4"/>
    <w:pPr>
      <w:spacing w:before="40" w:after="240" w:line="240" w:lineRule="auto"/>
      <w:jc w:val="left"/>
    </w:pPr>
    <w:rPr>
      <w:sz w:val="32"/>
    </w:rPr>
  </w:style>
  <w:style w:type="paragraph" w:customStyle="1" w:styleId="Tableheading">
    <w:name w:val="Table heading"/>
    <w:basedOn w:val="Tabletext"/>
    <w:pPr>
      <w:spacing w:before="40" w:after="40"/>
      <w:jc w:val="center"/>
    </w:pPr>
    <w:rPr>
      <w:b/>
      <w:bCs/>
    </w:rPr>
  </w:style>
  <w:style w:type="paragraph" w:customStyle="1" w:styleId="Tabletext">
    <w:name w:val="Table text"/>
    <w:basedOn w:val="Normal"/>
    <w:pPr>
      <w:jc w:val="left"/>
    </w:pPr>
  </w:style>
  <w:style w:type="paragraph" w:customStyle="1" w:styleId="Headingwithoutnumber">
    <w:name w:val="Heading without number"/>
    <w:basedOn w:val="Normal"/>
    <w:next w:val="Referencetext"/>
    <w:pPr>
      <w:keepNext/>
      <w:spacing w:before="360" w:after="120"/>
      <w:jc w:val="left"/>
    </w:pPr>
    <w:rPr>
      <w:caps/>
    </w:rPr>
  </w:style>
  <w:style w:type="paragraph" w:customStyle="1" w:styleId="Referencetext">
    <w:name w:val="Reference text"/>
    <w:basedOn w:val="Normal"/>
    <w:pPr>
      <w:spacing w:line="220" w:lineRule="exact"/>
      <w:ind w:left="230" w:hanging="230"/>
    </w:pPr>
    <w:rPr>
      <w:sz w:val="20"/>
    </w:rPr>
  </w:style>
  <w:style w:type="paragraph" w:customStyle="1" w:styleId="Author">
    <w:name w:val="Author"/>
    <w:basedOn w:val="Normal"/>
    <w:next w:val="Affiliation"/>
    <w:pPr>
      <w:tabs>
        <w:tab w:val="left" w:pos="4706"/>
      </w:tabs>
      <w:spacing w:line="280" w:lineRule="exact"/>
      <w:ind w:left="567" w:right="567"/>
    </w:pPr>
    <w:rPr>
      <w:sz w:val="24"/>
    </w:rPr>
  </w:style>
  <w:style w:type="paragraph" w:customStyle="1" w:styleId="Affiliation">
    <w:name w:val="Affiliation"/>
    <w:basedOn w:val="Author"/>
    <w:next w:val="Author"/>
    <w:pPr>
      <w:spacing w:after="120" w:line="220" w:lineRule="exact"/>
    </w:pPr>
    <w:rPr>
      <w:i/>
      <w:sz w:val="20"/>
    </w:rPr>
  </w:style>
  <w:style w:type="paragraph" w:customStyle="1" w:styleId="Figurecaption">
    <w:name w:val="Figure caption"/>
    <w:basedOn w:val="Normal"/>
    <w:next w:val="Normal"/>
    <w:pPr>
      <w:spacing w:after="120" w:line="220" w:lineRule="exact"/>
      <w:jc w:val="left"/>
    </w:pPr>
    <w:rPr>
      <w:sz w:val="20"/>
    </w:rPr>
  </w:style>
  <w:style w:type="paragraph" w:customStyle="1" w:styleId="Equation">
    <w:name w:val="Equation"/>
    <w:basedOn w:val="Normal"/>
    <w:next w:val="Normal"/>
    <w:pPr>
      <w:tabs>
        <w:tab w:val="right" w:pos="8505"/>
      </w:tabs>
      <w:spacing w:before="100" w:after="100" w:line="240" w:lineRule="auto"/>
      <w:ind w:left="680"/>
      <w:jc w:val="left"/>
    </w:pPr>
  </w:style>
  <w:style w:type="paragraph" w:customStyle="1" w:styleId="Tablecaption">
    <w:name w:val="Table caption"/>
    <w:basedOn w:val="Normal"/>
    <w:next w:val="Normal"/>
    <w:pPr>
      <w:keepNext/>
      <w:spacing w:before="240" w:after="120" w:line="220" w:lineRule="exact"/>
      <w:jc w:val="center"/>
    </w:pPr>
    <w:rPr>
      <w:b/>
      <w:bCs/>
      <w:sz w:val="20"/>
    </w:rPr>
  </w:style>
  <w:style w:type="paragraph" w:customStyle="1" w:styleId="Figurephoto">
    <w:name w:val="Figure/photo"/>
    <w:basedOn w:val="Normal"/>
    <w:next w:val="Figurecaption"/>
    <w:pPr>
      <w:widowControl/>
      <w:spacing w:before="0" w:line="240" w:lineRule="auto"/>
      <w:jc w:val="center"/>
    </w:pPr>
  </w:style>
  <w:style w:type="paragraph" w:styleId="Footer">
    <w:name w:val="footer"/>
    <w:basedOn w:val="Normal"/>
    <w:pPr>
      <w:tabs>
        <w:tab w:val="center" w:pos="4153"/>
        <w:tab w:val="right" w:pos="8306"/>
      </w:tabs>
    </w:pPr>
  </w:style>
  <w:style w:type="paragraph" w:styleId="Header">
    <w:name w:val="header"/>
    <w:basedOn w:val="Normal"/>
    <w:pPr>
      <w:tabs>
        <w:tab w:val="center" w:pos="4320"/>
        <w:tab w:val="right" w:pos="8640"/>
      </w:tabs>
    </w:pPr>
  </w:style>
  <w:style w:type="paragraph" w:customStyle="1" w:styleId="Year">
    <w:name w:val="Year"/>
    <w:basedOn w:val="Normal"/>
    <w:rsid w:val="00755032"/>
    <w:pPr>
      <w:jc w:val="center"/>
    </w:pPr>
    <w:rPr>
      <w:rFonts w:ascii="Arial Narrow" w:hAnsi="Arial Narrow"/>
      <w:b/>
      <w:sz w:val="20"/>
    </w:rPr>
  </w:style>
  <w:style w:type="paragraph" w:customStyle="1" w:styleId="Abstract">
    <w:name w:val="Abstract"/>
    <w:basedOn w:val="Normal"/>
    <w:pPr>
      <w:spacing w:before="240"/>
      <w:ind w:left="567" w:right="566"/>
    </w:pPr>
  </w:style>
  <w:style w:type="character" w:styleId="Hyperlink">
    <w:name w:val="Hyperlink"/>
    <w:basedOn w:val="DefaultParagraphFont"/>
    <w:rsid w:val="00DA5555"/>
    <w:rPr>
      <w:color w:val="0000FF"/>
      <w:u w:val="single"/>
    </w:rPr>
  </w:style>
  <w:style w:type="paragraph" w:styleId="BalloonText">
    <w:name w:val="Balloon Text"/>
    <w:basedOn w:val="Normal"/>
    <w:link w:val="BalloonTextChar"/>
    <w:rsid w:val="00AB23FA"/>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rsid w:val="00AB23FA"/>
    <w:rPr>
      <w:rFonts w:ascii="Tahoma" w:hAnsi="Tahoma" w:cs="Tahoma"/>
      <w:sz w:val="16"/>
      <w:szCs w:val="16"/>
      <w:lang w:eastAsia="en-US"/>
    </w:rPr>
  </w:style>
  <w:style w:type="paragraph" w:customStyle="1" w:styleId="PaperText">
    <w:name w:val="Paper_Text"/>
    <w:basedOn w:val="Normal"/>
    <w:rsid w:val="000A2F18"/>
    <w:pPr>
      <w:widowControl/>
      <w:tabs>
        <w:tab w:val="left" w:pos="4706"/>
      </w:tabs>
      <w:suppressAutoHyphens w:val="0"/>
      <w:spacing w:line="240" w:lineRule="auto"/>
      <w:textAlignment w:val="auto"/>
    </w:pPr>
    <w:rPr>
      <w:lang w:val="en-US"/>
    </w:rPr>
  </w:style>
  <w:style w:type="paragraph" w:customStyle="1" w:styleId="Firstparagraphstyle">
    <w:name w:val="First paragraph style"/>
    <w:basedOn w:val="Normal"/>
    <w:next w:val="Normal"/>
    <w:qFormat/>
    <w:rsid w:val="00272753"/>
    <w:pPr>
      <w:widowControl/>
      <w:suppressAutoHyphens w:val="0"/>
      <w:overflowPunct/>
      <w:autoSpaceDE/>
      <w:autoSpaceDN/>
      <w:adjustRightInd/>
      <w:spacing w:before="0" w:line="480" w:lineRule="auto"/>
      <w:jc w:val="left"/>
      <w:textAlignment w:val="auto"/>
    </w:pPr>
    <w:rPr>
      <w:sz w:val="24"/>
      <w:szCs w:val="24"/>
      <w:lang w:val="en-GB" w:eastAsia="en-GB"/>
    </w:rPr>
  </w:style>
  <w:style w:type="paragraph" w:styleId="ListParagraph">
    <w:name w:val="List Paragraph"/>
    <w:basedOn w:val="Normal"/>
    <w:uiPriority w:val="34"/>
    <w:qFormat/>
    <w:rsid w:val="00916A11"/>
    <w:pPr>
      <w:widowControl/>
      <w:suppressAutoHyphens w:val="0"/>
      <w:overflowPunct/>
      <w:autoSpaceDE/>
      <w:autoSpaceDN/>
      <w:adjustRightInd/>
      <w:spacing w:before="0" w:after="200" w:line="276" w:lineRule="auto"/>
      <w:ind w:left="720"/>
      <w:contextualSpacing/>
      <w:jc w:val="left"/>
      <w:textAlignment w:val="auto"/>
    </w:pPr>
    <w:rPr>
      <w:rFonts w:asciiTheme="minorHAnsi" w:eastAsiaTheme="minorHAnsi" w:hAnsiTheme="minorHAnsi" w:cstheme="minorBidi"/>
      <w:szCs w:val="22"/>
    </w:rPr>
  </w:style>
  <w:style w:type="paragraph" w:customStyle="1" w:styleId="SPIEbodytext">
    <w:name w:val="SPIE body text"/>
    <w:basedOn w:val="Normal"/>
    <w:link w:val="SPIEbodytextCharChar"/>
    <w:rsid w:val="00AA49F2"/>
    <w:pPr>
      <w:widowControl/>
      <w:suppressAutoHyphens w:val="0"/>
      <w:overflowPunct/>
      <w:autoSpaceDE/>
      <w:autoSpaceDN/>
      <w:adjustRightInd/>
      <w:spacing w:before="0" w:after="120" w:line="240" w:lineRule="auto"/>
      <w:textAlignment w:val="auto"/>
    </w:pPr>
    <w:rPr>
      <w:sz w:val="20"/>
      <w:szCs w:val="24"/>
      <w:lang w:val="en-US"/>
    </w:rPr>
  </w:style>
  <w:style w:type="character" w:customStyle="1" w:styleId="SPIEbodytextCharChar">
    <w:name w:val="SPIE body text Char Char"/>
    <w:basedOn w:val="DefaultParagraphFont"/>
    <w:link w:val="SPIEbodytext"/>
    <w:rsid w:val="00AA49F2"/>
    <w:rPr>
      <w:szCs w:val="24"/>
      <w:lang w:val="en-US" w:eastAsia="en-US"/>
    </w:rPr>
  </w:style>
  <w:style w:type="table" w:styleId="TableGrid">
    <w:name w:val="Table Grid"/>
    <w:basedOn w:val="TableNormal"/>
    <w:uiPriority w:val="59"/>
    <w:rsid w:val="00D94967"/>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ulletedlists">
    <w:name w:val="Bulleted lists"/>
    <w:basedOn w:val="Normal"/>
    <w:next w:val="Normal"/>
    <w:qFormat/>
    <w:rsid w:val="00036D79"/>
    <w:pPr>
      <w:widowControl/>
      <w:numPr>
        <w:numId w:val="16"/>
      </w:numPr>
      <w:suppressAutoHyphens w:val="0"/>
      <w:overflowPunct/>
      <w:autoSpaceDE/>
      <w:autoSpaceDN/>
      <w:adjustRightInd/>
      <w:spacing w:before="0" w:line="480" w:lineRule="auto"/>
      <w:jc w:val="left"/>
      <w:textAlignment w:val="auto"/>
    </w:pPr>
    <w:rPr>
      <w:sz w:val="24"/>
      <w:szCs w:val="24"/>
      <w:lang w:val="en-GB" w:eastAsia="en-GB"/>
    </w:rPr>
  </w:style>
</w:styles>
</file>

<file path=word/webSettings.xml><?xml version="1.0" encoding="utf-8"?>
<w:webSettings xmlns:r="http://schemas.openxmlformats.org/officeDocument/2006/relationships" xmlns:w="http://schemas.openxmlformats.org/wordprocessingml/2006/main">
  <w:divs>
    <w:div w:id="1115564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1.bin"/><Relationship Id="rId18" Type="http://schemas.openxmlformats.org/officeDocument/2006/relationships/image" Target="media/image8.wmf"/><Relationship Id="rId26" Type="http://schemas.openxmlformats.org/officeDocument/2006/relationships/image" Target="media/image15.tiff"/><Relationship Id="rId3" Type="http://schemas.openxmlformats.org/officeDocument/2006/relationships/styles" Target="styles.xml"/><Relationship Id="rId21" Type="http://schemas.openxmlformats.org/officeDocument/2006/relationships/image" Target="media/image10.tiff"/><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oleObject" Target="embeddings/oleObject3.bin"/><Relationship Id="rId25" Type="http://schemas.openxmlformats.org/officeDocument/2006/relationships/image" Target="media/image14.tiff"/><Relationship Id="rId3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9.tiff"/><Relationship Id="rId29" Type="http://schemas.openxmlformats.org/officeDocument/2006/relationships/footer" Target="footer2.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image" Target="media/image4.tiff"/><Relationship Id="rId24" Type="http://schemas.openxmlformats.org/officeDocument/2006/relationships/image" Target="media/image13.tif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image" Target="media/image12.tiff"/><Relationship Id="rId28" Type="http://schemas.openxmlformats.org/officeDocument/2006/relationships/footer" Target="footer1.xml"/><Relationship Id="rId10" Type="http://schemas.openxmlformats.org/officeDocument/2006/relationships/image" Target="media/image3.tiff"/><Relationship Id="rId19" Type="http://schemas.openxmlformats.org/officeDocument/2006/relationships/oleObject" Target="embeddings/oleObject4.bin"/><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6.wmf"/><Relationship Id="rId22" Type="http://schemas.openxmlformats.org/officeDocument/2006/relationships/image" Target="media/image11.tiff"/><Relationship Id="rId27" Type="http://schemas.openxmlformats.org/officeDocument/2006/relationships/image" Target="media/image16.tiff"/><Relationship Id="rId30"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ABK\NZNSEE\Pubs\NZSEE_Conf00_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NZSEE_Conf00_Template</Template>
  <TotalTime>0</TotalTime>
  <Pages>8</Pages>
  <Words>3882</Words>
  <Characters>32023</Characters>
  <Application>Microsoft Office Word</Application>
  <DocSecurity>0</DocSecurity>
  <Lines>266</Lines>
  <Paragraphs>71</Paragraphs>
  <ScaleCrop>false</ScaleCrop>
  <HeadingPairs>
    <vt:vector size="2" baseType="variant">
      <vt:variant>
        <vt:lpstr>Title</vt:lpstr>
      </vt:variant>
      <vt:variant>
        <vt:i4>1</vt:i4>
      </vt:variant>
    </vt:vector>
  </HeadingPairs>
  <TitlesOfParts>
    <vt:vector size="1" baseType="lpstr">
      <vt:lpstr>2012 NZSEE Paper Template</vt:lpstr>
    </vt:vector>
  </TitlesOfParts>
  <Company>The University of Auckland</Company>
  <LinksUpToDate>false</LinksUpToDate>
  <CharactersWithSpaces>35834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2012 NZSEE Paper Template</dc:title>
  <dc:creator>Dr Bruce L Deam</dc:creator>
  <cp:lastModifiedBy>Piotr</cp:lastModifiedBy>
  <cp:revision>2</cp:revision>
  <cp:lastPrinted>2012-03-20T00:31:00Z</cp:lastPrinted>
  <dcterms:created xsi:type="dcterms:W3CDTF">2012-03-20T00:47:00Z</dcterms:created>
  <dcterms:modified xsi:type="dcterms:W3CDTF">2012-03-20T00:47:00Z</dcterms:modified>
</cp:coreProperties>
</file>