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0" w:type="auto"/>
        <w:tblLayout w:type="fixed"/>
        <w:tblLook w:val="0000" w:firstRow="0" w:lastRow="0" w:firstColumn="0" w:lastColumn="0" w:noHBand="0" w:noVBand="0"/>
      </w:tblPr>
      <w:tblGrid>
        <w:gridCol w:w="7338"/>
        <w:gridCol w:w="1417"/>
      </w:tblGrid>
      <w:tr w:rsidR="00D97EC9" w:rsidTr="00750176">
        <w:trPr>
          <w:cantSplit/>
        </w:trPr>
        <w:tc>
          <w:tcPr>
            <w:tcW w:w="7338" w:type="dxa"/>
          </w:tcPr>
          <w:p w:rsidR="00D97EC9" w:rsidRPr="00FF11A4" w:rsidRDefault="00C16137" w:rsidP="003565DC">
            <w:pPr>
              <w:pStyle w:val="Papertitle"/>
            </w:pPr>
            <w:bookmarkStart w:id="0" w:name="_GoBack"/>
            <w:bookmarkEnd w:id="0"/>
            <w:r>
              <w:t xml:space="preserve">Dynamic </w:t>
            </w:r>
            <w:r w:rsidR="003565DC">
              <w:t xml:space="preserve">performance </w:t>
            </w:r>
            <w:r w:rsidR="0001542E">
              <w:t xml:space="preserve">assessment </w:t>
            </w:r>
            <w:r w:rsidR="003565DC">
              <w:t>o</w:t>
            </w:r>
            <w:r w:rsidR="00750176">
              <w:t>f a multi-storey timber building</w:t>
            </w:r>
            <w:r w:rsidR="00650E20">
              <w:t xml:space="preserve"> </w:t>
            </w:r>
            <w:r w:rsidR="00BB2C36">
              <w:t xml:space="preserve">via </w:t>
            </w:r>
            <w:r w:rsidR="00BB2C36">
              <w:rPr>
                <w:lang w:eastAsia="nl-NL"/>
              </w:rPr>
              <w:t xml:space="preserve">long-term </w:t>
            </w:r>
            <w:r w:rsidR="003F3599">
              <w:rPr>
                <w:lang w:eastAsia="nl-NL"/>
              </w:rPr>
              <w:t xml:space="preserve">seismic </w:t>
            </w:r>
            <w:r w:rsidR="00BB2C36">
              <w:rPr>
                <w:lang w:eastAsia="nl-NL"/>
              </w:rPr>
              <w:t>monitoring and model updating</w:t>
            </w:r>
          </w:p>
        </w:tc>
        <w:tc>
          <w:tcPr>
            <w:tcW w:w="1417" w:type="dxa"/>
            <w:vMerge w:val="restart"/>
          </w:tcPr>
          <w:p w:rsidR="00D97EC9" w:rsidRDefault="003F669B" w:rsidP="00755032">
            <w:pPr>
              <w:pStyle w:val="Year"/>
            </w:pPr>
            <w:r>
              <w:rPr>
                <w:noProof/>
                <w:lang w:val="en-GB" w:eastAsia="en-GB"/>
              </w:rPr>
              <w:drawing>
                <wp:inline distT="0" distB="0" distL="0" distR="0">
                  <wp:extent cx="495300" cy="1285875"/>
                  <wp:effectExtent l="19050" t="0" r="0" b="0"/>
                  <wp:docPr id="1" name="Picture 1" descr="lh_raumok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h_raumoko"/>
                          <pic:cNvPicPr>
                            <a:picLocks noChangeAspect="1" noChangeArrowheads="1"/>
                          </pic:cNvPicPr>
                        </pic:nvPicPr>
                        <pic:blipFill>
                          <a:blip r:embed="rId9" cstate="print"/>
                          <a:srcRect r="32320"/>
                          <a:stretch>
                            <a:fillRect/>
                          </a:stretch>
                        </pic:blipFill>
                        <pic:spPr bwMode="auto">
                          <a:xfrm>
                            <a:off x="0" y="0"/>
                            <a:ext cx="495300" cy="1285875"/>
                          </a:xfrm>
                          <a:prstGeom prst="rect">
                            <a:avLst/>
                          </a:prstGeom>
                          <a:noFill/>
                          <a:ln w="9525">
                            <a:noFill/>
                            <a:miter lim="800000"/>
                            <a:headEnd/>
                            <a:tailEnd/>
                          </a:ln>
                        </pic:spPr>
                      </pic:pic>
                    </a:graphicData>
                  </a:graphic>
                </wp:inline>
              </w:drawing>
            </w:r>
          </w:p>
          <w:p w:rsidR="00D97EC9" w:rsidRPr="00755032" w:rsidRDefault="00D97EC9" w:rsidP="00755032">
            <w:pPr>
              <w:pStyle w:val="Year"/>
            </w:pPr>
            <w:r w:rsidRPr="00755032">
              <w:t>20</w:t>
            </w:r>
            <w:r w:rsidR="00FF11A4" w:rsidRPr="00755032">
              <w:t>1</w:t>
            </w:r>
            <w:r w:rsidR="009012A7">
              <w:t>2</w:t>
            </w:r>
            <w:r w:rsidRPr="00755032">
              <w:t xml:space="preserve"> NZSEE Conference</w:t>
            </w:r>
          </w:p>
        </w:tc>
      </w:tr>
      <w:tr w:rsidR="00D97EC9" w:rsidTr="00750176">
        <w:trPr>
          <w:cantSplit/>
        </w:trPr>
        <w:tc>
          <w:tcPr>
            <w:tcW w:w="7338" w:type="dxa"/>
          </w:tcPr>
          <w:p w:rsidR="00D97EC9" w:rsidRDefault="00322D05">
            <w:pPr>
              <w:pStyle w:val="Author"/>
            </w:pPr>
            <w:r>
              <w:t>A.A. Gaul, S</w:t>
            </w:r>
            <w:r w:rsidR="006B30B6">
              <w:t>.N.R</w:t>
            </w:r>
            <w:r>
              <w:t>. Jager</w:t>
            </w:r>
            <w:r w:rsidR="001F4931">
              <w:t>, P. Ome</w:t>
            </w:r>
            <w:r w:rsidR="00650E20">
              <w:t>n</w:t>
            </w:r>
            <w:r w:rsidR="001F4931">
              <w:t xml:space="preserve">zetter &amp; </w:t>
            </w:r>
            <w:r>
              <w:t>H. Morris</w:t>
            </w:r>
          </w:p>
          <w:p w:rsidR="00D97EC9" w:rsidRDefault="00322D05" w:rsidP="00322D05">
            <w:pPr>
              <w:pStyle w:val="Affiliation"/>
            </w:pPr>
            <w:r>
              <w:t>University of Auckland</w:t>
            </w:r>
            <w:r w:rsidR="00D97EC9">
              <w:t xml:space="preserve">, </w:t>
            </w:r>
            <w:r w:rsidR="009A3A46">
              <w:t xml:space="preserve">Auckland, </w:t>
            </w:r>
            <w:r>
              <w:t>New Zealand</w:t>
            </w:r>
            <w:r w:rsidR="00D97EC9">
              <w:t>.</w:t>
            </w:r>
          </w:p>
        </w:tc>
        <w:tc>
          <w:tcPr>
            <w:tcW w:w="1417" w:type="dxa"/>
            <w:vMerge/>
          </w:tcPr>
          <w:p w:rsidR="00D97EC9" w:rsidRDefault="00D97EC9" w:rsidP="00FF11A4">
            <w:pPr>
              <w:pStyle w:val="Papertitle"/>
            </w:pPr>
          </w:p>
        </w:tc>
      </w:tr>
    </w:tbl>
    <w:p w:rsidR="00750176" w:rsidRDefault="00D97EC9" w:rsidP="00750176">
      <w:pPr>
        <w:pStyle w:val="Abstract"/>
      </w:pPr>
      <w:r w:rsidRPr="002C2038">
        <w:rPr>
          <w:b/>
          <w:bCs/>
        </w:rPr>
        <w:t>ABSTRACT:</w:t>
      </w:r>
      <w:r w:rsidRPr="002C2038">
        <w:t xml:space="preserve"> </w:t>
      </w:r>
      <w:r w:rsidR="00750176" w:rsidRPr="002C2038">
        <w:t xml:space="preserve">The Nelson Marlborough Institute of Technology Arts building is the world’s first commercial implementation of </w:t>
      </w:r>
      <w:r w:rsidR="00C16137">
        <w:t xml:space="preserve">a post tensioned </w:t>
      </w:r>
      <w:r w:rsidR="00BB2C36">
        <w:t>Laminated Veneer Lumber (LVL)</w:t>
      </w:r>
      <w:r w:rsidR="00C16137">
        <w:t xml:space="preserve"> </w:t>
      </w:r>
      <w:r w:rsidR="00750176" w:rsidRPr="002C2038">
        <w:t>shear wall system</w:t>
      </w:r>
      <w:r w:rsidR="00C16137">
        <w:t xml:space="preserve"> based on EXPAN technology</w:t>
      </w:r>
      <w:r w:rsidR="006B30B6" w:rsidRPr="002C2038">
        <w:t xml:space="preserve">. </w:t>
      </w:r>
      <w:r w:rsidR="00750176" w:rsidRPr="002C2038">
        <w:t xml:space="preserve">In order to understand the response of the building in a serviceability </w:t>
      </w:r>
      <w:r w:rsidR="00276850">
        <w:t xml:space="preserve">level </w:t>
      </w:r>
      <w:r w:rsidR="00750176" w:rsidRPr="002C2038">
        <w:t xml:space="preserve">seismic event, </w:t>
      </w:r>
      <w:r w:rsidR="00DF021C">
        <w:t xml:space="preserve">System Identification using dynamic monitoring data, </w:t>
      </w:r>
      <w:r w:rsidR="00BB2C36">
        <w:t>F</w:t>
      </w:r>
      <w:r w:rsidR="00750176" w:rsidRPr="002C2038">
        <w:t xml:space="preserve">inite </w:t>
      </w:r>
      <w:r w:rsidR="00BB2C36">
        <w:t>E</w:t>
      </w:r>
      <w:r w:rsidR="00750176" w:rsidRPr="002C2038">
        <w:t>lement (FE) modelling, model updating and time history analysis was performed</w:t>
      </w:r>
      <w:r w:rsidR="006B30B6" w:rsidRPr="002C2038">
        <w:t xml:space="preserve">. </w:t>
      </w:r>
      <w:r w:rsidR="00DF021C">
        <w:t xml:space="preserve">Several modal frequencies, damping ratios and mode shapes were identified form the seismic response records. </w:t>
      </w:r>
      <w:r w:rsidR="008722FF" w:rsidRPr="004302DA">
        <w:t xml:space="preserve">Model updating estimated a 16% increase in </w:t>
      </w:r>
      <w:r w:rsidR="002C2038" w:rsidRPr="004302DA">
        <w:t xml:space="preserve">the </w:t>
      </w:r>
      <w:r w:rsidR="00BB2C36" w:rsidRPr="004302DA">
        <w:t>stiffness</w:t>
      </w:r>
      <w:r w:rsidR="002C2038" w:rsidRPr="004302DA">
        <w:t xml:space="preserve"> of LVL </w:t>
      </w:r>
      <w:r w:rsidR="00BB2C36" w:rsidRPr="004302DA">
        <w:t>structural elements,</w:t>
      </w:r>
      <w:r w:rsidR="002C2038" w:rsidRPr="004302DA">
        <w:t xml:space="preserve"> an approximate 90</w:t>
      </w:r>
      <w:r w:rsidR="008722FF" w:rsidRPr="004302DA">
        <w:t xml:space="preserve">% decrease in </w:t>
      </w:r>
      <w:r w:rsidR="002C2038" w:rsidRPr="004302DA">
        <w:t>concrete</w:t>
      </w:r>
      <w:r w:rsidR="00DF021C" w:rsidRPr="004302DA">
        <w:t>,</w:t>
      </w:r>
      <w:r w:rsidR="002C2038" w:rsidRPr="004302DA">
        <w:t xml:space="preserve"> and</w:t>
      </w:r>
      <w:r w:rsidR="00DF021C" w:rsidRPr="004302DA">
        <w:t xml:space="preserve"> </w:t>
      </w:r>
      <w:r w:rsidR="002C2038" w:rsidRPr="004302DA">
        <w:t xml:space="preserve">nearly </w:t>
      </w:r>
      <w:r w:rsidR="004302DA" w:rsidRPr="004302DA">
        <w:t>nil contribution of c</w:t>
      </w:r>
      <w:r w:rsidR="002C2038" w:rsidRPr="004302DA">
        <w:t xml:space="preserve">ladding </w:t>
      </w:r>
      <w:r w:rsidR="004302DA" w:rsidRPr="004302DA">
        <w:t xml:space="preserve">to </w:t>
      </w:r>
      <w:r w:rsidR="002C2038" w:rsidRPr="004302DA">
        <w:t>stiffness</w:t>
      </w:r>
      <w:r w:rsidR="00FD3A38" w:rsidRPr="004302DA">
        <w:t>.</w:t>
      </w:r>
      <w:r w:rsidR="00FD3A38">
        <w:t xml:space="preserve"> </w:t>
      </w:r>
      <w:r w:rsidR="002C2038">
        <w:t>An estimation of the serviceability response was made based on a single degree of freedom system</w:t>
      </w:r>
      <w:r w:rsidR="00076893">
        <w:t xml:space="preserve"> time history analysis</w:t>
      </w:r>
      <w:r w:rsidR="00FD3A38">
        <w:t xml:space="preserve">. </w:t>
      </w:r>
      <w:r w:rsidR="00076893" w:rsidRPr="002C2038">
        <w:t xml:space="preserve">It </w:t>
      </w:r>
      <w:r w:rsidR="004302DA">
        <w:t>wa</w:t>
      </w:r>
      <w:r w:rsidR="008722FF" w:rsidRPr="002C2038">
        <w:t xml:space="preserve">s </w:t>
      </w:r>
      <w:r w:rsidR="004302DA">
        <w:t>concluded</w:t>
      </w:r>
      <w:r w:rsidR="008722FF" w:rsidRPr="002C2038">
        <w:t xml:space="preserve"> the NMIT building performs well under</w:t>
      </w:r>
      <w:r w:rsidR="00076893">
        <w:t xml:space="preserve"> serviceability seismic loading</w:t>
      </w:r>
      <w:r w:rsidR="00FD3A38">
        <w:t xml:space="preserve">. </w:t>
      </w:r>
      <w:r w:rsidR="00076893">
        <w:t>The maximum deflection of a 1/25 year event was estimated to be 8mm.</w:t>
      </w:r>
    </w:p>
    <w:p w:rsidR="00D97EC9" w:rsidRDefault="00D97EC9">
      <w:pPr>
        <w:pStyle w:val="Heading1"/>
      </w:pPr>
      <w:r>
        <w:t>INTRODUCTION</w:t>
      </w:r>
    </w:p>
    <w:p w:rsidR="00BB5002" w:rsidRPr="00750176" w:rsidRDefault="00750176" w:rsidP="00BB5002">
      <w:r>
        <w:t>In early 2011</w:t>
      </w:r>
      <w:r w:rsidR="00BB2C36">
        <w:t>,</w:t>
      </w:r>
      <w:r>
        <w:t xml:space="preserve"> the Nelson Marlborough Institute of Technology (NMIT) Arts building was </w:t>
      </w:r>
      <w:r w:rsidR="00BB5002">
        <w:t xml:space="preserve">opened as </w:t>
      </w:r>
      <w:r>
        <w:t xml:space="preserve">the world’s first commercial implementation of the </w:t>
      </w:r>
      <w:r w:rsidR="004302DA">
        <w:t xml:space="preserve">post tensioned </w:t>
      </w:r>
      <w:r>
        <w:t xml:space="preserve">timber shear wall system </w:t>
      </w:r>
      <w:r w:rsidR="0074688E">
        <w:fldChar w:fldCharType="begin"/>
      </w:r>
      <w:r w:rsidR="009F1CC0">
        <w:instrText xml:space="preserve"> ADDIN EN.CITE &lt;EndNote&gt;&lt;Cite&gt;&lt;Author&gt;Devereux&lt;/Author&gt;&lt;Year&gt;2011&lt;/Year&gt;&lt;RecNum&gt;1024&lt;/RecNum&gt;&lt;DisplayText&gt;(Devereux et al., 2011)&lt;/DisplayText&gt;&lt;record&gt;&lt;rec-number&gt;1024&lt;/rec-number&gt;&lt;foreign-keys&gt;&lt;key app="EN" db-id="fvwv0zxp69wdpfe92at522rrv5dp9fastvta"&gt;1024&lt;/key&gt;&lt;/foreign-keys&gt;&lt;ref-type name="Conference Paper"&gt;47&lt;/ref-type&gt;&lt;contributors&gt;&lt;authors&gt;&lt;author&gt;Devereux, C.P&lt;/author&gt;&lt;author&gt;Holden, T.J.&lt;/author&gt;&lt;author&gt;Buchanan, A.H.&lt;/author&gt;&lt;author&gt;Pampanin, S.&lt;/author&gt;&lt;/authors&gt;&lt;/contributors&gt;&lt;titles&gt;&lt;title&gt;NMIT Arts &amp;amp; Media Building - Damage Mitigation Using Post-tensioned Timber Walls&lt;/title&gt;&lt;secondary-title&gt;Pacific Conference on Earthquake Engineering&lt;/secondary-title&gt;&lt;/titles&gt;&lt;dates&gt;&lt;year&gt;2011&lt;/year&gt;&lt;pub-dates&gt;&lt;date&gt;14-16 April&lt;/date&gt;&lt;/pub-dates&gt;&lt;/dates&gt;&lt;pub-location&gt;Auckland&lt;/pub-location&gt;&lt;urls&gt;&lt;/urls&gt;&lt;custom1&gt;(Compact Disk)&lt;/custom1&gt;&lt;language&gt;English&lt;/language&gt;&lt;/record&gt;&lt;/Cite&gt;&lt;/EndNote&gt;</w:instrText>
      </w:r>
      <w:r w:rsidR="0074688E">
        <w:fldChar w:fldCharType="separate"/>
      </w:r>
      <w:r w:rsidR="009F1CC0">
        <w:rPr>
          <w:noProof/>
        </w:rPr>
        <w:t>(</w:t>
      </w:r>
      <w:hyperlink w:anchor="_ENREF_1" w:tooltip="Devereux, 2011 #1024" w:history="1">
        <w:r w:rsidR="008722FF">
          <w:rPr>
            <w:noProof/>
          </w:rPr>
          <w:t>Devereux et al. 2011</w:t>
        </w:r>
      </w:hyperlink>
      <w:r w:rsidR="009F1CC0">
        <w:rPr>
          <w:noProof/>
        </w:rPr>
        <w:t>)</w:t>
      </w:r>
      <w:r w:rsidR="0074688E">
        <w:fldChar w:fldCharType="end"/>
      </w:r>
      <w:r>
        <w:t xml:space="preserve"> </w:t>
      </w:r>
      <w:r w:rsidR="00BB5002">
        <w:t>conceived</w:t>
      </w:r>
      <w:r>
        <w:t xml:space="preserve"> at the University of Canterbury</w:t>
      </w:r>
      <w:r w:rsidR="006B30B6">
        <w:t xml:space="preserve">. </w:t>
      </w:r>
      <w:r>
        <w:t>Because this is the first building of its type to be constructed in the world, the response due to service actions is unknown for a fully constructed and furnished building</w:t>
      </w:r>
      <w:r w:rsidR="006B30B6">
        <w:t xml:space="preserve">. </w:t>
      </w:r>
      <w:r>
        <w:t xml:space="preserve">The purpose of this research was therefore to understand the global response of the fully constructed three-storey post tensioned </w:t>
      </w:r>
      <w:r w:rsidR="004302DA">
        <w:t xml:space="preserve">timber </w:t>
      </w:r>
      <w:r>
        <w:t>building</w:t>
      </w:r>
      <w:r w:rsidR="006B30B6">
        <w:t xml:space="preserve">. </w:t>
      </w:r>
      <w:r>
        <w:t>Serviceability seismic actions were specifically investigated to analyse the response</w:t>
      </w:r>
      <w:r w:rsidR="006B30B6">
        <w:t xml:space="preserve">. </w:t>
      </w:r>
      <w:r>
        <w:t xml:space="preserve">System Identification (SI) </w:t>
      </w:r>
      <w:r w:rsidR="004302DA">
        <w:t>t</w:t>
      </w:r>
      <w:r>
        <w:t xml:space="preserve">echniques, Finite Element (FE) modelling, FE model updating and time history analysis were used </w:t>
      </w:r>
      <w:r w:rsidR="00AB64A5">
        <w:t xml:space="preserve">to identify natural frequencies, </w:t>
      </w:r>
      <w:r>
        <w:t>mode shapes</w:t>
      </w:r>
      <w:r w:rsidR="00AB64A5">
        <w:t xml:space="preserve"> and expected response.</w:t>
      </w:r>
      <w:r w:rsidR="00BB2C36">
        <w:t xml:space="preserve"> </w:t>
      </w:r>
      <w:r w:rsidR="00BB5002">
        <w:t>This work provides a valida</w:t>
      </w:r>
      <w:r w:rsidR="00BB2C36">
        <w:t xml:space="preserve">tion of the </w:t>
      </w:r>
      <w:r w:rsidR="004302DA">
        <w:t xml:space="preserve">FE </w:t>
      </w:r>
      <w:r w:rsidR="00BB2C36">
        <w:t xml:space="preserve">model assumptions, </w:t>
      </w:r>
      <w:r w:rsidR="00BB5002">
        <w:t>indication of the real structure performance and opportunities for better design assumptions for the elastic performance.</w:t>
      </w:r>
    </w:p>
    <w:p w:rsidR="00750176" w:rsidRDefault="00750176" w:rsidP="00750176">
      <w:pPr>
        <w:pStyle w:val="Heading2"/>
        <w:spacing w:before="120"/>
        <w:rPr>
          <w:b/>
          <w:bCs/>
          <w:i w:val="0"/>
          <w:iCs/>
        </w:rPr>
      </w:pPr>
      <w:r>
        <w:rPr>
          <w:b/>
          <w:bCs/>
          <w:i w:val="0"/>
          <w:iCs/>
        </w:rPr>
        <w:t>Building Description</w:t>
      </w:r>
    </w:p>
    <w:p w:rsidR="00F3108C" w:rsidRDefault="00F3108C" w:rsidP="009260EE">
      <w:r>
        <w:t xml:space="preserve">The NMIT Arts building </w:t>
      </w:r>
      <w:r w:rsidR="00BB5002">
        <w:t>resists horizontal loads using</w:t>
      </w:r>
      <w:r>
        <w:t xml:space="preserve"> post-tensioned Laminated Veneer Lumber (LVL) shear walls </w:t>
      </w:r>
      <w:r w:rsidR="00BB5002">
        <w:t>based on EXPAN technology</w:t>
      </w:r>
      <w:r w:rsidR="006B30B6">
        <w:t xml:space="preserve">. </w:t>
      </w:r>
      <w:r>
        <w:t xml:space="preserve">Universal Flexural Plates (UFPs) couple two shear walls together </w:t>
      </w:r>
      <w:r w:rsidR="00BB5002">
        <w:t>and</w:t>
      </w:r>
      <w:r>
        <w:t xml:space="preserve"> act as energy dissipating devices</w:t>
      </w:r>
      <w:r w:rsidR="006B30B6">
        <w:t xml:space="preserve">. </w:t>
      </w:r>
      <w:r>
        <w:t xml:space="preserve">In the event of a large earthquake, the shear walls are designed to rock with the post-tensioning providing excellent re-centring capability. Yielding of the UFPs absorbs seismic energy providing localised damage to minimise repairs after a major event </w:t>
      </w:r>
      <w:r w:rsidR="0074688E">
        <w:fldChar w:fldCharType="begin"/>
      </w:r>
      <w:r w:rsidR="009F1CC0">
        <w:instrText xml:space="preserve"> ADDIN EN.CITE &lt;EndNote&gt;&lt;Cite&gt;&lt;Author&gt;Iqbal&lt;/Author&gt;&lt;Year&gt;2007&lt;/Year&gt;&lt;RecNum&gt;1027&lt;/RecNum&gt;&lt;DisplayText&gt;(Iqbal et al., 2007)&lt;/DisplayText&gt;&lt;record&gt;&lt;rec-number&gt;1027&lt;/rec-number&gt;&lt;foreign-keys&gt;&lt;key app="EN" db-id="fvwv0zxp69wdpfe92at522rrv5dp9fastvta"&gt;1027&lt;/key&gt;&lt;/foreign-keys&gt;&lt;ref-type name="Conference Paper"&gt;47&lt;/ref-type&gt;&lt;contributors&gt;&lt;authors&gt;&lt;author&gt;Iqbal, A&lt;/author&gt;&lt;author&gt;Pampanin, S&lt;/author&gt;&lt;author&gt;Buchanan, A.H.&lt;/author&gt;&lt;/authors&gt;&lt;/contributors&gt;&lt;titles&gt;&lt;title&gt;Improved Seismic Performance of LVL Post-tensioned Walls Coupled with UFP devices&lt;/title&gt;&lt;secondary-title&gt;Pacific Conference on Earthquake Engineering&lt;/secondary-title&gt;&lt;/titles&gt;&lt;dates&gt;&lt;year&gt;2007&lt;/year&gt;&lt;pub-dates&gt;&lt;date&gt;5-7 December&lt;/date&gt;&lt;/pub-dates&gt;&lt;/dates&gt;&lt;pub-location&gt;Singapore&lt;/pub-location&gt;&lt;urls&gt;&lt;/urls&gt;&lt;research-notes&gt;Found significant energy dissapation as well as re-centering capability was achieved&lt;/research-notes&gt;&lt;/record&gt;&lt;/Cite&gt;&lt;/EndNote&gt;</w:instrText>
      </w:r>
      <w:r w:rsidR="0074688E">
        <w:fldChar w:fldCharType="separate"/>
      </w:r>
      <w:r w:rsidR="009F1CC0">
        <w:rPr>
          <w:noProof/>
        </w:rPr>
        <w:t>(</w:t>
      </w:r>
      <w:hyperlink w:anchor="_ENREF_3" w:tooltip="Iqbal, 2007 #1027" w:history="1">
        <w:r w:rsidR="008722FF">
          <w:rPr>
            <w:noProof/>
          </w:rPr>
          <w:t>Iqbal et al. 2007</w:t>
        </w:r>
      </w:hyperlink>
      <w:r w:rsidR="009F1CC0">
        <w:rPr>
          <w:noProof/>
        </w:rPr>
        <w:t>)</w:t>
      </w:r>
      <w:r w:rsidR="0074688E">
        <w:fldChar w:fldCharType="end"/>
      </w:r>
      <w:r w:rsidR="006B30B6">
        <w:t xml:space="preserve">. </w:t>
      </w:r>
      <w:r>
        <w:t>When rocking is induced, the fundamental period of the building increases, this in turn decreases the seismic forces.</w:t>
      </w:r>
      <w:r w:rsidRPr="008A4D8A">
        <w:rPr>
          <w:noProof/>
          <w:lang w:eastAsia="en-NZ"/>
        </w:rPr>
        <w:t xml:space="preserve"> </w:t>
      </w:r>
      <w:r>
        <w:rPr>
          <w:noProof/>
          <w:lang w:eastAsia="en-NZ"/>
        </w:rPr>
        <w:t>T</w:t>
      </w:r>
      <w:r>
        <w:t>he NMIT building uses four coupled shear walls, two in each orthogonal direction</w:t>
      </w:r>
      <w:r w:rsidR="009260EE">
        <w:t>.</w:t>
      </w:r>
    </w:p>
    <w:p w:rsidR="00750176" w:rsidRDefault="00F3108C" w:rsidP="00750176">
      <w:r>
        <w:t xml:space="preserve">LVL </w:t>
      </w:r>
      <w:r w:rsidR="00BB5002">
        <w:t xml:space="preserve">structural frames </w:t>
      </w:r>
      <w:r>
        <w:t>with non-moment resisting connections provide the support for vertical loading</w:t>
      </w:r>
      <w:r w:rsidR="006B30B6">
        <w:t xml:space="preserve">. </w:t>
      </w:r>
      <w:r w:rsidR="00BB5002">
        <w:t>The l</w:t>
      </w:r>
      <w:r>
        <w:t xml:space="preserve">ightweight </w:t>
      </w:r>
      <w:r w:rsidR="00BB5002">
        <w:t>timber floor system</w:t>
      </w:r>
      <w:r>
        <w:t xml:space="preserve"> uses </w:t>
      </w:r>
      <w:r w:rsidR="00BB5002">
        <w:t>proprietary “</w:t>
      </w:r>
      <w:r>
        <w:t>Potius</w:t>
      </w:r>
      <w:r w:rsidR="00BB5002">
        <w:t>”</w:t>
      </w:r>
      <w:r>
        <w:t xml:space="preserve"> panels to span between the main frames</w:t>
      </w:r>
      <w:r w:rsidR="006B30B6">
        <w:t xml:space="preserve">. </w:t>
      </w:r>
      <w:r>
        <w:t>On top of the Potius panels is a</w:t>
      </w:r>
      <w:r w:rsidR="002A343D">
        <w:t xml:space="preserve"> </w:t>
      </w:r>
      <w:r w:rsidR="00F50FEB">
        <w:t xml:space="preserve">75 mm </w:t>
      </w:r>
      <w:r w:rsidR="00BB5002">
        <w:t>thick non-composite concrete flooring slab</w:t>
      </w:r>
      <w:r>
        <w:t xml:space="preserve"> </w:t>
      </w:r>
      <w:r w:rsidR="0074688E">
        <w:fldChar w:fldCharType="begin"/>
      </w:r>
      <w:r w:rsidR="009F1CC0">
        <w:instrText xml:space="preserve"> ADDIN EN.CITE &lt;EndNote&gt;&lt;Cite&gt;&lt;Author&gt;Omenzetter&lt;/Author&gt;&lt;Year&gt;2011&lt;/Year&gt;&lt;RecNum&gt;1047&lt;/RecNum&gt;&lt;DisplayText&gt;(Omenzetter et al., 2011)&lt;/DisplayText&gt;&lt;record&gt;&lt;rec-number&gt;1047&lt;/rec-number&gt;&lt;foreign-keys&gt;&lt;key app="EN" db-id="fvwv0zxp69wdpfe92at522rrv5dp9fastvta"&gt;1047&lt;/key&gt;&lt;/foreign-keys&gt;&lt;ref-type name="Conference Proceedings"&gt;10&lt;/ref-type&gt;&lt;contributors&gt;&lt;authors&gt;&lt;author&gt;Omenzetter, Piotr&lt;/author&gt;&lt;author&gt;Morris, H.&lt;/author&gt;&lt;author&gt;Worth, M.L.&lt;/author&gt;&lt;author&gt;Kohli, V.&lt;/author&gt;&lt;author&gt;Uma, S.R.&lt;/author&gt;&lt;/authors&gt;&lt;/contributors&gt;&lt;titles&gt;&lt;title&gt;Long term monitoring and field testing of an innovative multi-storey timber building&lt;/title&gt;&lt;secondary-title&gt;Proceedings of the SPIE&amp;apos;s Smart Structures and Materials/Nondestructive Evaluation and Healt Monitoring&lt;/secondary-title&gt;&lt;/titles&gt;&lt;dates&gt;&lt;year&gt;2011&lt;/year&gt;&lt;pub-dates&gt;&lt;date&gt;March 6-10&lt;/date&gt;&lt;/pub-dates&gt;&lt;/dates&gt;&lt;pub-location&gt;San Diego, USA&lt;/pub-location&gt;&lt;urls&gt;&lt;/urls&gt;&lt;custom1&gt;(in press)&lt;/custom1&gt;&lt;/record&gt;&lt;/Cite&gt;&lt;/EndNote&gt;</w:instrText>
      </w:r>
      <w:r w:rsidR="0074688E">
        <w:fldChar w:fldCharType="separate"/>
      </w:r>
      <w:r w:rsidR="009F1CC0">
        <w:rPr>
          <w:noProof/>
        </w:rPr>
        <w:t>(</w:t>
      </w:r>
      <w:hyperlink w:anchor="_ENREF_4" w:tooltip="Omenzetter, 2011 #1047" w:history="1">
        <w:r w:rsidR="008722FF">
          <w:rPr>
            <w:noProof/>
          </w:rPr>
          <w:t>Omenzetter et al. 2011</w:t>
        </w:r>
      </w:hyperlink>
      <w:r w:rsidR="009F1CC0">
        <w:rPr>
          <w:noProof/>
        </w:rPr>
        <w:t>)</w:t>
      </w:r>
      <w:r w:rsidR="0074688E">
        <w:fldChar w:fldCharType="end"/>
      </w:r>
      <w:r>
        <w:t>.</w:t>
      </w:r>
      <w:r w:rsidRPr="00755777">
        <w:rPr>
          <w:noProof/>
          <w:lang w:eastAsia="en-NZ"/>
        </w:rPr>
        <w:t xml:space="preserve"> </w:t>
      </w:r>
    </w:p>
    <w:p w:rsidR="00750176" w:rsidRDefault="00750176" w:rsidP="00750176">
      <w:pPr>
        <w:pStyle w:val="Heading2"/>
        <w:spacing w:before="120"/>
        <w:rPr>
          <w:b/>
          <w:bCs/>
          <w:i w:val="0"/>
        </w:rPr>
      </w:pPr>
      <w:r w:rsidRPr="00750176">
        <w:rPr>
          <w:b/>
          <w:bCs/>
          <w:i w:val="0"/>
        </w:rPr>
        <w:t>Monitoring system</w:t>
      </w:r>
    </w:p>
    <w:p w:rsidR="005278DB" w:rsidRDefault="004302DA" w:rsidP="005278DB">
      <w:r>
        <w:t xml:space="preserve">The building has been extensively instrumented to measure its various long term as well as dynamic </w:t>
      </w:r>
      <w:r>
        <w:lastRenderedPageBreak/>
        <w:t xml:space="preserve">responses. </w:t>
      </w:r>
      <w:r w:rsidR="005278DB" w:rsidRPr="00252F8E">
        <w:t xml:space="preserve">The instrumentation </w:t>
      </w:r>
      <w:r w:rsidR="00872A29">
        <w:t>relevant to t</w:t>
      </w:r>
      <w:r w:rsidR="005278DB" w:rsidRPr="00252F8E">
        <w:t>his re</w:t>
      </w:r>
      <w:r w:rsidR="005278DB">
        <w:t xml:space="preserve">search </w:t>
      </w:r>
      <w:r w:rsidR="00BB2C36">
        <w:t>is the</w:t>
      </w:r>
      <w:r w:rsidR="00872A29">
        <w:t xml:space="preserve"> t</w:t>
      </w:r>
      <w:r w:rsidR="005278DB" w:rsidRPr="00252F8E">
        <w:t>en tri-axial accelerometers</w:t>
      </w:r>
      <w:r w:rsidR="00112536">
        <w:t>, as shown in Figure 1</w:t>
      </w:r>
      <w:r w:rsidR="005278DB" w:rsidRPr="00252F8E">
        <w:t>. These are made up</w:t>
      </w:r>
      <w:r w:rsidR="005278DB">
        <w:t xml:space="preserve"> </w:t>
      </w:r>
      <w:r w:rsidR="005278DB" w:rsidRPr="00252F8E">
        <w:t>of three on the ground and second floors, two on the</w:t>
      </w:r>
      <w:r w:rsidR="005278DB">
        <w:t xml:space="preserve"> </w:t>
      </w:r>
      <w:r w:rsidR="005278DB" w:rsidRPr="00252F8E">
        <w:t>first floor, and one on the top floor, as well as a further</w:t>
      </w:r>
      <w:r w:rsidR="005278DB">
        <w:t xml:space="preserve"> </w:t>
      </w:r>
      <w:r w:rsidR="005278DB" w:rsidRPr="00252F8E">
        <w:t>external free-field sensor to record ground motion.</w:t>
      </w:r>
      <w:r w:rsidR="005278DB">
        <w:t xml:space="preserve"> </w:t>
      </w:r>
      <w:r w:rsidR="005278DB" w:rsidRPr="00252F8E">
        <w:t>These sensors are aligned to the axes of the building,</w:t>
      </w:r>
      <w:r w:rsidR="005278DB">
        <w:t xml:space="preserve"> </w:t>
      </w:r>
      <w:r w:rsidR="005278DB" w:rsidRPr="00252F8E">
        <w:t>which run almost due east-west and north-south.</w:t>
      </w:r>
    </w:p>
    <w:p w:rsidR="005278DB" w:rsidRDefault="003F669B" w:rsidP="005278DB">
      <w:pPr>
        <w:jc w:val="center"/>
      </w:pPr>
      <w:r>
        <w:rPr>
          <w:noProof/>
          <w:lang w:val="en-GB" w:eastAsia="en-GB"/>
        </w:rPr>
        <w:drawing>
          <wp:inline distT="0" distB="0" distL="0" distR="0">
            <wp:extent cx="2672118" cy="1620000"/>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srcRect/>
                    <a:stretch>
                      <a:fillRect/>
                    </a:stretch>
                  </pic:blipFill>
                  <pic:spPr bwMode="auto">
                    <a:xfrm>
                      <a:off x="0" y="0"/>
                      <a:ext cx="2672118" cy="1620000"/>
                    </a:xfrm>
                    <a:prstGeom prst="rect">
                      <a:avLst/>
                    </a:prstGeom>
                    <a:noFill/>
                    <a:ln w="9525">
                      <a:noFill/>
                      <a:miter lim="800000"/>
                      <a:headEnd/>
                      <a:tailEnd/>
                    </a:ln>
                  </pic:spPr>
                </pic:pic>
              </a:graphicData>
            </a:graphic>
          </wp:inline>
        </w:drawing>
      </w:r>
    </w:p>
    <w:p w:rsidR="005278DB" w:rsidRPr="00A716D0" w:rsidRDefault="005278DB" w:rsidP="006D1B8A">
      <w:pPr>
        <w:pStyle w:val="Figurecaption"/>
        <w:jc w:val="center"/>
      </w:pPr>
      <w:r>
        <w:t xml:space="preserve">Figure </w:t>
      </w:r>
      <w:r w:rsidR="00112536">
        <w:t xml:space="preserve">1 - </w:t>
      </w:r>
      <w:r>
        <w:t>Layout of sensors in NMIT Arts Building</w:t>
      </w:r>
      <w:r w:rsidR="004302DA">
        <w:t xml:space="preserve"> (numbers 1-10 indicate accelerometers)</w:t>
      </w:r>
      <w:r>
        <w:t>.</w:t>
      </w:r>
    </w:p>
    <w:p w:rsidR="00750176" w:rsidRDefault="00750176" w:rsidP="00750176">
      <w:pPr>
        <w:pStyle w:val="Heading1"/>
      </w:pPr>
      <w:r>
        <w:t>finite element model</w:t>
      </w:r>
    </w:p>
    <w:p w:rsidR="009F1CC0" w:rsidRPr="00917955" w:rsidRDefault="00DE2220" w:rsidP="009F1CC0">
      <w:r>
        <w:t>A</w:t>
      </w:r>
      <w:r w:rsidR="009F1CC0">
        <w:t xml:space="preserve"> FE model</w:t>
      </w:r>
      <w:r>
        <w:t xml:space="preserve"> was initially</w:t>
      </w:r>
      <w:r w:rsidR="009F1CC0">
        <w:t xml:space="preserve"> provided by previous research </w:t>
      </w:r>
      <w:r w:rsidR="00F50FEB">
        <w:t>(Worth 2011).</w:t>
      </w:r>
      <w:r w:rsidR="006B30B6">
        <w:t xml:space="preserve"> </w:t>
      </w:r>
      <w:r>
        <w:t>After checking for consistency with the construction drawings it was found that amendments to this model would be necessary</w:t>
      </w:r>
      <w:r w:rsidR="006B30B6">
        <w:t xml:space="preserve">. </w:t>
      </w:r>
      <w:r w:rsidR="00677022">
        <w:t>Due to the nature of the</w:t>
      </w:r>
      <w:r w:rsidR="0083535E">
        <w:t xml:space="preserve"> amendments</w:t>
      </w:r>
      <w:r w:rsidR="00677022">
        <w:t xml:space="preserve"> </w:t>
      </w:r>
      <w:r>
        <w:t xml:space="preserve">a new model </w:t>
      </w:r>
      <w:r w:rsidR="00872A29">
        <w:t xml:space="preserve">was constructed </w:t>
      </w:r>
      <w:r>
        <w:t>in FEMtools, using the previous model as a reference.</w:t>
      </w:r>
      <w:r w:rsidR="001F4F5C">
        <w:t xml:space="preserve"> The aim of the new model was to reduce the number of nodes and elements within the model to increase the ease of model updating whilst still maintaining accurate results.</w:t>
      </w:r>
    </w:p>
    <w:p w:rsidR="009F1CC0" w:rsidRDefault="00677022" w:rsidP="009F1CC0">
      <w:pPr>
        <w:pStyle w:val="Heading2"/>
        <w:spacing w:before="120"/>
        <w:rPr>
          <w:b/>
          <w:bCs/>
          <w:i w:val="0"/>
        </w:rPr>
      </w:pPr>
      <w:r>
        <w:rPr>
          <w:b/>
          <w:bCs/>
          <w:i w:val="0"/>
        </w:rPr>
        <w:t xml:space="preserve">Important model </w:t>
      </w:r>
      <w:r w:rsidR="00C50BCD">
        <w:rPr>
          <w:b/>
          <w:bCs/>
          <w:i w:val="0"/>
        </w:rPr>
        <w:t>information</w:t>
      </w:r>
    </w:p>
    <w:p w:rsidR="002E29EF" w:rsidRDefault="00EB03EE" w:rsidP="002E29EF">
      <w:r>
        <w:t>To</w:t>
      </w:r>
      <w:r w:rsidR="00D22AF3">
        <w:t xml:space="preserve"> reduce the number of elements in the model</w:t>
      </w:r>
      <w:r>
        <w:t>, a</w:t>
      </w:r>
      <w:r w:rsidR="00D22AF3">
        <w:t xml:space="preserve"> shell element was</w:t>
      </w:r>
      <w:r w:rsidR="00DE2220">
        <w:t xml:space="preserve"> used to represent the</w:t>
      </w:r>
      <w:r>
        <w:t xml:space="preserve"> total</w:t>
      </w:r>
      <w:r w:rsidR="00DE2220">
        <w:t xml:space="preserve"> roofing</w:t>
      </w:r>
      <w:r>
        <w:t xml:space="preserve"> system</w:t>
      </w:r>
      <w:r w:rsidR="00DE2220">
        <w:t xml:space="preserve">. </w:t>
      </w:r>
      <w:r w:rsidR="00DE2220" w:rsidRPr="00DE2220">
        <w:t>A shell element was chosen to model the roof because of previous testing suggesting semi-rigid behaviour by roofing diaphragms in timber structures (Phillips et al. 1993)</w:t>
      </w:r>
      <w:r w:rsidR="006B30B6">
        <w:t xml:space="preserve">. </w:t>
      </w:r>
      <w:r w:rsidR="00896FDC">
        <w:t>Initial sensitivity analyses indicated that only in-plane stiffness and the mass of the roofing area was critical to the overall global response</w:t>
      </w:r>
      <w:r w:rsidR="00A06C4E">
        <w:t xml:space="preserve">. </w:t>
      </w:r>
      <w:r w:rsidR="00896FDC">
        <w:t>In order to keep the in-plane stiffness the same, t</w:t>
      </w:r>
      <w:r w:rsidR="00E56BBF">
        <w:t>he original complex model of</w:t>
      </w:r>
      <w:r w:rsidR="00D22AF3">
        <w:t xml:space="preserve"> the roofing system was pushed with a 100N force at one end whilst fixing the other end</w:t>
      </w:r>
      <w:r w:rsidR="006B30B6">
        <w:t xml:space="preserve">. </w:t>
      </w:r>
      <w:r w:rsidR="00D22AF3">
        <w:t xml:space="preserve">The deflection was recorded and an equivalent shell thickness </w:t>
      </w:r>
      <w:r w:rsidR="00E56BBF">
        <w:t>was</w:t>
      </w:r>
      <w:r w:rsidR="00DE2220">
        <w:t xml:space="preserve"> then calculated</w:t>
      </w:r>
      <w:r w:rsidR="006B30B6">
        <w:t xml:space="preserve">. </w:t>
      </w:r>
      <w:r w:rsidR="00D22AF3">
        <w:t xml:space="preserve">This was performed by solving </w:t>
      </w:r>
      <w:r w:rsidR="00EE4DB6">
        <w:t xml:space="preserve">the below </w:t>
      </w:r>
      <w:r w:rsidR="00D22AF3">
        <w:t xml:space="preserve">equations </w:t>
      </w:r>
      <w:r w:rsidR="000E0ADB">
        <w:t>(</w:t>
      </w:r>
      <w:r w:rsidR="00D22AF3" w:rsidRPr="000E0ADB">
        <w:t>1</w:t>
      </w:r>
      <w:r w:rsidR="000E0ADB">
        <w:t>)</w:t>
      </w:r>
      <w:r w:rsidR="00D22AF3" w:rsidRPr="000E0ADB">
        <w:t xml:space="preserve"> and </w:t>
      </w:r>
      <w:r w:rsidR="000E0ADB">
        <w:t>(</w:t>
      </w:r>
      <w:r w:rsidR="00D22AF3" w:rsidRPr="000E0ADB">
        <w:t>2</w:t>
      </w:r>
      <w:r w:rsidR="000E0ADB">
        <w:t>)</w:t>
      </w:r>
      <w:r w:rsidR="00D22AF3">
        <w:t xml:space="preserve"> iteratively using Microsoft Excel’s solver add</w:t>
      </w:r>
      <w:r w:rsidR="002E29EF">
        <w:t>-</w:t>
      </w:r>
      <w:r w:rsidR="00D22AF3">
        <w:t>in</w:t>
      </w:r>
      <w:r w:rsidR="00EE4DB6">
        <w:t>:</w:t>
      </w:r>
      <w:r w:rsidR="002E29EF">
        <w:t xml:space="preserve"> </w:t>
      </w:r>
    </w:p>
    <w:p w:rsidR="00661CE1" w:rsidRDefault="00D057B3" w:rsidP="00661CE1">
      <w:pPr>
        <w:pStyle w:val="Equation"/>
      </w:pPr>
      <m:oMath>
        <m:sSub>
          <m:sSubPr>
            <m:ctrlPr>
              <w:rPr>
                <w:rFonts w:ascii="Cambria Math" w:hAnsi="Cambria Math"/>
                <w:i/>
              </w:rPr>
            </m:ctrlPr>
          </m:sSubPr>
          <m:e>
            <m:r>
              <w:rPr>
                <w:rFonts w:ascii="Cambria Math" w:hAnsi="Cambria Math"/>
              </w:rPr>
              <m:t>∆</m:t>
            </m:r>
          </m:e>
          <m:sub>
            <m:r>
              <w:rPr>
                <w:rFonts w:ascii="Cambria Math" w:hAnsi="Cambria Math"/>
              </w:rPr>
              <m:t>s</m:t>
            </m:r>
          </m:sub>
        </m:sSub>
        <m:r>
          <w:rPr>
            <w:rFonts w:ascii="Cambria Math" w:hAnsi="Cambria Math"/>
          </w:rPr>
          <m:t>=</m:t>
        </m:r>
        <m:f>
          <m:fPr>
            <m:ctrlPr>
              <w:rPr>
                <w:rFonts w:ascii="Cambria Math" w:hAnsi="Cambria Math"/>
                <w:i/>
              </w:rPr>
            </m:ctrlPr>
          </m:fPr>
          <m:num>
            <m:r>
              <w:rPr>
                <w:rFonts w:ascii="Cambria Math" w:hAnsi="Cambria Math"/>
              </w:rPr>
              <m:t>VH</m:t>
            </m:r>
          </m:num>
          <m:den>
            <m:r>
              <w:rPr>
                <w:rFonts w:ascii="Cambria Math" w:hAnsi="Cambria Math"/>
              </w:rPr>
              <m:t>GBt</m:t>
            </m:r>
          </m:den>
        </m:f>
      </m:oMath>
      <w:r w:rsidR="00661CE1">
        <w:tab/>
        <w:t>(1)</w:t>
      </w:r>
    </w:p>
    <w:p w:rsidR="00661CE1" w:rsidRDefault="00661CE1" w:rsidP="00661CE1">
      <w:proofErr w:type="gramStart"/>
      <w:r>
        <w:t>where</w:t>
      </w:r>
      <w:proofErr w:type="gramEnd"/>
      <w:r>
        <w:t xml:space="preserve"> V = </w:t>
      </w:r>
      <w:r w:rsidRPr="00A01A06">
        <w:t>horizontal force</w:t>
      </w:r>
      <w:r>
        <w:t xml:space="preserve">; H = </w:t>
      </w:r>
      <w:r w:rsidRPr="00A01A06">
        <w:t>length of roof</w:t>
      </w:r>
      <w:r>
        <w:t xml:space="preserve">; G = </w:t>
      </w:r>
      <w:r w:rsidRPr="00A01A06">
        <w:t>shear modulus of timber</w:t>
      </w:r>
      <w:r>
        <w:t xml:space="preserve">; B </w:t>
      </w:r>
      <w:r w:rsidRPr="00A01A06">
        <w:t xml:space="preserve">= </w:t>
      </w:r>
      <w:r w:rsidRPr="00A01A06">
        <w:tab/>
        <w:t>breadth of roof</w:t>
      </w:r>
      <w:r>
        <w:t xml:space="preserve">; and </w:t>
      </w:r>
      <w:r w:rsidRPr="00A01A06">
        <w:t>t</w:t>
      </w:r>
      <w:r>
        <w:t xml:space="preserve"> </w:t>
      </w:r>
      <w:r w:rsidRPr="00A01A06">
        <w:t>=</w:t>
      </w:r>
      <w:r>
        <w:t xml:space="preserve"> </w:t>
      </w:r>
      <w:r w:rsidRPr="00A01A06">
        <w:t>thickness of diaphragm</w:t>
      </w:r>
      <w:r w:rsidR="000E0ADB">
        <w:t>.</w:t>
      </w:r>
    </w:p>
    <w:p w:rsidR="008D577E" w:rsidRPr="008D577E" w:rsidRDefault="00D057B3" w:rsidP="008D577E">
      <w:pPr>
        <w:pStyle w:val="Equation"/>
      </w:pPr>
      <m:oMath>
        <m:sSub>
          <m:sSubPr>
            <m:ctrlPr>
              <w:rPr>
                <w:rFonts w:ascii="Cambria Math" w:hAnsi="Cambria Math"/>
                <w:i/>
              </w:rPr>
            </m:ctrlPr>
          </m:sSubPr>
          <m:e>
            <m:r>
              <w:rPr>
                <w:rFonts w:ascii="Cambria Math" w:hAnsi="Cambria Math"/>
              </w:rPr>
              <m:t>∆</m:t>
            </m:r>
          </m:e>
          <m:sub>
            <m:r>
              <w:rPr>
                <w:rFonts w:ascii="Cambria Math" w:hAnsi="Cambria Math"/>
              </w:rPr>
              <m:t>b</m:t>
            </m:r>
          </m:sub>
        </m:sSub>
        <m:r>
          <w:rPr>
            <w:rFonts w:ascii="Cambria Math" w:hAnsi="Cambria Math"/>
          </w:rPr>
          <m:t>=</m:t>
        </m:r>
        <m:f>
          <m:fPr>
            <m:ctrlPr>
              <w:rPr>
                <w:rFonts w:ascii="Cambria Math" w:hAnsi="Cambria Math"/>
                <w:i/>
              </w:rPr>
            </m:ctrlPr>
          </m:fPr>
          <m:num>
            <m:r>
              <w:rPr>
                <w:rFonts w:ascii="Cambria Math" w:hAnsi="Cambria Math"/>
              </w:rPr>
              <m:t>V</m:t>
            </m:r>
            <m:sSup>
              <m:sSupPr>
                <m:ctrlPr>
                  <w:rPr>
                    <w:rFonts w:ascii="Cambria Math" w:hAnsi="Cambria Math"/>
                    <w:i/>
                  </w:rPr>
                </m:ctrlPr>
              </m:sSupPr>
              <m:e>
                <m:r>
                  <w:rPr>
                    <w:rFonts w:ascii="Cambria Math" w:hAnsi="Cambria Math"/>
                  </w:rPr>
                  <m:t>H</m:t>
                </m:r>
              </m:e>
              <m:sup>
                <m:r>
                  <w:rPr>
                    <w:rFonts w:ascii="Cambria Math" w:hAnsi="Cambria Math"/>
                  </w:rPr>
                  <m:t>3</m:t>
                </m:r>
              </m:sup>
            </m:sSup>
          </m:num>
          <m:den>
            <m:r>
              <w:rPr>
                <w:rFonts w:ascii="Cambria Math" w:hAnsi="Cambria Math"/>
              </w:rPr>
              <m:t>3EI</m:t>
            </m:r>
          </m:den>
        </m:f>
      </m:oMath>
      <w:r w:rsidR="008D577E">
        <w:tab/>
        <w:t>(2)</w:t>
      </w:r>
    </w:p>
    <w:p w:rsidR="009F1CC0" w:rsidRDefault="008D577E" w:rsidP="00DE2220">
      <w:r>
        <w:t>Where:</w:t>
      </w:r>
      <w:r>
        <w:tab/>
        <w:t xml:space="preserve">V </w:t>
      </w:r>
      <w:r w:rsidR="009F1CC0" w:rsidRPr="00A01A06">
        <w:t xml:space="preserve">= </w:t>
      </w:r>
      <w:r w:rsidRPr="00A01A06">
        <w:t xml:space="preserve">horizontal </w:t>
      </w:r>
      <w:r w:rsidR="009F1CC0" w:rsidRPr="00A01A06">
        <w:t>force</w:t>
      </w:r>
      <w:r>
        <w:t>;</w:t>
      </w:r>
      <w:r w:rsidR="009F1CC0" w:rsidRPr="00A01A06">
        <w:tab/>
        <w:t>H</w:t>
      </w:r>
      <w:r w:rsidR="009F1CC0" w:rsidRPr="00A01A06">
        <w:tab/>
        <w:t>=</w:t>
      </w:r>
      <w:r w:rsidR="009F1CC0" w:rsidRPr="00A01A06">
        <w:tab/>
      </w:r>
      <w:r w:rsidRPr="00A01A06">
        <w:t xml:space="preserve">length </w:t>
      </w:r>
      <w:r w:rsidR="009F1CC0" w:rsidRPr="00A01A06">
        <w:t>of roof</w:t>
      </w:r>
      <w:r>
        <w:t xml:space="preserve">; </w:t>
      </w:r>
      <w:r w:rsidR="009F1CC0" w:rsidRPr="00A01A06">
        <w:t>E</w:t>
      </w:r>
      <w:r>
        <w:t xml:space="preserve"> = </w:t>
      </w:r>
      <w:r w:rsidR="009F1CC0" w:rsidRPr="00A01A06">
        <w:t>Young’s modulus</w:t>
      </w:r>
      <w:r>
        <w:t xml:space="preserve">; I = </w:t>
      </w:r>
      <w:r w:rsidRPr="00A01A06">
        <w:t xml:space="preserve">second </w:t>
      </w:r>
      <w:r w:rsidR="009F1CC0" w:rsidRPr="00A01A06">
        <w:t>moment of area</w:t>
      </w:r>
      <w:r w:rsidR="000E0ADB">
        <w:t>.</w:t>
      </w:r>
    </w:p>
    <w:p w:rsidR="000E0ADB" w:rsidRDefault="00EE4DB6" w:rsidP="000E0ADB">
      <w:r>
        <w:t>Stairwell</w:t>
      </w:r>
      <w:r w:rsidR="000E0ADB">
        <w:t xml:space="preserve"> </w:t>
      </w:r>
      <w:r>
        <w:t xml:space="preserve">was omitted </w:t>
      </w:r>
      <w:r w:rsidR="000E0ADB">
        <w:t>from the FE model</w:t>
      </w:r>
      <w:r w:rsidR="00A06C4E">
        <w:t xml:space="preserve">. </w:t>
      </w:r>
      <w:r w:rsidR="000E0ADB">
        <w:t>Because it has roller connections at the foundation and pin connections at each floor level, it is likely that the stairwell would only add a small amount of mass and stiffness to the floor levels. Hence, this was a quick and effective way of removing several nodes from the model with little effect on the global response of the model.</w:t>
      </w:r>
    </w:p>
    <w:p w:rsidR="00EE4DB6" w:rsidRDefault="00896FDC" w:rsidP="00DE2220">
      <w:r>
        <w:t>T</w:t>
      </w:r>
      <w:r w:rsidR="000E0ADB">
        <w:t>he stiffness of the UFP coupler</w:t>
      </w:r>
      <w:r>
        <w:t xml:space="preserve"> was another critical amendment</w:t>
      </w:r>
      <w:r w:rsidR="00A06C4E">
        <w:t xml:space="preserve">. </w:t>
      </w:r>
      <w:r w:rsidR="000E0ADB">
        <w:t>The model of the shear was system is based on recommendations made</w:t>
      </w:r>
      <w:r w:rsidR="00157640">
        <w:t xml:space="preserve"> </w:t>
      </w:r>
      <w:r w:rsidR="00872A29">
        <w:t>by</w:t>
      </w:r>
      <w:r w:rsidR="000E0ADB" w:rsidRPr="00157640">
        <w:t xml:space="preserve"> Newcombe</w:t>
      </w:r>
      <w:r w:rsidR="00C5592D">
        <w:t xml:space="preserve"> (Worth </w:t>
      </w:r>
      <w:r w:rsidR="00872A29">
        <w:t>2011)</w:t>
      </w:r>
      <w:r w:rsidR="00A06C4E">
        <w:t xml:space="preserve">. </w:t>
      </w:r>
      <w:r w:rsidR="00157640">
        <w:t xml:space="preserve">It utilises a frame member </w:t>
      </w:r>
      <w:r w:rsidR="00F50FEB">
        <w:t>with</w:t>
      </w:r>
      <w:r w:rsidR="00157640">
        <w:t xml:space="preserve"> equivalent section properties </w:t>
      </w:r>
      <w:r w:rsidR="00F50FEB">
        <w:t>of</w:t>
      </w:r>
      <w:r w:rsidR="00157640">
        <w:t xml:space="preserve"> the shear wall</w:t>
      </w:r>
      <w:r w:rsidR="00F50FEB">
        <w:t>,</w:t>
      </w:r>
      <w:r w:rsidR="00157640">
        <w:t xml:space="preserve"> coupled with vertical spring elements between the shear walls</w:t>
      </w:r>
      <w:r w:rsidR="00A06C4E">
        <w:t xml:space="preserve">. </w:t>
      </w:r>
      <w:r w:rsidR="00157640">
        <w:t xml:space="preserve">The axial stretching of this spring was </w:t>
      </w:r>
      <w:r w:rsidR="00F50FEB">
        <w:t xml:space="preserve">calculated </w:t>
      </w:r>
      <w:r w:rsidR="00157640">
        <w:t xml:space="preserve">based on the stiffness of two </w:t>
      </w:r>
      <w:r w:rsidR="0077441D">
        <w:t xml:space="preserve">horizontal </w:t>
      </w:r>
      <w:r w:rsidR="00157640">
        <w:t>beam elements with fixed ends</w:t>
      </w:r>
      <w:r w:rsidR="0077441D">
        <w:t xml:space="preserve"> inducing shear like deformation</w:t>
      </w:r>
      <w:r w:rsidR="00EE4DB6">
        <w:t>.</w:t>
      </w:r>
    </w:p>
    <w:p w:rsidR="00C50BCD" w:rsidRDefault="00F50FEB" w:rsidP="00DE2220">
      <w:r>
        <w:t>E</w:t>
      </w:r>
      <w:r w:rsidR="00896FDC">
        <w:t>xtra non-structural mass of 50 kg/m</w:t>
      </w:r>
      <w:r w:rsidR="00896FDC">
        <w:rPr>
          <w:vertAlign w:val="superscript"/>
        </w:rPr>
        <w:t>3</w:t>
      </w:r>
      <w:r w:rsidR="00896FDC">
        <w:t xml:space="preserve"> was added to the concrete flooring</w:t>
      </w:r>
      <w:r w:rsidR="00A06C4E">
        <w:t xml:space="preserve">. </w:t>
      </w:r>
      <w:r w:rsidR="00896FDC">
        <w:t>This was to allow for extra weight that would have been added by class room equipment</w:t>
      </w:r>
      <w:r w:rsidR="00A06C4E">
        <w:t xml:space="preserve">. </w:t>
      </w:r>
      <w:r w:rsidR="00C50BCD">
        <w:t xml:space="preserve">The beam column connections were modelled using two node springs. By altering these values </w:t>
      </w:r>
      <w:r w:rsidR="00AC534D">
        <w:t xml:space="preserve">manually and observing the effects it had </w:t>
      </w:r>
      <w:r w:rsidR="00AC534D">
        <w:lastRenderedPageBreak/>
        <w:t xml:space="preserve">on the model, </w:t>
      </w:r>
      <w:r w:rsidR="00C50BCD">
        <w:t xml:space="preserve">it was </w:t>
      </w:r>
      <w:r w:rsidR="00AC534D">
        <w:t>found that the c</w:t>
      </w:r>
      <w:r w:rsidR="00C50BCD">
        <w:t xml:space="preserve">onnections, at the low amplitude of excitation </w:t>
      </w:r>
      <w:r w:rsidR="00AC534D">
        <w:t xml:space="preserve">they were subjected to, </w:t>
      </w:r>
      <w:r w:rsidR="00C50BCD">
        <w:t>must be effectively fixed</w:t>
      </w:r>
      <w:r w:rsidR="00A06C4E">
        <w:t xml:space="preserve">. </w:t>
      </w:r>
    </w:p>
    <w:p w:rsidR="006578BE" w:rsidRDefault="006578BE" w:rsidP="006578BE">
      <w:pPr>
        <w:pStyle w:val="Heading2"/>
        <w:spacing w:before="120"/>
        <w:rPr>
          <w:b/>
          <w:bCs/>
          <w:i w:val="0"/>
        </w:rPr>
      </w:pPr>
      <w:r>
        <w:rPr>
          <w:b/>
          <w:bCs/>
          <w:i w:val="0"/>
        </w:rPr>
        <w:t>Amendment affects</w:t>
      </w:r>
    </w:p>
    <w:p w:rsidR="006578BE" w:rsidRDefault="006578BE" w:rsidP="006578BE">
      <w:r>
        <w:t xml:space="preserve">After the equivalent roofing shell element was in place, it was observed that </w:t>
      </w:r>
      <w:r w:rsidR="00DE2D26">
        <w:t xml:space="preserve">its effect on the </w:t>
      </w:r>
      <w:r>
        <w:t xml:space="preserve">first natural frequency </w:t>
      </w:r>
      <w:r w:rsidR="00DE2D26">
        <w:t>was very small,</w:t>
      </w:r>
      <w:r w:rsidR="00BB2C36">
        <w:t xml:space="preserve"> </w:t>
      </w:r>
      <w:r w:rsidR="00DE2D26">
        <w:t>h</w:t>
      </w:r>
      <w:r>
        <w:t xml:space="preserve">ence further agreeing that an equivalent diaphragm is an effective way of modelling a roofing </w:t>
      </w:r>
      <w:r w:rsidR="00DE2D26">
        <w:t>structure</w:t>
      </w:r>
      <w:r>
        <w:t>.</w:t>
      </w:r>
      <w:r w:rsidR="0015156E">
        <w:t xml:space="preserve"> </w:t>
      </w:r>
      <w:r w:rsidRPr="006578BE">
        <w:t xml:space="preserve">Even though </w:t>
      </w:r>
      <w:r>
        <w:t xml:space="preserve">the UFP stiffness was found to be not sensitive in updating, it was </w:t>
      </w:r>
      <w:r w:rsidRPr="006578BE">
        <w:t xml:space="preserve">still </w:t>
      </w:r>
      <w:r w:rsidR="00DE2D26">
        <w:t>important</w:t>
      </w:r>
      <w:r w:rsidRPr="006578BE">
        <w:t xml:space="preserve"> to </w:t>
      </w:r>
      <w:r>
        <w:t>have the initial value correct</w:t>
      </w:r>
      <w:r w:rsidRPr="006578BE">
        <w:t>. Altering this spring constant by 1x10</w:t>
      </w:r>
      <w:r w:rsidRPr="006578BE">
        <w:rPr>
          <w:vertAlign w:val="superscript"/>
        </w:rPr>
        <w:t>12</w:t>
      </w:r>
      <w:r w:rsidRPr="006578BE">
        <w:t xml:space="preserve"> N/m would vary the first fundamental frequency by up to 1 Hz</w:t>
      </w:r>
      <w:r>
        <w:t>.</w:t>
      </w:r>
      <w:r w:rsidR="0015156E">
        <w:t xml:space="preserve"> </w:t>
      </w:r>
      <w:r>
        <w:t xml:space="preserve">Adding the extra weight did not have </w:t>
      </w:r>
      <w:r w:rsidR="00DE2D26">
        <w:t>a significant effect:</w:t>
      </w:r>
      <w:r w:rsidRPr="006578BE">
        <w:t xml:space="preserve"> adding </w:t>
      </w:r>
      <w:r>
        <w:t>50 kg/m</w:t>
      </w:r>
      <w:r>
        <w:rPr>
          <w:vertAlign w:val="superscript"/>
        </w:rPr>
        <w:t>2</w:t>
      </w:r>
      <w:r w:rsidRPr="006578BE">
        <w:t xml:space="preserve"> </w:t>
      </w:r>
      <w:r>
        <w:t xml:space="preserve">to the entire flooring area reduced </w:t>
      </w:r>
      <w:r w:rsidR="00DE2D26" w:rsidRPr="006578BE">
        <w:t>t</w:t>
      </w:r>
      <w:r w:rsidR="00DE2D26">
        <w:t xml:space="preserve">he first natural frequency </w:t>
      </w:r>
      <w:r>
        <w:t xml:space="preserve">only </w:t>
      </w:r>
      <w:r w:rsidRPr="006578BE">
        <w:t>by 0.2 Hz.</w:t>
      </w:r>
      <w:r w:rsidR="00B807C0">
        <w:t xml:space="preserve"> </w:t>
      </w:r>
      <w:r>
        <w:t xml:space="preserve">The changes introduced into the model had reduced the first natural frequency from approximately 5 Hz to 3.48 Hz. This was very close to the first natural frequency </w:t>
      </w:r>
      <w:r w:rsidR="00DE2D26">
        <w:t xml:space="preserve">of 3.52 Hz </w:t>
      </w:r>
      <w:r>
        <w:t>found by previous forced</w:t>
      </w:r>
      <w:r w:rsidR="00726CF1">
        <w:t xml:space="preserve"> vibration testing</w:t>
      </w:r>
      <w:r w:rsidR="00DE2D26">
        <w:t xml:space="preserve"> (Worth et al. 2012)</w:t>
      </w:r>
      <w:r w:rsidR="00726CF1">
        <w:t>.</w:t>
      </w:r>
    </w:p>
    <w:p w:rsidR="005278DB" w:rsidRDefault="006B30B6" w:rsidP="005278DB">
      <w:pPr>
        <w:pStyle w:val="Heading1"/>
      </w:pPr>
      <w:r>
        <w:t>S</w:t>
      </w:r>
      <w:r w:rsidR="005278DB">
        <w:t>ystem identification</w:t>
      </w:r>
      <w:r w:rsidR="00F0363A">
        <w:t xml:space="preserve"> methodology</w:t>
      </w:r>
    </w:p>
    <w:p w:rsidR="005278DB" w:rsidRDefault="005278DB" w:rsidP="005278DB">
      <w:pPr>
        <w:pStyle w:val="Heading2"/>
        <w:spacing w:before="120"/>
        <w:rPr>
          <w:b/>
          <w:bCs/>
          <w:i w:val="0"/>
        </w:rPr>
      </w:pPr>
      <w:r>
        <w:rPr>
          <w:b/>
          <w:bCs/>
          <w:i w:val="0"/>
        </w:rPr>
        <w:t>Data records</w:t>
      </w:r>
    </w:p>
    <w:p w:rsidR="005278DB" w:rsidRPr="000E3807" w:rsidRDefault="005278DB" w:rsidP="005278DB">
      <w:r>
        <w:t xml:space="preserve">Ten data sets were </w:t>
      </w:r>
      <w:r w:rsidR="003A62DD">
        <w:t>obtained for</w:t>
      </w:r>
      <w:r>
        <w:t xml:space="preserve"> earthquakes over M5.0 on the Richter scale</w:t>
      </w:r>
      <w:r w:rsidR="009D5F84">
        <w:t>, but with epicentre far away from the structure</w:t>
      </w:r>
      <w:r>
        <w:t xml:space="preserve">. The acceleration trigger level for the data sets analysed in this research was 4.0 mg. Many of the records generated were from </w:t>
      </w:r>
      <w:r w:rsidR="009D5F84">
        <w:t>the February 2011 Christchurch earthquake</w:t>
      </w:r>
      <w:r>
        <w:t xml:space="preserve"> aftershocks as well as </w:t>
      </w:r>
      <w:r w:rsidR="009D5F84">
        <w:t>the main shock</w:t>
      </w:r>
      <w:r>
        <w:t>.</w:t>
      </w:r>
    </w:p>
    <w:p w:rsidR="005278DB" w:rsidRPr="009F1CC0" w:rsidRDefault="005278DB" w:rsidP="005278DB">
      <w:pPr>
        <w:pStyle w:val="Heading2"/>
        <w:spacing w:before="120"/>
        <w:rPr>
          <w:b/>
          <w:bCs/>
          <w:i w:val="0"/>
        </w:rPr>
      </w:pPr>
      <w:r>
        <w:rPr>
          <w:b/>
          <w:bCs/>
          <w:i w:val="0"/>
        </w:rPr>
        <w:t>Identification techniques</w:t>
      </w:r>
    </w:p>
    <w:p w:rsidR="005278DB" w:rsidRDefault="005278DB" w:rsidP="005278DB">
      <w:r>
        <w:t>A system identification toolbox (SIT) developed at the Uni</w:t>
      </w:r>
      <w:r w:rsidR="00C5592D">
        <w:t>versity of Auckland (Beskhyroun</w:t>
      </w:r>
      <w:r>
        <w:t xml:space="preserve"> 2011) was used for </w:t>
      </w:r>
      <w:r w:rsidR="009D5F84">
        <w:t>identification</w:t>
      </w:r>
      <w:r>
        <w:t xml:space="preserve"> of modal parameters of the structure without repetitive, complex mathematic manipulation by hand, allowing time saving and removal of calculation errors.</w:t>
      </w:r>
    </w:p>
    <w:p w:rsidR="005278DB" w:rsidRDefault="009D5F84" w:rsidP="005278DB">
      <w:r>
        <w:t>The SI t</w:t>
      </w:r>
      <w:r w:rsidR="005278DB">
        <w:t xml:space="preserve">echniques </w:t>
      </w:r>
      <w:r>
        <w:t xml:space="preserve">used </w:t>
      </w:r>
      <w:r w:rsidR="005278DB">
        <w:t xml:space="preserve">combined frequency and time domain </w:t>
      </w:r>
      <w:r>
        <w:t>approaches</w:t>
      </w:r>
      <w:r w:rsidR="005278DB">
        <w:t>. In the frequency domain, Peak Picking (PP) (Peeters and De Roeck 2001) and Frequency Domain Decomposition (</w:t>
      </w:r>
      <w:proofErr w:type="spellStart"/>
      <w:r w:rsidR="005278DB">
        <w:t>FDD</w:t>
      </w:r>
      <w:proofErr w:type="spellEnd"/>
      <w:r w:rsidR="005278DB">
        <w:t>) (Brincker et al. 2001)</w:t>
      </w:r>
      <w:r>
        <w:t xml:space="preserve"> were used</w:t>
      </w:r>
      <w:r w:rsidR="005278DB">
        <w:t xml:space="preserve">. In the time domain, Stochastic Subspace Identification (SSI) (Van Overschee and De Moor 1996) was used. Two variants of SSI featured in the SIT, one using the average of stable poles found in a user-defined band centred </w:t>
      </w:r>
      <w:proofErr w:type="gramStart"/>
      <w:r w:rsidR="005278DB">
        <w:t>around</w:t>
      </w:r>
      <w:proofErr w:type="gramEnd"/>
      <w:r w:rsidR="005278DB">
        <w:t xml:space="preserve"> frequencies found by the FDD method, the other averaging poles across an arbitrary frequency band defined again by the user. These are referred to as ‘SSI’ and ‘SSI2’</w:t>
      </w:r>
      <w:r>
        <w:t>,</w:t>
      </w:r>
      <w:r w:rsidR="005278DB">
        <w:t xml:space="preserve"> respectively. For this research the band used for SSI was 1.0 Hz and for SSI2, 0.1 Hz.</w:t>
      </w:r>
    </w:p>
    <w:p w:rsidR="005278DB" w:rsidRDefault="005278DB" w:rsidP="005278DB">
      <w:r>
        <w:t>For a building of this height (13 m), it was expected that the majority of the responses would be in the range 0 - 10 Hz. Therefore the data was filtered in the frequency domain to remove responses above 20 Hz, using a cubic function curve rooted at the calculated spectrum value for 20 Hz. This filtering was completed on raw data before analysis so was applicable to all methods of system identification.</w:t>
      </w:r>
    </w:p>
    <w:p w:rsidR="00FD3A38" w:rsidRDefault="00FD3A38" w:rsidP="00FD3A38">
      <w:pPr>
        <w:pStyle w:val="Heading1"/>
      </w:pPr>
      <w:r>
        <w:t>system identification results</w:t>
      </w:r>
    </w:p>
    <w:p w:rsidR="005278DB" w:rsidRDefault="005278DB" w:rsidP="005278DB">
      <w:pPr>
        <w:pStyle w:val="Heading2"/>
        <w:spacing w:before="120"/>
        <w:rPr>
          <w:b/>
          <w:bCs/>
          <w:i w:val="0"/>
        </w:rPr>
      </w:pPr>
      <w:r>
        <w:rPr>
          <w:b/>
          <w:bCs/>
          <w:i w:val="0"/>
        </w:rPr>
        <w:t>Natural frequencies</w:t>
      </w:r>
    </w:p>
    <w:p w:rsidR="005278DB" w:rsidRDefault="005278DB" w:rsidP="005278DB">
      <w:r>
        <w:t>Six modes were consistently</w:t>
      </w:r>
      <w:r w:rsidR="009D5F84">
        <w:t xml:space="preserve"> identified, as shown in Table 1</w:t>
      </w:r>
      <w:r>
        <w:t xml:space="preserve">. Preliminary testing resulted in at least one mode being found in each of the transverse, longitudinal and torsional directions. </w:t>
      </w:r>
      <w:r w:rsidR="00FD3A38">
        <w:t>Later</w:t>
      </w:r>
      <w:r>
        <w:t xml:space="preserve"> collation of the analysis </w:t>
      </w:r>
      <w:r w:rsidR="00FD3A38">
        <w:t>indicates</w:t>
      </w:r>
      <w:r>
        <w:t xml:space="preserve"> mode {2} is a torsional mode rather than a longitudinal mode as initially </w:t>
      </w:r>
      <w:r w:rsidR="00FD3A38">
        <w:t>expected</w:t>
      </w:r>
      <w:r>
        <w:t>, components of both torsional and lateral responses</w:t>
      </w:r>
      <w:r w:rsidR="00FD3A38">
        <w:t xml:space="preserve"> are possible</w:t>
      </w:r>
      <w:r>
        <w:t xml:space="preserve"> due to prediction of both torsional and longitudinal modes by the FE model and FVT at around 4 to 4.3 Hz. </w:t>
      </w:r>
    </w:p>
    <w:p w:rsidR="005278DB" w:rsidRDefault="005278DB" w:rsidP="005278DB">
      <w:r>
        <w:t xml:space="preserve">The majority of modes identified were transverse direction dominated. This is due to this being the shorter, less stiff, direction of the rectangular building, and </w:t>
      </w:r>
      <w:r w:rsidR="00FD3A38">
        <w:t>due to</w:t>
      </w:r>
      <w:r>
        <w:t xml:space="preserve"> the analysis </w:t>
      </w:r>
      <w:r w:rsidR="009D5F84">
        <w:t>being</w:t>
      </w:r>
      <w:r>
        <w:t xml:space="preserve"> conducted on earthquake records alone, which may or may not excite all modes of the building. Torsional modes {2} and {4} on the other hand, were much more difficult to consistently identify. Only SSI2 was able to identify mode {2}, while SSI was not able to identify mode {4}.</w:t>
      </w:r>
    </w:p>
    <w:p w:rsidR="005278DB" w:rsidRDefault="00BB3D3B" w:rsidP="005278DB">
      <w:r>
        <w:lastRenderedPageBreak/>
        <w:t>Table 1</w:t>
      </w:r>
      <w:r w:rsidR="005278DB">
        <w:t xml:space="preserve"> shows reasonable consistency between the different techniques in values of natural frequencies. The frequency values in Table </w:t>
      </w:r>
      <w:r>
        <w:t>1</w:t>
      </w:r>
      <w:r w:rsidR="005278DB">
        <w:t xml:space="preserve"> are averaged over the 10 data sets with outliers excluded, based on correlating mode shapes. </w:t>
      </w:r>
      <w:r w:rsidR="005278DB" w:rsidRPr="00BB3D3B">
        <w:t>An average frequency encompassing all techniques for each mode is also displayed in the first column of Table 3.</w:t>
      </w:r>
    </w:p>
    <w:p w:rsidR="005278DB" w:rsidRPr="00374568" w:rsidRDefault="00112536" w:rsidP="005278DB">
      <w:pPr>
        <w:pStyle w:val="Figurecaption"/>
        <w:spacing w:after="0" w:line="240" w:lineRule="exact"/>
        <w:jc w:val="center"/>
        <w:rPr>
          <w:b/>
        </w:rPr>
      </w:pPr>
      <w:r>
        <w:rPr>
          <w:b/>
        </w:rPr>
        <w:t>Table 1 -</w:t>
      </w:r>
      <w:r w:rsidR="005278DB" w:rsidRPr="00374568">
        <w:rPr>
          <w:b/>
        </w:rPr>
        <w:t xml:space="preserve"> Natural frequencies, damping ratios and mode types for modes identified by each method.</w:t>
      </w:r>
    </w:p>
    <w:p w:rsidR="005278DB" w:rsidRPr="009D5C60" w:rsidRDefault="00D057B3" w:rsidP="005278DB">
      <w:r>
        <w:rPr>
          <w:noProof/>
          <w:lang w:val="en-AU" w:eastAsia="en-AU"/>
        </w:rPr>
      </w:r>
      <w:r>
        <w:rPr>
          <w:noProof/>
          <w:lang w:val="en-AU" w:eastAsia="en-AU"/>
        </w:rPr>
        <w:pict>
          <v:group id="Canvas 16" o:spid="_x0000_s1026" editas="canvas" style="width:452.95pt;height:108pt;mso-position-horizontal-relative:char;mso-position-vertical-relative:line" coordsize="57524,1371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7524;height:13716;visibility:visible;mso-wrap-style:square">
              <v:fill o:detectmouseclick="t"/>
              <v:path o:connecttype="none"/>
            </v:shape>
            <v:shape id="Picture 17" o:spid="_x0000_s1028" type="#_x0000_t75" style="position:absolute;width:57575;height:1376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hjNMTDAAAA2gAAAA8AAABkcnMvZG93bnJldi54bWxEj81qwzAQhO+BvoPYQm+J7EBDcaOEYCgp&#10;7cU/yX2xtraJtTKSGjt9+qhQ6HGYmW+Y7X42g7iS871lBekqAUHcWN1zq+BUvy1fQPiArHGwTApu&#10;5GG/e1hsMdN24pKuVWhFhLDPUEEXwphJ6ZuODPqVHYmj92WdwRCla6V2OEW4GeQ6STbSYM9xocOR&#10;8o6aS/VtFAwffi1zd/z8Sd1c1OdjORW3Uqmnx/nwCiLQHP7Df+13reAZfq/EGyB3d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GGM0xMMAAADaAAAADwAAAAAAAAAAAAAAAACf&#10;AgAAZHJzL2Rvd25yZXYueG1sUEsFBgAAAAAEAAQA9wAAAI8DAAAAAA==&#10;">
              <v:imagedata r:id="rId11" o:title=""/>
            </v:shape>
            <w10:wrap type="none"/>
            <w10:anchorlock/>
          </v:group>
        </w:pict>
      </w:r>
    </w:p>
    <w:p w:rsidR="005278DB" w:rsidRDefault="005278DB" w:rsidP="005278DB">
      <w:pPr>
        <w:pStyle w:val="Heading2"/>
        <w:spacing w:before="120"/>
        <w:rPr>
          <w:b/>
          <w:bCs/>
          <w:i w:val="0"/>
        </w:rPr>
      </w:pPr>
      <w:r>
        <w:rPr>
          <w:b/>
          <w:bCs/>
          <w:i w:val="0"/>
        </w:rPr>
        <w:t>Damping ratios</w:t>
      </w:r>
    </w:p>
    <w:p w:rsidR="005278DB" w:rsidRDefault="005278DB" w:rsidP="005278DB">
      <w:r>
        <w:t xml:space="preserve">The damping ratio refers to </w:t>
      </w:r>
      <w:r w:rsidR="00830203">
        <w:t>the</w:t>
      </w:r>
      <w:r>
        <w:t xml:space="preserve"> dimensionless measure of the decay of vibrations in a structure after excitation. </w:t>
      </w:r>
      <w:r w:rsidR="00FD3A38">
        <w:t>Better k</w:t>
      </w:r>
      <w:r>
        <w:t xml:space="preserve">nowledge of damping ratios </w:t>
      </w:r>
      <w:r w:rsidR="00FD3A38">
        <w:t>would</w:t>
      </w:r>
      <w:r>
        <w:t xml:space="preserve"> allow a better </w:t>
      </w:r>
      <w:r w:rsidR="00FD3A38">
        <w:t>prediction</w:t>
      </w:r>
      <w:r>
        <w:t xml:space="preserve"> of the building </w:t>
      </w:r>
      <w:r w:rsidR="00726CF1">
        <w:t>response</w:t>
      </w:r>
      <w:r>
        <w:t xml:space="preserve">. SSI was used to calculate damping ratios due to limitations in accuracy of predictions using frequency domain methods (Zhang and Cho 2009). </w:t>
      </w:r>
    </w:p>
    <w:p w:rsidR="005278DB" w:rsidRDefault="00BB3D3B" w:rsidP="005278DB">
      <w:r>
        <w:t>Table 1</w:t>
      </w:r>
      <w:r w:rsidR="005278DB">
        <w:t xml:space="preserve"> also displays damping ratios for each mode found using the SSI and SSI2 techniques. These are average values over the 10 data sets with outliers excluded. These are generally quite close to each other, with the greatest difference being around one percentage point for mode {6}. Once again an average between the techniques is shown in Table 3. The damping ratios are fairly similar over all </w:t>
      </w:r>
      <w:r>
        <w:t xml:space="preserve">the </w:t>
      </w:r>
      <w:r w:rsidR="005278DB">
        <w:t>modes, with a spread in average values from 3.5% for mode {1} to 5.2% for mode {5}.</w:t>
      </w:r>
    </w:p>
    <w:p w:rsidR="005278DB" w:rsidRDefault="005278DB" w:rsidP="005278DB">
      <w:pPr>
        <w:pStyle w:val="Heading2"/>
        <w:spacing w:before="120"/>
        <w:rPr>
          <w:b/>
          <w:bCs/>
          <w:i w:val="0"/>
        </w:rPr>
      </w:pPr>
      <w:r>
        <w:rPr>
          <w:b/>
          <w:bCs/>
          <w:i w:val="0"/>
        </w:rPr>
        <w:t>Mode shapes</w:t>
      </w:r>
    </w:p>
    <w:p w:rsidR="005278DB" w:rsidRDefault="005278DB" w:rsidP="005278DB">
      <w:r>
        <w:t xml:space="preserve">Identified mode shapes are displayed in Figure </w:t>
      </w:r>
      <w:r w:rsidR="00112536">
        <w:t>2</w:t>
      </w:r>
      <w:r>
        <w:t>. 2D plots of the response in each axis of the building gave a prediction of the type of mode for each frequency. Modes were most strongly identified in the transverse direction, both in terms of transverse direction dominated modes, and the transverse component of other mode shapes</w:t>
      </w:r>
      <w:r w:rsidR="006B30B6">
        <w:t xml:space="preserve">. </w:t>
      </w:r>
      <w:r>
        <w:t xml:space="preserve">Mode {2} was found by a single technique only so is less reliable. Selection of final mode shapes was made by comparative plotting rather than use of MAC values due to having up to 10 similar shapes and the complexities posed by interpreting a matrix of MAC values of this size. This meant an average was the final outcome rather than a selection of one result as the representative shape. This would also act to smooth any small </w:t>
      </w:r>
      <w:r w:rsidR="00BB3D3B">
        <w:t>variations</w:t>
      </w:r>
      <w:r>
        <w:t>.</w:t>
      </w:r>
    </w:p>
    <w:p w:rsidR="005278DB" w:rsidRDefault="005278DB" w:rsidP="005278DB">
      <w:r>
        <w:t xml:space="preserve">There is a limitation on the </w:t>
      </w:r>
      <w:r w:rsidR="00BB3D3B">
        <w:t>interpretation</w:t>
      </w:r>
      <w:r>
        <w:t xml:space="preserve"> of mode shapes due to the number and positioning of sensors in the NMIT building. A total of only 9 sensors was used throughout the three-storey </w:t>
      </w:r>
      <w:proofErr w:type="gramStart"/>
      <w:r>
        <w:t>building ,</w:t>
      </w:r>
      <w:proofErr w:type="gramEnd"/>
      <w:r>
        <w:t xml:space="preserve"> with a footprint of over 300 m</w:t>
      </w:r>
      <w:r w:rsidRPr="00895E88">
        <w:rPr>
          <w:szCs w:val="22"/>
          <w:vertAlign w:val="superscript"/>
        </w:rPr>
        <w:t>2</w:t>
      </w:r>
      <w:r>
        <w:t>. Furthermore, the sensors were not located on the corners of the building.</w:t>
      </w:r>
    </w:p>
    <w:p w:rsidR="00BB3D3B" w:rsidRPr="00A83E9F" w:rsidRDefault="00BB3D3B" w:rsidP="00BB3D3B">
      <w:pPr>
        <w:pStyle w:val="Heading1"/>
      </w:pPr>
      <w:r w:rsidRPr="00A83E9F">
        <w:t>Model updating</w:t>
      </w:r>
    </w:p>
    <w:p w:rsidR="00BB3D3B" w:rsidRDefault="00BB3D3B" w:rsidP="00BB3D3B">
      <w:r>
        <w:t xml:space="preserve">Model updating was performed to reduce the differences between the estimated natural frequencies of the FE model and the natural frequencies identified by the testing results. Model updating was completed with the system identification results outlined in section four of this paper. </w:t>
      </w:r>
    </w:p>
    <w:p w:rsidR="00BB3D3B" w:rsidRPr="00121464" w:rsidRDefault="00BB3D3B" w:rsidP="00BB3D3B">
      <w:pPr>
        <w:pStyle w:val="Heading2"/>
        <w:spacing w:before="120"/>
        <w:rPr>
          <w:b/>
          <w:bCs/>
          <w:i w:val="0"/>
        </w:rPr>
      </w:pPr>
      <w:r w:rsidRPr="00121464">
        <w:rPr>
          <w:b/>
          <w:bCs/>
          <w:i w:val="0"/>
        </w:rPr>
        <w:t>Model correlation</w:t>
      </w:r>
    </w:p>
    <w:p w:rsidR="00BB3D3B" w:rsidRDefault="00BB3D3B" w:rsidP="00BB3D3B">
      <w:r>
        <w:t>The experimental mode shapes and FE model mode shapes were paired in FEMtools. This was completed automatically in FEMtools based on maximising the overall Modal Assurance Criterion (MAC) values. MAC values are simply a measure of how well an analytical mode shape fits to an experimental mode shape. A MAC value over 80% was considered a match and a MAC value over 90% was considered a very good match.</w:t>
      </w:r>
    </w:p>
    <w:p w:rsidR="00FD3A38" w:rsidRDefault="00D057B3" w:rsidP="00FD3A38">
      <w:pPr>
        <w:jc w:val="center"/>
        <w:rPr>
          <w:b/>
          <w:bCs/>
        </w:rPr>
      </w:pPr>
      <w:r>
        <w:rPr>
          <w:noProof/>
        </w:rPr>
        <w:lastRenderedPageBreak/>
        <w:pict>
          <v:shapetype id="_x0000_t202" coordsize="21600,21600" o:spt="202" path="m,l,21600r21600,l21600,xe">
            <v:stroke joinstyle="miter"/>
            <v:path gradientshapeok="t" o:connecttype="rect"/>
          </v:shapetype>
          <v:shape id="Text Box 15" o:spid="_x0000_s1037" type="#_x0000_t202" style="position:absolute;left:0;text-align:left;margin-left:395.5pt;margin-top:192.9pt;width:40.15pt;height:15.9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" fillcolor="white [3212]" stroked="f" strokeweight=".5pt">
            <v:textbox>
              <w:txbxContent>
                <w:p w:rsidR="00276850" w:rsidRPr="00870560" w:rsidRDefault="00276850" w:rsidP="00870560">
                  <w:pPr>
                    <w:spacing w:before="0" w:line="0" w:lineRule="atLeast"/>
                    <w:rPr>
                      <w:color w:val="000000" w:themeColor="text1"/>
                      <w:sz w:val="16"/>
                      <w:szCs w:val="16"/>
                    </w:rPr>
                  </w:pPr>
                  <w:r>
                    <w:rPr>
                      <w:color w:val="000000" w:themeColor="text1"/>
                      <w:sz w:val="16"/>
                      <w:szCs w:val="16"/>
                    </w:rPr>
                    <w:t>90</w:t>
                  </w:r>
                  <w:r w:rsidRPr="00870560">
                    <w:rPr>
                      <w:color w:val="000000" w:themeColor="text1"/>
                      <w:sz w:val="16"/>
                      <w:szCs w:val="16"/>
                    </w:rPr>
                    <w:t>%</w:t>
                  </w:r>
                </w:p>
              </w:txbxContent>
            </v:textbox>
          </v:shape>
        </w:pict>
      </w:r>
      <w:r>
        <w:rPr>
          <w:noProof/>
        </w:rPr>
        <w:pict>
          <v:shape id="Text Box 14" o:spid="_x0000_s1036" type="#_x0000_t202" style="position:absolute;left:0;text-align:left;margin-left:250.65pt;margin-top:192.9pt;width:40.15pt;height:15.9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" fillcolor="white [3212]" stroked="f" strokeweight=".5pt">
            <v:textbox>
              <w:txbxContent>
                <w:p w:rsidR="00276850" w:rsidRPr="00870560" w:rsidRDefault="00276850" w:rsidP="00870560">
                  <w:pPr>
                    <w:spacing w:before="0" w:line="0" w:lineRule="atLeast"/>
                    <w:rPr>
                      <w:color w:val="000000" w:themeColor="text1"/>
                      <w:sz w:val="16"/>
                      <w:szCs w:val="16"/>
                    </w:rPr>
                  </w:pPr>
                  <w:r>
                    <w:rPr>
                      <w:color w:val="000000" w:themeColor="text1"/>
                      <w:sz w:val="16"/>
                      <w:szCs w:val="16"/>
                    </w:rPr>
                    <w:t>50</w:t>
                  </w:r>
                  <w:r w:rsidRPr="00870560">
                    <w:rPr>
                      <w:color w:val="000000" w:themeColor="text1"/>
                      <w:sz w:val="16"/>
                      <w:szCs w:val="16"/>
                    </w:rPr>
                    <w:t>%</w:t>
                  </w:r>
                </w:p>
              </w:txbxContent>
            </v:textbox>
          </v:shape>
        </w:pict>
      </w:r>
      <w:r>
        <w:rPr>
          <w:noProof/>
        </w:rPr>
        <w:pict>
          <v:shape id="Text Box 13" o:spid="_x0000_s1035" type="#_x0000_t202" style="position:absolute;left:0;text-align:left;margin-left:105.75pt;margin-top:192.9pt;width:40.15pt;height:15.9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" fillcolor="white [3212]" stroked="f" strokeweight=".5pt">
            <v:textbox>
              <w:txbxContent>
                <w:p w:rsidR="00276850" w:rsidRPr="00870560" w:rsidRDefault="00276850" w:rsidP="00870560">
                  <w:pPr>
                    <w:spacing w:before="0" w:line="0" w:lineRule="atLeast"/>
                    <w:rPr>
                      <w:color w:val="000000" w:themeColor="text1"/>
                      <w:sz w:val="16"/>
                      <w:szCs w:val="16"/>
                    </w:rPr>
                  </w:pPr>
                  <w:r>
                    <w:rPr>
                      <w:color w:val="000000" w:themeColor="text1"/>
                      <w:sz w:val="16"/>
                      <w:szCs w:val="16"/>
                    </w:rPr>
                    <w:t>41%</w:t>
                  </w:r>
                </w:p>
              </w:txbxContent>
            </v:textbox>
          </v:shape>
        </w:pict>
      </w:r>
      <w:r>
        <w:rPr>
          <w:noProof/>
        </w:rPr>
        <w:pict>
          <v:shape id="Text Box 12" o:spid="_x0000_s1029" type="#_x0000_t202" style="position:absolute;left:0;text-align:left;margin-left:395.1pt;margin-top:89.05pt;width:40.15pt;height:15.9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" fillcolor="white [3212]" stroked="f" strokeweight=".5pt">
            <v:textbox>
              <w:txbxContent>
                <w:p w:rsidR="00276850" w:rsidRPr="00870560" w:rsidRDefault="00276850" w:rsidP="00870560">
                  <w:pPr>
                    <w:spacing w:before="0" w:line="0" w:lineRule="atLeast"/>
                    <w:rPr>
                      <w:color w:val="000000" w:themeColor="text1"/>
                      <w:sz w:val="16"/>
                      <w:szCs w:val="16"/>
                    </w:rPr>
                  </w:pPr>
                  <w:r>
                    <w:rPr>
                      <w:color w:val="000000" w:themeColor="text1"/>
                      <w:sz w:val="16"/>
                      <w:szCs w:val="16"/>
                    </w:rPr>
                    <w:t>93</w:t>
                  </w:r>
                  <w:r w:rsidRPr="00870560">
                    <w:rPr>
                      <w:color w:val="000000" w:themeColor="text1"/>
                      <w:sz w:val="16"/>
                      <w:szCs w:val="16"/>
                    </w:rPr>
                    <w:t>%</w:t>
                  </w:r>
                </w:p>
              </w:txbxContent>
            </v:textbox>
          </v:shape>
        </w:pict>
      </w:r>
      <w:r>
        <w:rPr>
          <w:noProof/>
        </w:rPr>
        <w:pict>
          <v:shape id="Text Box 11" o:spid="_x0000_s1030" type="#_x0000_t202" style="position:absolute;left:0;text-align:left;margin-left:250.45pt;margin-top:88.85pt;width:40.15pt;height:15.9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" fillcolor="white [3212]" stroked="f" strokeweight=".5pt">
            <v:textbox>
              <w:txbxContent>
                <w:p w:rsidR="00276850" w:rsidRPr="00870560" w:rsidRDefault="00276850" w:rsidP="00870560">
                  <w:pPr>
                    <w:spacing w:before="0" w:line="0" w:lineRule="atLeast"/>
                    <w:rPr>
                      <w:color w:val="000000" w:themeColor="text1"/>
                      <w:sz w:val="16"/>
                      <w:szCs w:val="16"/>
                    </w:rPr>
                  </w:pPr>
                  <w:r w:rsidRPr="00870560">
                    <w:rPr>
                      <w:color w:val="000000" w:themeColor="text1"/>
                      <w:sz w:val="16"/>
                      <w:szCs w:val="16"/>
                    </w:rPr>
                    <w:t>60%</w:t>
                  </w:r>
                </w:p>
              </w:txbxContent>
            </v:textbox>
          </v:shape>
        </w:pict>
      </w:r>
      <w:r w:rsidR="00FD3A38" w:rsidRPr="00870560">
        <w:rPr>
          <w:noProof/>
          <w:shd w:val="clear" w:color="auto" w:fill="FFFFFF" w:themeFill="background1"/>
          <w:lang w:val="en-GB" w:eastAsia="en-GB"/>
        </w:rPr>
        <w:drawing>
          <wp:inline distT="0" distB="0" distL="0" distR="0">
            <wp:extent cx="5299268" cy="2604977"/>
            <wp:effectExtent l="1905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299268" cy="2604977"/>
                    </a:xfrm>
                    <a:prstGeom prst="rect">
                      <a:avLst/>
                    </a:prstGeom>
                    <a:noFill/>
                    <a:ln>
                      <a:noFill/>
                    </a:ln>
                  </pic:spPr>
                </pic:pic>
              </a:graphicData>
            </a:graphic>
          </wp:inline>
        </w:drawing>
      </w:r>
    </w:p>
    <w:p w:rsidR="005278DB" w:rsidRPr="00FD3A38" w:rsidRDefault="00112536" w:rsidP="00FD3A38">
      <w:pPr>
        <w:jc w:val="center"/>
      </w:pPr>
      <w:r>
        <w:rPr>
          <w:b/>
          <w:bCs/>
        </w:rPr>
        <w:t xml:space="preserve">Figure 2 - </w:t>
      </w:r>
      <w:r w:rsidR="005278DB" w:rsidRPr="00C1101B">
        <w:rPr>
          <w:b/>
          <w:bCs/>
        </w:rPr>
        <w:t>Identified mode shapes.</w:t>
      </w:r>
    </w:p>
    <w:p w:rsidR="00F0363A" w:rsidRDefault="00FD3A38" w:rsidP="00F0363A">
      <w:r>
        <w:t xml:space="preserve"> </w:t>
      </w:r>
      <w:r w:rsidR="00BB3D3B">
        <w:t xml:space="preserve">To compute the MAC value in FEMtools equation (3) is used </w:t>
      </w:r>
      <w:r w:rsidR="0074688E">
        <w:fldChar w:fldCharType="begin"/>
      </w:r>
      <w:r w:rsidR="00BB3D3B">
        <w:instrText xml:space="preserve"> ADDIN EN.CITE &lt;EndNote&gt;&lt;Cite&gt;&lt;Author&gt;Dynamic Design Solutions&lt;/Author&gt;&lt;Year&gt;2008&lt;/Year&gt;&lt;RecNum&gt;1045&lt;/RecNum&gt;&lt;DisplayText&gt;(Dynamic Design Solutions, 2008)&lt;/DisplayText&gt;&lt;record&gt;&lt;rec-number&gt;1045&lt;/rec-number&gt;&lt;foreign-keys&gt;&lt;key app="EN" db-id="fvwv0zxp69wdpfe92at522rrv5dp9fastvta"&gt;1045&lt;/key&gt;&lt;/foreign-keys&gt;&lt;ref-type name="Generic"&gt;13&lt;/ref-type&gt;&lt;contributors&gt;&lt;authors&gt;&lt;author&gt;Dynamic Design Solutions,&lt;/author&gt;&lt;/authors&gt;&lt;/contributors&gt;&lt;titles&gt;&lt;title&gt;FEMtools Model Updating Theoretical Manual. Version 3.3&lt;/title&gt;&lt;/titles&gt;&lt;dates&gt;&lt;year&gt;2008&lt;/year&gt;&lt;/dates&gt;&lt;pub-location&gt;Leuven, Belgium&lt;/pub-location&gt;&lt;urls&gt;&lt;/urls&gt;&lt;/record&gt;&lt;/Cite&gt;&lt;/EndNote&gt;</w:instrText>
      </w:r>
      <w:r w:rsidR="0074688E">
        <w:fldChar w:fldCharType="separate"/>
      </w:r>
      <w:r w:rsidR="00BB3D3B">
        <w:rPr>
          <w:noProof/>
        </w:rPr>
        <w:t>(</w:t>
      </w:r>
      <w:hyperlink w:anchor="_ENREF_2" w:tooltip="Dynamic Design Solutions, 2008 #1045" w:history="1">
        <w:r w:rsidR="00BB3D3B">
          <w:rPr>
            <w:noProof/>
          </w:rPr>
          <w:t>Dynamic Design Solutions 2008</w:t>
        </w:r>
      </w:hyperlink>
      <w:r w:rsidR="00BB3D3B">
        <w:rPr>
          <w:noProof/>
        </w:rPr>
        <w:t>)</w:t>
      </w:r>
      <w:r w:rsidR="0074688E">
        <w:fldChar w:fldCharType="end"/>
      </w:r>
      <w:r w:rsidR="00BB3D3B">
        <w:t>:</w:t>
      </w:r>
    </w:p>
    <w:p w:rsidR="009B2875" w:rsidRPr="00A12889" w:rsidRDefault="00276850" w:rsidP="00A12889">
      <w:pPr>
        <w:pStyle w:val="Equation"/>
        <w:spacing w:before="0"/>
      </w:pPr>
      <w:r w:rsidRPr="00276850">
        <w:rPr>
          <w:position w:val="-44"/>
        </w:rPr>
        <w:object w:dxaOrig="3980" w:dyaOrig="1080">
          <v:shape id="_x0000_i1026" type="#_x0000_t75" style="width:181.6pt;height:49.6pt" o:ole="">
            <v:imagedata r:id="rId13" o:title=""/>
          </v:shape>
          <o:OLEObject Type="Embed" ProgID="Equation.DSMT4" ShapeID="_x0000_i1026" DrawAspect="Content" ObjectID="_1492489274" r:id="rId14"/>
        </w:object>
      </w:r>
      <w:r w:rsidR="009B2875" w:rsidRPr="00A12889">
        <w:tab/>
        <w:t>(3)</w:t>
      </w:r>
    </w:p>
    <w:p w:rsidR="009B2875" w:rsidRDefault="00F76831" w:rsidP="00F76831">
      <w:proofErr w:type="gramStart"/>
      <w:r>
        <w:t>wh</w:t>
      </w:r>
      <w:r w:rsidR="009B2875">
        <w:t>ere</w:t>
      </w:r>
      <w:proofErr w:type="gramEnd"/>
      <w:r w:rsidR="009B2875">
        <w:t>:</w:t>
      </w:r>
      <w:r w:rsidR="009B2875">
        <w:tab/>
      </w:r>
      <w:r w:rsidR="009B2875" w:rsidRPr="001B3C6E">
        <w:rPr>
          <w:position w:val="-12"/>
        </w:rPr>
        <w:object w:dxaOrig="320" w:dyaOrig="360">
          <v:shape id="_x0000_i1027" type="#_x0000_t75" style="width:16pt;height:18.4pt" o:ole="">
            <v:imagedata r:id="rId15" o:title=""/>
          </v:shape>
          <o:OLEObject Type="Embed" ProgID="Equation.3" ShapeID="_x0000_i1027" DrawAspect="Content" ObjectID="_1492489275" r:id="rId16"/>
        </w:object>
      </w:r>
      <w:r>
        <w:rPr>
          <w:position w:val="-12"/>
        </w:rPr>
        <w:t xml:space="preserve"> </w:t>
      </w:r>
      <w:r>
        <w:t xml:space="preserve">= analytical </w:t>
      </w:r>
      <w:r w:rsidR="009B2875">
        <w:t>mode shape</w:t>
      </w:r>
      <w:r>
        <w:t>;</w:t>
      </w:r>
      <w:r w:rsidR="009B2875">
        <w:tab/>
      </w:r>
      <w:r w:rsidR="009B2875" w:rsidRPr="001B3C6E">
        <w:rPr>
          <w:position w:val="-12"/>
        </w:rPr>
        <w:object w:dxaOrig="320" w:dyaOrig="360">
          <v:shape id="_x0000_i1028" type="#_x0000_t75" style="width:16pt;height:18.4pt" o:ole="">
            <v:imagedata r:id="rId17" o:title=""/>
          </v:shape>
          <o:OLEObject Type="Embed" ProgID="Equation.3" ShapeID="_x0000_i1028" DrawAspect="Content" ObjectID="_1492489276" r:id="rId18"/>
        </w:object>
      </w:r>
      <w:r>
        <w:rPr>
          <w:position w:val="-12"/>
        </w:rPr>
        <w:t xml:space="preserve"> </w:t>
      </w:r>
      <w:r w:rsidR="009B2875">
        <w:t>=</w:t>
      </w:r>
      <w:r>
        <w:t xml:space="preserve"> experimental </w:t>
      </w:r>
      <w:r w:rsidR="009B2875">
        <w:t>mode shape</w:t>
      </w:r>
      <w:r w:rsidR="00C1101B">
        <w:t>.</w:t>
      </w:r>
    </w:p>
    <w:p w:rsidR="009B2875" w:rsidRDefault="009B2875" w:rsidP="009B2875">
      <w:r>
        <w:t>The seismic monitoring</w:t>
      </w:r>
      <w:r w:rsidR="00E00A5C">
        <w:t xml:space="preserve"> data</w:t>
      </w:r>
      <w:r>
        <w:t xml:space="preserve"> paired </w:t>
      </w:r>
      <w:r w:rsidR="00F76831">
        <w:t xml:space="preserve">fairly </w:t>
      </w:r>
      <w:r>
        <w:t>well with the FE model</w:t>
      </w:r>
      <w:r w:rsidR="00726CF1">
        <w:t>,</w:t>
      </w:r>
      <w:r>
        <w:t xml:space="preserve"> </w:t>
      </w:r>
      <w:r w:rsidR="00A83E9F">
        <w:t xml:space="preserve">however, only two mode shapes and frequencies were reliably </w:t>
      </w:r>
      <w:r w:rsidR="0045093F">
        <w:t>paired</w:t>
      </w:r>
      <w:r w:rsidR="00A06C4E">
        <w:t xml:space="preserve">. </w:t>
      </w:r>
      <w:r w:rsidR="00A83E9F">
        <w:t xml:space="preserve">These were the pairs with experimental mode shapes </w:t>
      </w:r>
      <w:r w:rsidR="00BB3D3B">
        <w:t>{1}</w:t>
      </w:r>
      <w:r w:rsidR="00A83E9F">
        <w:t xml:space="preserve"> and </w:t>
      </w:r>
      <w:r w:rsidR="00BB3D3B">
        <w:t>{3}</w:t>
      </w:r>
      <w:r w:rsidR="00A06C4E">
        <w:t xml:space="preserve">. </w:t>
      </w:r>
      <w:r w:rsidR="00A83E9F">
        <w:t xml:space="preserve">Experimental mode shape </w:t>
      </w:r>
      <w:r w:rsidR="00BB3D3B">
        <w:t>{6}</w:t>
      </w:r>
      <w:r w:rsidR="00A83E9F">
        <w:t xml:space="preserve"> also had a very good pairing</w:t>
      </w:r>
      <w:r w:rsidR="00726CF1">
        <w:t>,</w:t>
      </w:r>
      <w:r w:rsidR="00A83E9F">
        <w:t xml:space="preserve"> however</w:t>
      </w:r>
      <w:r w:rsidR="00726CF1">
        <w:t>,</w:t>
      </w:r>
      <w:r w:rsidR="00A83E9F">
        <w:t xml:space="preserve"> the frequency was too far from the analytical frequency to make this a viable pairing (</w:t>
      </w:r>
      <w:r w:rsidR="00112536">
        <w:t>Table 3</w:t>
      </w:r>
      <w:r w:rsidR="008B7EB3">
        <w:t>).</w:t>
      </w:r>
    </w:p>
    <w:p w:rsidR="009B2875" w:rsidRPr="00986BB8" w:rsidRDefault="009B2875" w:rsidP="00F76831">
      <w:pPr>
        <w:pStyle w:val="Tablecaption"/>
        <w:rPr>
          <w:i/>
        </w:rPr>
      </w:pPr>
      <w:bookmarkStart w:id="1" w:name="_Ref306100330"/>
      <w:bookmarkStart w:id="2" w:name="_Ref306100325"/>
      <w:r w:rsidRPr="00986BB8">
        <w:rPr>
          <w:iCs/>
        </w:rPr>
        <w:t>Table</w:t>
      </w:r>
      <w:bookmarkEnd w:id="1"/>
      <w:r w:rsidR="00112536">
        <w:rPr>
          <w:iCs/>
        </w:rPr>
        <w:t xml:space="preserve"> 3 -</w:t>
      </w:r>
      <w:r>
        <w:rPr>
          <w:iCs/>
        </w:rPr>
        <w:t xml:space="preserve"> </w:t>
      </w:r>
      <w:r w:rsidRPr="00986BB8">
        <w:t>Mode Shape Pairing</w:t>
      </w:r>
      <w:bookmarkEnd w:id="2"/>
    </w:p>
    <w:tbl>
      <w:tblPr>
        <w:tblW w:w="0" w:type="auto"/>
        <w:jc w:val="center"/>
        <w:tblInd w:w="-876" w:type="dxa"/>
        <w:tblLayout w:type="fixed"/>
        <w:tblLook w:val="04A0" w:firstRow="1" w:lastRow="0" w:firstColumn="1" w:lastColumn="0" w:noHBand="0" w:noVBand="1"/>
      </w:tblPr>
      <w:tblGrid>
        <w:gridCol w:w="458"/>
        <w:gridCol w:w="818"/>
        <w:gridCol w:w="1312"/>
        <w:gridCol w:w="1603"/>
        <w:gridCol w:w="1227"/>
        <w:gridCol w:w="1183"/>
        <w:gridCol w:w="1496"/>
      </w:tblGrid>
      <w:tr w:rsidR="009B2875" w:rsidRPr="00BB760C" w:rsidTr="00276850">
        <w:trPr>
          <w:trHeight w:val="300"/>
          <w:jc w:val="center"/>
        </w:trPr>
        <w:tc>
          <w:tcPr>
            <w:tcW w:w="458"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vAlign w:val="center"/>
            <w:hideMark/>
          </w:tcPr>
          <w:p w:rsidR="009B2875" w:rsidRPr="00C53A7C" w:rsidRDefault="009B2875" w:rsidP="00F76831">
            <w:pPr>
              <w:pStyle w:val="Tableheading"/>
            </w:pPr>
            <w:r w:rsidRPr="00C53A7C">
              <w:t>#</w:t>
            </w:r>
          </w:p>
        </w:tc>
        <w:tc>
          <w:tcPr>
            <w:tcW w:w="818" w:type="dxa"/>
            <w:tcBorders>
              <w:top w:val="single" w:sz="4" w:space="0" w:color="auto"/>
              <w:left w:val="single" w:sz="4" w:space="0" w:color="auto"/>
              <w:bottom w:val="single" w:sz="4" w:space="0" w:color="auto"/>
              <w:right w:val="nil"/>
            </w:tcBorders>
            <w:shd w:val="clear" w:color="auto" w:fill="D9D9D9" w:themeFill="background1" w:themeFillShade="D9"/>
            <w:noWrap/>
            <w:vAlign w:val="center"/>
            <w:hideMark/>
          </w:tcPr>
          <w:p w:rsidR="009B2875" w:rsidRPr="00C53A7C" w:rsidRDefault="009B2875" w:rsidP="009001A8">
            <w:pPr>
              <w:pStyle w:val="Tableheading"/>
            </w:pPr>
            <w:r w:rsidRPr="00C53A7C">
              <w:t>FEA</w:t>
            </w:r>
            <w:r w:rsidR="009001A8">
              <w:t xml:space="preserve"> </w:t>
            </w:r>
            <w:r>
              <w:t>Mode</w:t>
            </w:r>
          </w:p>
        </w:tc>
        <w:tc>
          <w:tcPr>
            <w:tcW w:w="1312" w:type="dxa"/>
            <w:tcBorders>
              <w:top w:val="single" w:sz="4" w:space="0" w:color="auto"/>
              <w:left w:val="nil"/>
              <w:bottom w:val="single" w:sz="4" w:space="0" w:color="auto"/>
              <w:right w:val="nil"/>
            </w:tcBorders>
            <w:shd w:val="clear" w:color="auto" w:fill="D9D9D9" w:themeFill="background1" w:themeFillShade="D9"/>
            <w:noWrap/>
            <w:vAlign w:val="center"/>
            <w:hideMark/>
          </w:tcPr>
          <w:p w:rsidR="009B2875" w:rsidRDefault="009B2875" w:rsidP="00F76831">
            <w:pPr>
              <w:pStyle w:val="Tableheading"/>
            </w:pPr>
            <w:r>
              <w:t>Freq</w:t>
            </w:r>
            <w:r w:rsidR="00834E18">
              <w:t>uency</w:t>
            </w:r>
          </w:p>
          <w:p w:rsidR="009B2875" w:rsidRPr="00C53A7C" w:rsidRDefault="009B2875" w:rsidP="00F76831">
            <w:pPr>
              <w:pStyle w:val="Tableheading"/>
            </w:pPr>
            <w:r>
              <w:t>(</w:t>
            </w:r>
            <w:r w:rsidRPr="00C53A7C">
              <w:t>Hz</w:t>
            </w:r>
            <w:r>
              <w:t>)</w:t>
            </w:r>
          </w:p>
        </w:tc>
        <w:tc>
          <w:tcPr>
            <w:tcW w:w="1603" w:type="dxa"/>
            <w:tcBorders>
              <w:top w:val="single" w:sz="4" w:space="0" w:color="auto"/>
              <w:left w:val="nil"/>
              <w:bottom w:val="single" w:sz="4" w:space="0" w:color="auto"/>
              <w:right w:val="nil"/>
            </w:tcBorders>
            <w:shd w:val="clear" w:color="auto" w:fill="D9D9D9" w:themeFill="background1" w:themeFillShade="D9"/>
            <w:noWrap/>
            <w:vAlign w:val="center"/>
            <w:hideMark/>
          </w:tcPr>
          <w:p w:rsidR="009B2875" w:rsidRPr="00C53A7C" w:rsidRDefault="009B2875" w:rsidP="00276850">
            <w:pPr>
              <w:pStyle w:val="Tableheading"/>
            </w:pPr>
            <w:r w:rsidRPr="00C53A7C">
              <w:t>E</w:t>
            </w:r>
            <w:r w:rsidR="00276850">
              <w:t>xperimental</w:t>
            </w:r>
            <w:r w:rsidR="009001A8">
              <w:t xml:space="preserve"> </w:t>
            </w:r>
            <w:r>
              <w:t>Mode</w:t>
            </w:r>
          </w:p>
        </w:tc>
        <w:tc>
          <w:tcPr>
            <w:tcW w:w="1227" w:type="dxa"/>
            <w:tcBorders>
              <w:top w:val="single" w:sz="4" w:space="0" w:color="auto"/>
              <w:left w:val="nil"/>
              <w:bottom w:val="single" w:sz="4" w:space="0" w:color="auto"/>
              <w:right w:val="nil"/>
            </w:tcBorders>
            <w:shd w:val="clear" w:color="auto" w:fill="D9D9D9" w:themeFill="background1" w:themeFillShade="D9"/>
            <w:noWrap/>
            <w:vAlign w:val="center"/>
            <w:hideMark/>
          </w:tcPr>
          <w:p w:rsidR="009B2875" w:rsidRDefault="009B2875" w:rsidP="00F76831">
            <w:pPr>
              <w:pStyle w:val="Tableheading"/>
            </w:pPr>
            <w:r>
              <w:t>Freq</w:t>
            </w:r>
            <w:r w:rsidR="00834E18">
              <w:t>uency</w:t>
            </w:r>
          </w:p>
          <w:p w:rsidR="009B2875" w:rsidRPr="00C53A7C" w:rsidRDefault="009B2875" w:rsidP="00F76831">
            <w:pPr>
              <w:pStyle w:val="Tableheading"/>
            </w:pPr>
            <w:r>
              <w:t>(</w:t>
            </w:r>
            <w:r w:rsidRPr="00C53A7C">
              <w:t>Hz</w:t>
            </w:r>
            <w:r>
              <w:t>)</w:t>
            </w:r>
          </w:p>
        </w:tc>
        <w:tc>
          <w:tcPr>
            <w:tcW w:w="1183" w:type="dxa"/>
            <w:tcBorders>
              <w:top w:val="single" w:sz="4" w:space="0" w:color="auto"/>
              <w:left w:val="nil"/>
              <w:bottom w:val="single" w:sz="4" w:space="0" w:color="auto"/>
              <w:right w:val="nil"/>
            </w:tcBorders>
            <w:shd w:val="clear" w:color="auto" w:fill="D9D9D9" w:themeFill="background1" w:themeFillShade="D9"/>
            <w:noWrap/>
            <w:vAlign w:val="center"/>
            <w:hideMark/>
          </w:tcPr>
          <w:p w:rsidR="009B2875" w:rsidRDefault="009B2875" w:rsidP="00F76831">
            <w:pPr>
              <w:pStyle w:val="Tableheading"/>
            </w:pPr>
            <w:r w:rsidRPr="00C53A7C">
              <w:t>Diff.</w:t>
            </w:r>
            <w:r>
              <w:t xml:space="preserve"> </w:t>
            </w:r>
          </w:p>
          <w:p w:rsidR="009B2875" w:rsidRPr="00C53A7C" w:rsidRDefault="009B2875" w:rsidP="00F76831">
            <w:pPr>
              <w:pStyle w:val="Tableheading"/>
            </w:pPr>
            <w:r w:rsidRPr="00C53A7C">
              <w:t>(%)</w:t>
            </w:r>
          </w:p>
        </w:tc>
        <w:tc>
          <w:tcPr>
            <w:tcW w:w="1496" w:type="dxa"/>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rsidR="009B2875" w:rsidRDefault="009B2875" w:rsidP="00F76831">
            <w:pPr>
              <w:pStyle w:val="Tableheading"/>
            </w:pPr>
            <w:r w:rsidRPr="00C53A7C">
              <w:t>MAC</w:t>
            </w:r>
          </w:p>
          <w:p w:rsidR="009B2875" w:rsidRPr="00C53A7C" w:rsidRDefault="009B2875" w:rsidP="00F76831">
            <w:pPr>
              <w:pStyle w:val="Tableheading"/>
            </w:pPr>
            <w:r>
              <w:t>(%)</w:t>
            </w:r>
          </w:p>
        </w:tc>
      </w:tr>
      <w:tr w:rsidR="00F76831" w:rsidRPr="00BB760C" w:rsidTr="00276850">
        <w:trPr>
          <w:trHeight w:val="300"/>
          <w:jc w:val="center"/>
        </w:trPr>
        <w:tc>
          <w:tcPr>
            <w:tcW w:w="458" w:type="dxa"/>
            <w:tcBorders>
              <w:top w:val="single" w:sz="4" w:space="0" w:color="auto"/>
              <w:left w:val="single" w:sz="4" w:space="0" w:color="auto"/>
              <w:bottom w:val="nil"/>
              <w:right w:val="single" w:sz="4" w:space="0" w:color="auto"/>
            </w:tcBorders>
            <w:shd w:val="clear" w:color="auto" w:fill="auto"/>
            <w:noWrap/>
            <w:vAlign w:val="bottom"/>
            <w:hideMark/>
          </w:tcPr>
          <w:p w:rsidR="00F76831" w:rsidRPr="00D879E5" w:rsidRDefault="00F76831" w:rsidP="00A83E9F">
            <w:pPr>
              <w:pStyle w:val="Tabletext"/>
              <w:spacing w:before="40" w:after="40"/>
              <w:jc w:val="center"/>
              <w:rPr>
                <w:lang w:eastAsia="en-NZ"/>
              </w:rPr>
            </w:pPr>
            <w:r w:rsidRPr="00D879E5">
              <w:rPr>
                <w:lang w:eastAsia="en-NZ"/>
              </w:rPr>
              <w:t>1</w:t>
            </w:r>
          </w:p>
        </w:tc>
        <w:tc>
          <w:tcPr>
            <w:tcW w:w="818" w:type="dxa"/>
            <w:tcBorders>
              <w:top w:val="single" w:sz="4" w:space="0" w:color="auto"/>
              <w:left w:val="single" w:sz="4" w:space="0" w:color="auto"/>
              <w:bottom w:val="nil"/>
              <w:right w:val="nil"/>
            </w:tcBorders>
            <w:shd w:val="clear" w:color="auto" w:fill="auto"/>
            <w:noWrap/>
            <w:vAlign w:val="bottom"/>
            <w:hideMark/>
          </w:tcPr>
          <w:p w:rsidR="00F76831" w:rsidRPr="00D879E5" w:rsidRDefault="00F76831" w:rsidP="00A83E9F">
            <w:pPr>
              <w:pStyle w:val="Tabletext"/>
              <w:spacing w:before="40" w:after="40"/>
              <w:jc w:val="center"/>
              <w:rPr>
                <w:lang w:eastAsia="en-NZ"/>
              </w:rPr>
            </w:pPr>
            <w:r w:rsidRPr="00D879E5">
              <w:rPr>
                <w:lang w:eastAsia="en-NZ"/>
              </w:rPr>
              <w:t>1</w:t>
            </w:r>
          </w:p>
        </w:tc>
        <w:tc>
          <w:tcPr>
            <w:tcW w:w="1312" w:type="dxa"/>
            <w:tcBorders>
              <w:top w:val="single" w:sz="4" w:space="0" w:color="auto"/>
              <w:left w:val="nil"/>
              <w:bottom w:val="nil"/>
              <w:right w:val="nil"/>
            </w:tcBorders>
            <w:shd w:val="clear" w:color="auto" w:fill="auto"/>
            <w:noWrap/>
            <w:vAlign w:val="bottom"/>
            <w:hideMark/>
          </w:tcPr>
          <w:p w:rsidR="00F76831" w:rsidRPr="00D879E5" w:rsidRDefault="00F76831" w:rsidP="00A83E9F">
            <w:pPr>
              <w:pStyle w:val="Tabletext"/>
              <w:spacing w:before="40" w:after="40"/>
              <w:jc w:val="center"/>
              <w:rPr>
                <w:lang w:eastAsia="en-NZ"/>
              </w:rPr>
            </w:pPr>
            <w:r>
              <w:rPr>
                <w:lang w:eastAsia="en-NZ"/>
              </w:rPr>
              <w:t>3.48</w:t>
            </w:r>
          </w:p>
        </w:tc>
        <w:tc>
          <w:tcPr>
            <w:tcW w:w="1603" w:type="dxa"/>
            <w:tcBorders>
              <w:top w:val="single" w:sz="4" w:space="0" w:color="auto"/>
              <w:left w:val="nil"/>
              <w:bottom w:val="nil"/>
              <w:right w:val="nil"/>
            </w:tcBorders>
            <w:shd w:val="clear" w:color="auto" w:fill="auto"/>
            <w:noWrap/>
            <w:vAlign w:val="bottom"/>
            <w:hideMark/>
          </w:tcPr>
          <w:p w:rsidR="00F76831" w:rsidRPr="00D879E5" w:rsidRDefault="00F76831" w:rsidP="00A83E9F">
            <w:pPr>
              <w:pStyle w:val="Tabletext"/>
              <w:spacing w:before="40" w:after="40"/>
              <w:jc w:val="center"/>
              <w:rPr>
                <w:lang w:eastAsia="en-NZ"/>
              </w:rPr>
            </w:pPr>
            <w:r w:rsidRPr="00D879E5">
              <w:rPr>
                <w:lang w:eastAsia="en-NZ"/>
              </w:rPr>
              <w:t>1</w:t>
            </w:r>
          </w:p>
        </w:tc>
        <w:tc>
          <w:tcPr>
            <w:tcW w:w="1227" w:type="dxa"/>
            <w:tcBorders>
              <w:top w:val="single" w:sz="4" w:space="0" w:color="auto"/>
              <w:left w:val="nil"/>
              <w:bottom w:val="nil"/>
              <w:right w:val="nil"/>
            </w:tcBorders>
            <w:shd w:val="clear" w:color="auto" w:fill="auto"/>
            <w:noWrap/>
            <w:hideMark/>
          </w:tcPr>
          <w:p w:rsidR="00F76831" w:rsidRPr="00F76831" w:rsidRDefault="00F76831" w:rsidP="00A83E9F">
            <w:pPr>
              <w:pStyle w:val="Tabletext"/>
              <w:spacing w:before="40" w:after="40"/>
              <w:jc w:val="center"/>
              <w:rPr>
                <w:lang w:eastAsia="en-NZ"/>
              </w:rPr>
            </w:pPr>
            <w:r w:rsidRPr="00F76831">
              <w:rPr>
                <w:lang w:eastAsia="en-NZ"/>
              </w:rPr>
              <w:t>3.23</w:t>
            </w:r>
          </w:p>
        </w:tc>
        <w:tc>
          <w:tcPr>
            <w:tcW w:w="1183" w:type="dxa"/>
            <w:tcBorders>
              <w:top w:val="single" w:sz="4" w:space="0" w:color="auto"/>
              <w:left w:val="nil"/>
              <w:bottom w:val="nil"/>
              <w:right w:val="nil"/>
            </w:tcBorders>
            <w:shd w:val="clear" w:color="auto" w:fill="auto"/>
            <w:noWrap/>
            <w:hideMark/>
          </w:tcPr>
          <w:p w:rsidR="00F76831" w:rsidRPr="00F76831" w:rsidRDefault="00F76831" w:rsidP="00A83E9F">
            <w:pPr>
              <w:pStyle w:val="Tabletext"/>
              <w:spacing w:before="40" w:after="40"/>
              <w:jc w:val="center"/>
              <w:rPr>
                <w:lang w:eastAsia="en-NZ"/>
              </w:rPr>
            </w:pPr>
            <w:r w:rsidRPr="00F76831">
              <w:rPr>
                <w:lang w:eastAsia="en-NZ"/>
              </w:rPr>
              <w:t>7.72</w:t>
            </w:r>
          </w:p>
        </w:tc>
        <w:tc>
          <w:tcPr>
            <w:tcW w:w="1496" w:type="dxa"/>
            <w:tcBorders>
              <w:top w:val="single" w:sz="4" w:space="0" w:color="auto"/>
              <w:left w:val="nil"/>
              <w:bottom w:val="nil"/>
              <w:right w:val="single" w:sz="4" w:space="0" w:color="auto"/>
            </w:tcBorders>
            <w:shd w:val="clear" w:color="auto" w:fill="auto"/>
            <w:noWrap/>
            <w:hideMark/>
          </w:tcPr>
          <w:p w:rsidR="00F76831" w:rsidRPr="00F76831" w:rsidRDefault="00F76831" w:rsidP="00A83E9F">
            <w:pPr>
              <w:pStyle w:val="Tabletext"/>
              <w:spacing w:before="40" w:after="40"/>
              <w:jc w:val="center"/>
              <w:rPr>
                <w:lang w:eastAsia="en-NZ"/>
              </w:rPr>
            </w:pPr>
            <w:r w:rsidRPr="00F76831">
              <w:rPr>
                <w:lang w:eastAsia="en-NZ"/>
              </w:rPr>
              <w:t>92.8</w:t>
            </w:r>
          </w:p>
        </w:tc>
      </w:tr>
      <w:tr w:rsidR="00F76831" w:rsidRPr="00BB760C" w:rsidTr="00276850">
        <w:trPr>
          <w:trHeight w:val="300"/>
          <w:jc w:val="center"/>
        </w:trPr>
        <w:tc>
          <w:tcPr>
            <w:tcW w:w="458" w:type="dxa"/>
            <w:tcBorders>
              <w:top w:val="nil"/>
              <w:left w:val="single" w:sz="4" w:space="0" w:color="auto"/>
              <w:bottom w:val="nil"/>
              <w:right w:val="single" w:sz="4" w:space="0" w:color="auto"/>
            </w:tcBorders>
            <w:shd w:val="clear" w:color="auto" w:fill="auto"/>
            <w:noWrap/>
            <w:vAlign w:val="bottom"/>
            <w:hideMark/>
          </w:tcPr>
          <w:p w:rsidR="00F76831" w:rsidRPr="00D879E5" w:rsidRDefault="00F76831" w:rsidP="00A83E9F">
            <w:pPr>
              <w:pStyle w:val="Tabletext"/>
              <w:spacing w:before="40" w:after="40"/>
              <w:jc w:val="center"/>
              <w:rPr>
                <w:lang w:eastAsia="en-NZ"/>
              </w:rPr>
            </w:pPr>
            <w:r w:rsidRPr="00D879E5">
              <w:rPr>
                <w:lang w:eastAsia="en-NZ"/>
              </w:rPr>
              <w:t>2</w:t>
            </w:r>
          </w:p>
        </w:tc>
        <w:tc>
          <w:tcPr>
            <w:tcW w:w="818" w:type="dxa"/>
            <w:tcBorders>
              <w:top w:val="nil"/>
              <w:left w:val="single" w:sz="4" w:space="0" w:color="auto"/>
              <w:bottom w:val="nil"/>
              <w:right w:val="nil"/>
            </w:tcBorders>
            <w:shd w:val="clear" w:color="auto" w:fill="auto"/>
            <w:noWrap/>
            <w:vAlign w:val="bottom"/>
            <w:hideMark/>
          </w:tcPr>
          <w:p w:rsidR="00F76831" w:rsidRPr="00D879E5" w:rsidRDefault="00F76831" w:rsidP="00A83E9F">
            <w:pPr>
              <w:pStyle w:val="Tabletext"/>
              <w:spacing w:before="40" w:after="40"/>
              <w:jc w:val="center"/>
              <w:rPr>
                <w:lang w:eastAsia="en-NZ"/>
              </w:rPr>
            </w:pPr>
            <w:r>
              <w:rPr>
                <w:lang w:eastAsia="en-NZ"/>
              </w:rPr>
              <w:t>7</w:t>
            </w:r>
          </w:p>
        </w:tc>
        <w:tc>
          <w:tcPr>
            <w:tcW w:w="1312" w:type="dxa"/>
            <w:tcBorders>
              <w:top w:val="nil"/>
              <w:left w:val="nil"/>
              <w:bottom w:val="nil"/>
              <w:right w:val="nil"/>
            </w:tcBorders>
            <w:shd w:val="clear" w:color="auto" w:fill="auto"/>
            <w:noWrap/>
            <w:vAlign w:val="bottom"/>
            <w:hideMark/>
          </w:tcPr>
          <w:p w:rsidR="00F76831" w:rsidRPr="00D879E5" w:rsidRDefault="00F76831" w:rsidP="00A83E9F">
            <w:pPr>
              <w:pStyle w:val="Tabletext"/>
              <w:spacing w:before="40" w:after="40"/>
              <w:jc w:val="center"/>
              <w:rPr>
                <w:lang w:eastAsia="en-NZ"/>
              </w:rPr>
            </w:pPr>
            <w:r>
              <w:rPr>
                <w:lang w:eastAsia="en-NZ"/>
              </w:rPr>
              <w:t>6.96</w:t>
            </w:r>
          </w:p>
        </w:tc>
        <w:tc>
          <w:tcPr>
            <w:tcW w:w="1603" w:type="dxa"/>
            <w:tcBorders>
              <w:top w:val="nil"/>
              <w:left w:val="nil"/>
              <w:bottom w:val="nil"/>
              <w:right w:val="nil"/>
            </w:tcBorders>
            <w:shd w:val="clear" w:color="auto" w:fill="auto"/>
            <w:noWrap/>
            <w:vAlign w:val="bottom"/>
            <w:hideMark/>
          </w:tcPr>
          <w:p w:rsidR="00F76831" w:rsidRPr="00D879E5" w:rsidRDefault="00F76831" w:rsidP="00A83E9F">
            <w:pPr>
              <w:pStyle w:val="Tabletext"/>
              <w:spacing w:before="40" w:after="40"/>
              <w:jc w:val="center"/>
              <w:rPr>
                <w:lang w:eastAsia="en-NZ"/>
              </w:rPr>
            </w:pPr>
            <w:r>
              <w:rPr>
                <w:lang w:eastAsia="en-NZ"/>
              </w:rPr>
              <w:t>4</w:t>
            </w:r>
          </w:p>
        </w:tc>
        <w:tc>
          <w:tcPr>
            <w:tcW w:w="1227" w:type="dxa"/>
            <w:tcBorders>
              <w:top w:val="nil"/>
              <w:left w:val="nil"/>
              <w:bottom w:val="nil"/>
              <w:right w:val="nil"/>
            </w:tcBorders>
            <w:shd w:val="clear" w:color="auto" w:fill="auto"/>
            <w:noWrap/>
            <w:hideMark/>
          </w:tcPr>
          <w:p w:rsidR="00F76831" w:rsidRPr="00F76831" w:rsidRDefault="00F76831" w:rsidP="00A83E9F">
            <w:pPr>
              <w:pStyle w:val="Tabletext"/>
              <w:spacing w:before="40" w:after="40"/>
              <w:jc w:val="center"/>
              <w:rPr>
                <w:lang w:eastAsia="en-NZ"/>
              </w:rPr>
            </w:pPr>
            <w:r w:rsidRPr="00F76831">
              <w:rPr>
                <w:lang w:eastAsia="en-NZ"/>
              </w:rPr>
              <w:t>7.81</w:t>
            </w:r>
          </w:p>
        </w:tc>
        <w:tc>
          <w:tcPr>
            <w:tcW w:w="1183" w:type="dxa"/>
            <w:tcBorders>
              <w:top w:val="nil"/>
              <w:left w:val="nil"/>
              <w:bottom w:val="nil"/>
              <w:right w:val="nil"/>
            </w:tcBorders>
            <w:shd w:val="clear" w:color="auto" w:fill="auto"/>
            <w:noWrap/>
            <w:hideMark/>
          </w:tcPr>
          <w:p w:rsidR="00F76831" w:rsidRPr="00F76831" w:rsidRDefault="00F76831" w:rsidP="00A83E9F">
            <w:pPr>
              <w:pStyle w:val="Tabletext"/>
              <w:spacing w:before="40" w:after="40"/>
              <w:jc w:val="center"/>
              <w:rPr>
                <w:lang w:eastAsia="en-NZ"/>
              </w:rPr>
            </w:pPr>
            <w:r w:rsidRPr="00F76831">
              <w:rPr>
                <w:lang w:eastAsia="en-NZ"/>
              </w:rPr>
              <w:t>-10.78</w:t>
            </w:r>
          </w:p>
        </w:tc>
        <w:tc>
          <w:tcPr>
            <w:tcW w:w="1496" w:type="dxa"/>
            <w:tcBorders>
              <w:top w:val="nil"/>
              <w:left w:val="nil"/>
              <w:bottom w:val="nil"/>
              <w:right w:val="single" w:sz="4" w:space="0" w:color="auto"/>
            </w:tcBorders>
            <w:shd w:val="clear" w:color="auto" w:fill="auto"/>
            <w:noWrap/>
            <w:hideMark/>
          </w:tcPr>
          <w:p w:rsidR="00F76831" w:rsidRPr="00F76831" w:rsidRDefault="00F76831" w:rsidP="00A83E9F">
            <w:pPr>
              <w:pStyle w:val="Tabletext"/>
              <w:spacing w:before="40" w:after="40"/>
              <w:jc w:val="center"/>
              <w:rPr>
                <w:lang w:eastAsia="en-NZ"/>
              </w:rPr>
            </w:pPr>
            <w:r w:rsidRPr="00F76831">
              <w:rPr>
                <w:lang w:eastAsia="en-NZ"/>
              </w:rPr>
              <w:t>40.9</w:t>
            </w:r>
          </w:p>
        </w:tc>
      </w:tr>
      <w:tr w:rsidR="00F76831" w:rsidRPr="00BB760C" w:rsidTr="00276850">
        <w:trPr>
          <w:trHeight w:val="300"/>
          <w:jc w:val="center"/>
        </w:trPr>
        <w:tc>
          <w:tcPr>
            <w:tcW w:w="458" w:type="dxa"/>
            <w:tcBorders>
              <w:top w:val="nil"/>
              <w:left w:val="single" w:sz="4" w:space="0" w:color="auto"/>
              <w:bottom w:val="nil"/>
              <w:right w:val="single" w:sz="4" w:space="0" w:color="auto"/>
            </w:tcBorders>
            <w:shd w:val="clear" w:color="auto" w:fill="auto"/>
            <w:noWrap/>
            <w:vAlign w:val="bottom"/>
            <w:hideMark/>
          </w:tcPr>
          <w:p w:rsidR="00F76831" w:rsidRPr="00D879E5" w:rsidRDefault="00F76831" w:rsidP="00A83E9F">
            <w:pPr>
              <w:pStyle w:val="Tabletext"/>
              <w:spacing w:before="40" w:after="40"/>
              <w:jc w:val="center"/>
              <w:rPr>
                <w:lang w:eastAsia="en-NZ"/>
              </w:rPr>
            </w:pPr>
            <w:r w:rsidRPr="00D879E5">
              <w:rPr>
                <w:lang w:eastAsia="en-NZ"/>
              </w:rPr>
              <w:t>3</w:t>
            </w:r>
          </w:p>
        </w:tc>
        <w:tc>
          <w:tcPr>
            <w:tcW w:w="818" w:type="dxa"/>
            <w:tcBorders>
              <w:top w:val="nil"/>
              <w:left w:val="single" w:sz="4" w:space="0" w:color="auto"/>
              <w:bottom w:val="nil"/>
              <w:right w:val="nil"/>
            </w:tcBorders>
            <w:shd w:val="clear" w:color="auto" w:fill="auto"/>
            <w:noWrap/>
            <w:vAlign w:val="bottom"/>
            <w:hideMark/>
          </w:tcPr>
          <w:p w:rsidR="00F76831" w:rsidRPr="00D879E5" w:rsidRDefault="00F76831" w:rsidP="00A83E9F">
            <w:pPr>
              <w:pStyle w:val="Tabletext"/>
              <w:spacing w:before="40" w:after="40"/>
              <w:jc w:val="center"/>
              <w:rPr>
                <w:lang w:eastAsia="en-NZ"/>
              </w:rPr>
            </w:pPr>
            <w:r>
              <w:rPr>
                <w:lang w:eastAsia="en-NZ"/>
              </w:rPr>
              <w:t>8</w:t>
            </w:r>
          </w:p>
        </w:tc>
        <w:tc>
          <w:tcPr>
            <w:tcW w:w="1312" w:type="dxa"/>
            <w:tcBorders>
              <w:top w:val="nil"/>
              <w:left w:val="nil"/>
              <w:bottom w:val="nil"/>
              <w:right w:val="nil"/>
            </w:tcBorders>
            <w:shd w:val="clear" w:color="auto" w:fill="auto"/>
            <w:noWrap/>
            <w:vAlign w:val="bottom"/>
            <w:hideMark/>
          </w:tcPr>
          <w:p w:rsidR="00F76831" w:rsidRPr="00D879E5" w:rsidRDefault="00F76831" w:rsidP="00A83E9F">
            <w:pPr>
              <w:pStyle w:val="Tabletext"/>
              <w:spacing w:before="40" w:after="40"/>
              <w:jc w:val="center"/>
              <w:rPr>
                <w:lang w:eastAsia="en-NZ"/>
              </w:rPr>
            </w:pPr>
            <w:r>
              <w:rPr>
                <w:lang w:eastAsia="en-NZ"/>
              </w:rPr>
              <w:t>7.36</w:t>
            </w:r>
          </w:p>
        </w:tc>
        <w:tc>
          <w:tcPr>
            <w:tcW w:w="1603" w:type="dxa"/>
            <w:tcBorders>
              <w:top w:val="nil"/>
              <w:left w:val="nil"/>
              <w:bottom w:val="nil"/>
              <w:right w:val="nil"/>
            </w:tcBorders>
            <w:shd w:val="clear" w:color="auto" w:fill="auto"/>
            <w:noWrap/>
            <w:vAlign w:val="bottom"/>
            <w:hideMark/>
          </w:tcPr>
          <w:p w:rsidR="00F76831" w:rsidRPr="00D879E5" w:rsidRDefault="00F76831" w:rsidP="00A83E9F">
            <w:pPr>
              <w:pStyle w:val="Tabletext"/>
              <w:spacing w:before="40" w:after="40"/>
              <w:jc w:val="center"/>
              <w:rPr>
                <w:lang w:eastAsia="en-NZ"/>
              </w:rPr>
            </w:pPr>
            <w:r>
              <w:rPr>
                <w:lang w:eastAsia="en-NZ"/>
              </w:rPr>
              <w:t>3</w:t>
            </w:r>
          </w:p>
        </w:tc>
        <w:tc>
          <w:tcPr>
            <w:tcW w:w="1227" w:type="dxa"/>
            <w:tcBorders>
              <w:top w:val="nil"/>
              <w:left w:val="nil"/>
              <w:bottom w:val="nil"/>
              <w:right w:val="nil"/>
            </w:tcBorders>
            <w:shd w:val="clear" w:color="auto" w:fill="auto"/>
            <w:noWrap/>
            <w:hideMark/>
          </w:tcPr>
          <w:p w:rsidR="00F76831" w:rsidRPr="00F76831" w:rsidRDefault="00F76831" w:rsidP="00A83E9F">
            <w:pPr>
              <w:pStyle w:val="Tabletext"/>
              <w:spacing w:before="40" w:after="40"/>
              <w:jc w:val="center"/>
              <w:rPr>
                <w:lang w:eastAsia="en-NZ"/>
              </w:rPr>
            </w:pPr>
            <w:r w:rsidRPr="00F76831">
              <w:rPr>
                <w:lang w:eastAsia="en-NZ"/>
              </w:rPr>
              <w:t>5.64</w:t>
            </w:r>
          </w:p>
        </w:tc>
        <w:tc>
          <w:tcPr>
            <w:tcW w:w="1183" w:type="dxa"/>
            <w:tcBorders>
              <w:top w:val="nil"/>
              <w:left w:val="nil"/>
              <w:bottom w:val="nil"/>
              <w:right w:val="nil"/>
            </w:tcBorders>
            <w:shd w:val="clear" w:color="auto" w:fill="auto"/>
            <w:noWrap/>
            <w:hideMark/>
          </w:tcPr>
          <w:p w:rsidR="00F76831" w:rsidRPr="00F76831" w:rsidRDefault="00F76831" w:rsidP="00A83E9F">
            <w:pPr>
              <w:pStyle w:val="Tabletext"/>
              <w:spacing w:before="40" w:after="40"/>
              <w:jc w:val="center"/>
              <w:rPr>
                <w:lang w:eastAsia="en-NZ"/>
              </w:rPr>
            </w:pPr>
            <w:r w:rsidRPr="00F76831">
              <w:rPr>
                <w:lang w:eastAsia="en-NZ"/>
              </w:rPr>
              <w:t>30.57</w:t>
            </w:r>
          </w:p>
        </w:tc>
        <w:tc>
          <w:tcPr>
            <w:tcW w:w="1496" w:type="dxa"/>
            <w:tcBorders>
              <w:top w:val="nil"/>
              <w:left w:val="nil"/>
              <w:bottom w:val="nil"/>
              <w:right w:val="single" w:sz="4" w:space="0" w:color="auto"/>
            </w:tcBorders>
            <w:shd w:val="clear" w:color="auto" w:fill="auto"/>
            <w:noWrap/>
            <w:hideMark/>
          </w:tcPr>
          <w:p w:rsidR="00F76831" w:rsidRPr="00F76831" w:rsidRDefault="00F76831" w:rsidP="00A83E9F">
            <w:pPr>
              <w:pStyle w:val="Tabletext"/>
              <w:spacing w:before="40" w:after="40"/>
              <w:jc w:val="center"/>
              <w:rPr>
                <w:lang w:eastAsia="en-NZ"/>
              </w:rPr>
            </w:pPr>
            <w:r w:rsidRPr="00F76831">
              <w:rPr>
                <w:lang w:eastAsia="en-NZ"/>
              </w:rPr>
              <w:t>93.4</w:t>
            </w:r>
          </w:p>
        </w:tc>
      </w:tr>
      <w:tr w:rsidR="00F76831" w:rsidRPr="00BB760C" w:rsidTr="00276850">
        <w:trPr>
          <w:trHeight w:val="300"/>
          <w:jc w:val="center"/>
        </w:trPr>
        <w:tc>
          <w:tcPr>
            <w:tcW w:w="458" w:type="dxa"/>
            <w:tcBorders>
              <w:top w:val="nil"/>
              <w:left w:val="single" w:sz="4" w:space="0" w:color="auto"/>
              <w:bottom w:val="nil"/>
              <w:right w:val="single" w:sz="4" w:space="0" w:color="auto"/>
            </w:tcBorders>
            <w:shd w:val="clear" w:color="auto" w:fill="auto"/>
            <w:noWrap/>
            <w:vAlign w:val="bottom"/>
          </w:tcPr>
          <w:p w:rsidR="00F76831" w:rsidRPr="00D879E5" w:rsidRDefault="00F76831" w:rsidP="00A83E9F">
            <w:pPr>
              <w:pStyle w:val="Tabletext"/>
              <w:spacing w:before="40" w:after="40"/>
              <w:jc w:val="center"/>
              <w:rPr>
                <w:lang w:eastAsia="en-NZ"/>
              </w:rPr>
            </w:pPr>
            <w:r w:rsidRPr="00D879E5">
              <w:rPr>
                <w:lang w:eastAsia="en-NZ"/>
              </w:rPr>
              <w:t>4</w:t>
            </w:r>
          </w:p>
        </w:tc>
        <w:tc>
          <w:tcPr>
            <w:tcW w:w="818" w:type="dxa"/>
            <w:tcBorders>
              <w:top w:val="nil"/>
              <w:left w:val="single" w:sz="4" w:space="0" w:color="auto"/>
              <w:bottom w:val="nil"/>
              <w:right w:val="nil"/>
            </w:tcBorders>
            <w:shd w:val="clear" w:color="auto" w:fill="auto"/>
            <w:noWrap/>
            <w:vAlign w:val="bottom"/>
          </w:tcPr>
          <w:p w:rsidR="00F76831" w:rsidRPr="00D879E5" w:rsidRDefault="00F76831" w:rsidP="00A83E9F">
            <w:pPr>
              <w:pStyle w:val="Tabletext"/>
              <w:spacing w:before="40" w:after="40"/>
              <w:jc w:val="center"/>
              <w:rPr>
                <w:lang w:eastAsia="en-NZ"/>
              </w:rPr>
            </w:pPr>
            <w:r>
              <w:rPr>
                <w:lang w:eastAsia="en-NZ"/>
              </w:rPr>
              <w:t>9</w:t>
            </w:r>
          </w:p>
        </w:tc>
        <w:tc>
          <w:tcPr>
            <w:tcW w:w="1312" w:type="dxa"/>
            <w:tcBorders>
              <w:top w:val="nil"/>
              <w:left w:val="nil"/>
              <w:bottom w:val="nil"/>
              <w:right w:val="nil"/>
            </w:tcBorders>
            <w:shd w:val="clear" w:color="auto" w:fill="auto"/>
            <w:noWrap/>
            <w:vAlign w:val="bottom"/>
          </w:tcPr>
          <w:p w:rsidR="00F76831" w:rsidRPr="00D879E5" w:rsidRDefault="00F76831" w:rsidP="00A83E9F">
            <w:pPr>
              <w:pStyle w:val="Tabletext"/>
              <w:spacing w:before="40" w:after="40"/>
              <w:jc w:val="center"/>
              <w:rPr>
                <w:lang w:eastAsia="en-NZ"/>
              </w:rPr>
            </w:pPr>
            <w:r>
              <w:rPr>
                <w:lang w:eastAsia="en-NZ"/>
              </w:rPr>
              <w:t>7.4</w:t>
            </w:r>
          </w:p>
        </w:tc>
        <w:tc>
          <w:tcPr>
            <w:tcW w:w="1603" w:type="dxa"/>
            <w:tcBorders>
              <w:top w:val="nil"/>
              <w:left w:val="nil"/>
              <w:bottom w:val="nil"/>
              <w:right w:val="nil"/>
            </w:tcBorders>
            <w:shd w:val="clear" w:color="auto" w:fill="auto"/>
            <w:noWrap/>
            <w:vAlign w:val="bottom"/>
          </w:tcPr>
          <w:p w:rsidR="00F76831" w:rsidRPr="00D879E5" w:rsidRDefault="00F76831" w:rsidP="00A83E9F">
            <w:pPr>
              <w:pStyle w:val="Tabletext"/>
              <w:spacing w:before="40" w:after="40"/>
              <w:jc w:val="center"/>
              <w:rPr>
                <w:lang w:eastAsia="en-NZ"/>
              </w:rPr>
            </w:pPr>
            <w:r>
              <w:rPr>
                <w:lang w:eastAsia="en-NZ"/>
              </w:rPr>
              <w:t>5</w:t>
            </w:r>
          </w:p>
        </w:tc>
        <w:tc>
          <w:tcPr>
            <w:tcW w:w="1227" w:type="dxa"/>
            <w:tcBorders>
              <w:top w:val="nil"/>
              <w:left w:val="nil"/>
              <w:bottom w:val="nil"/>
              <w:right w:val="nil"/>
            </w:tcBorders>
            <w:shd w:val="clear" w:color="auto" w:fill="auto"/>
            <w:noWrap/>
          </w:tcPr>
          <w:p w:rsidR="00F76831" w:rsidRPr="00F76831" w:rsidRDefault="00F76831" w:rsidP="00A83E9F">
            <w:pPr>
              <w:pStyle w:val="Tabletext"/>
              <w:spacing w:before="40" w:after="40"/>
              <w:jc w:val="center"/>
              <w:rPr>
                <w:lang w:eastAsia="en-NZ"/>
              </w:rPr>
            </w:pPr>
            <w:r w:rsidRPr="00F76831">
              <w:rPr>
                <w:lang w:eastAsia="en-NZ"/>
              </w:rPr>
              <w:t>8.6</w:t>
            </w:r>
          </w:p>
        </w:tc>
        <w:tc>
          <w:tcPr>
            <w:tcW w:w="1183" w:type="dxa"/>
            <w:tcBorders>
              <w:top w:val="nil"/>
              <w:left w:val="nil"/>
              <w:bottom w:val="nil"/>
              <w:right w:val="nil"/>
            </w:tcBorders>
            <w:shd w:val="clear" w:color="auto" w:fill="auto"/>
            <w:noWrap/>
          </w:tcPr>
          <w:p w:rsidR="00F76831" w:rsidRPr="00F76831" w:rsidRDefault="00F76831" w:rsidP="00A83E9F">
            <w:pPr>
              <w:pStyle w:val="Tabletext"/>
              <w:spacing w:before="40" w:after="40"/>
              <w:jc w:val="center"/>
              <w:rPr>
                <w:lang w:eastAsia="en-NZ"/>
              </w:rPr>
            </w:pPr>
            <w:r w:rsidRPr="00F76831">
              <w:rPr>
                <w:lang w:eastAsia="en-NZ"/>
              </w:rPr>
              <w:t>-13.93</w:t>
            </w:r>
          </w:p>
        </w:tc>
        <w:tc>
          <w:tcPr>
            <w:tcW w:w="1496" w:type="dxa"/>
            <w:tcBorders>
              <w:top w:val="nil"/>
              <w:left w:val="nil"/>
              <w:bottom w:val="nil"/>
              <w:right w:val="single" w:sz="4" w:space="0" w:color="auto"/>
            </w:tcBorders>
            <w:shd w:val="clear" w:color="auto" w:fill="auto"/>
            <w:noWrap/>
          </w:tcPr>
          <w:p w:rsidR="00F76831" w:rsidRPr="00F76831" w:rsidRDefault="00F76831" w:rsidP="00A83E9F">
            <w:pPr>
              <w:pStyle w:val="Tabletext"/>
              <w:spacing w:before="40" w:after="40"/>
              <w:jc w:val="center"/>
              <w:rPr>
                <w:lang w:eastAsia="en-NZ"/>
              </w:rPr>
            </w:pPr>
            <w:r w:rsidRPr="00F76831">
              <w:rPr>
                <w:lang w:eastAsia="en-NZ"/>
              </w:rPr>
              <w:t>50.1</w:t>
            </w:r>
          </w:p>
        </w:tc>
      </w:tr>
      <w:tr w:rsidR="00F76831" w:rsidRPr="00BB760C" w:rsidTr="00276850">
        <w:trPr>
          <w:trHeight w:val="300"/>
          <w:jc w:val="center"/>
        </w:trPr>
        <w:tc>
          <w:tcPr>
            <w:tcW w:w="458" w:type="dxa"/>
            <w:tcBorders>
              <w:top w:val="nil"/>
              <w:left w:val="single" w:sz="4" w:space="0" w:color="auto"/>
              <w:bottom w:val="nil"/>
              <w:right w:val="single" w:sz="4" w:space="0" w:color="auto"/>
            </w:tcBorders>
            <w:shd w:val="clear" w:color="auto" w:fill="auto"/>
            <w:noWrap/>
            <w:vAlign w:val="bottom"/>
          </w:tcPr>
          <w:p w:rsidR="00F76831" w:rsidRPr="00D879E5" w:rsidRDefault="00F76831" w:rsidP="00A83E9F">
            <w:pPr>
              <w:pStyle w:val="Tabletext"/>
              <w:spacing w:before="40" w:after="40"/>
              <w:jc w:val="center"/>
              <w:rPr>
                <w:lang w:eastAsia="en-NZ"/>
              </w:rPr>
            </w:pPr>
            <w:r w:rsidRPr="00D879E5">
              <w:rPr>
                <w:lang w:eastAsia="en-NZ"/>
              </w:rPr>
              <w:t>5</w:t>
            </w:r>
          </w:p>
        </w:tc>
        <w:tc>
          <w:tcPr>
            <w:tcW w:w="818" w:type="dxa"/>
            <w:tcBorders>
              <w:top w:val="nil"/>
              <w:left w:val="single" w:sz="4" w:space="0" w:color="auto"/>
              <w:bottom w:val="nil"/>
              <w:right w:val="nil"/>
            </w:tcBorders>
            <w:shd w:val="clear" w:color="auto" w:fill="auto"/>
            <w:noWrap/>
            <w:vAlign w:val="bottom"/>
          </w:tcPr>
          <w:p w:rsidR="00F76831" w:rsidRPr="00D879E5" w:rsidRDefault="00F76831" w:rsidP="00A83E9F">
            <w:pPr>
              <w:pStyle w:val="Tabletext"/>
              <w:spacing w:before="40" w:after="40"/>
              <w:jc w:val="center"/>
              <w:rPr>
                <w:lang w:eastAsia="en-NZ"/>
              </w:rPr>
            </w:pPr>
            <w:r>
              <w:rPr>
                <w:lang w:eastAsia="en-NZ"/>
              </w:rPr>
              <w:t>14</w:t>
            </w:r>
          </w:p>
        </w:tc>
        <w:tc>
          <w:tcPr>
            <w:tcW w:w="1312" w:type="dxa"/>
            <w:tcBorders>
              <w:top w:val="nil"/>
              <w:left w:val="nil"/>
              <w:bottom w:val="nil"/>
              <w:right w:val="nil"/>
            </w:tcBorders>
            <w:shd w:val="clear" w:color="auto" w:fill="auto"/>
            <w:noWrap/>
            <w:vAlign w:val="bottom"/>
          </w:tcPr>
          <w:p w:rsidR="00F76831" w:rsidRPr="00D879E5" w:rsidRDefault="00F76831" w:rsidP="00A83E9F">
            <w:pPr>
              <w:pStyle w:val="Tabletext"/>
              <w:spacing w:before="40" w:after="40"/>
              <w:jc w:val="center"/>
              <w:rPr>
                <w:lang w:eastAsia="en-NZ"/>
              </w:rPr>
            </w:pPr>
            <w:r>
              <w:rPr>
                <w:lang w:eastAsia="en-NZ"/>
              </w:rPr>
              <w:t>8.14</w:t>
            </w:r>
          </w:p>
        </w:tc>
        <w:tc>
          <w:tcPr>
            <w:tcW w:w="1603" w:type="dxa"/>
            <w:tcBorders>
              <w:top w:val="nil"/>
              <w:left w:val="nil"/>
              <w:bottom w:val="nil"/>
              <w:right w:val="nil"/>
            </w:tcBorders>
            <w:shd w:val="clear" w:color="auto" w:fill="auto"/>
            <w:noWrap/>
            <w:vAlign w:val="bottom"/>
          </w:tcPr>
          <w:p w:rsidR="00F76831" w:rsidRPr="00D879E5" w:rsidRDefault="00F76831" w:rsidP="00A83E9F">
            <w:pPr>
              <w:pStyle w:val="Tabletext"/>
              <w:spacing w:before="40" w:after="40"/>
              <w:jc w:val="center"/>
              <w:rPr>
                <w:lang w:eastAsia="en-NZ"/>
              </w:rPr>
            </w:pPr>
            <w:r>
              <w:rPr>
                <w:lang w:eastAsia="en-NZ"/>
              </w:rPr>
              <w:t>2</w:t>
            </w:r>
          </w:p>
        </w:tc>
        <w:tc>
          <w:tcPr>
            <w:tcW w:w="1227" w:type="dxa"/>
            <w:tcBorders>
              <w:top w:val="nil"/>
              <w:left w:val="nil"/>
              <w:bottom w:val="nil"/>
              <w:right w:val="nil"/>
            </w:tcBorders>
            <w:shd w:val="clear" w:color="auto" w:fill="auto"/>
            <w:noWrap/>
          </w:tcPr>
          <w:p w:rsidR="00F76831" w:rsidRPr="00F76831" w:rsidRDefault="00F76831" w:rsidP="00A83E9F">
            <w:pPr>
              <w:pStyle w:val="Tabletext"/>
              <w:spacing w:before="40" w:after="40"/>
              <w:jc w:val="center"/>
              <w:rPr>
                <w:lang w:eastAsia="en-NZ"/>
              </w:rPr>
            </w:pPr>
            <w:r w:rsidRPr="00F76831">
              <w:rPr>
                <w:lang w:eastAsia="en-NZ"/>
              </w:rPr>
              <w:t>4.28</w:t>
            </w:r>
          </w:p>
        </w:tc>
        <w:tc>
          <w:tcPr>
            <w:tcW w:w="1183" w:type="dxa"/>
            <w:tcBorders>
              <w:top w:val="nil"/>
              <w:left w:val="nil"/>
              <w:bottom w:val="nil"/>
              <w:right w:val="nil"/>
            </w:tcBorders>
            <w:shd w:val="clear" w:color="auto" w:fill="auto"/>
            <w:noWrap/>
          </w:tcPr>
          <w:p w:rsidR="00F76831" w:rsidRPr="00F76831" w:rsidRDefault="00F76831" w:rsidP="00A83E9F">
            <w:pPr>
              <w:pStyle w:val="Tabletext"/>
              <w:spacing w:before="40" w:after="40"/>
              <w:jc w:val="center"/>
              <w:rPr>
                <w:lang w:eastAsia="en-NZ"/>
              </w:rPr>
            </w:pPr>
            <w:r w:rsidRPr="00F76831">
              <w:rPr>
                <w:lang w:eastAsia="en-NZ"/>
              </w:rPr>
              <w:t>90.33</w:t>
            </w:r>
          </w:p>
        </w:tc>
        <w:tc>
          <w:tcPr>
            <w:tcW w:w="1496" w:type="dxa"/>
            <w:tcBorders>
              <w:top w:val="nil"/>
              <w:left w:val="nil"/>
              <w:bottom w:val="nil"/>
              <w:right w:val="single" w:sz="4" w:space="0" w:color="auto"/>
            </w:tcBorders>
            <w:shd w:val="clear" w:color="auto" w:fill="auto"/>
            <w:noWrap/>
          </w:tcPr>
          <w:p w:rsidR="00F76831" w:rsidRPr="00F76831" w:rsidRDefault="00F76831" w:rsidP="00A83E9F">
            <w:pPr>
              <w:pStyle w:val="Tabletext"/>
              <w:spacing w:before="40" w:after="40"/>
              <w:jc w:val="center"/>
              <w:rPr>
                <w:lang w:eastAsia="en-NZ"/>
              </w:rPr>
            </w:pPr>
            <w:r w:rsidRPr="00F76831">
              <w:rPr>
                <w:lang w:eastAsia="en-NZ"/>
              </w:rPr>
              <w:t>59.7</w:t>
            </w:r>
          </w:p>
        </w:tc>
      </w:tr>
      <w:tr w:rsidR="00F76831" w:rsidRPr="00BB760C" w:rsidTr="00276850">
        <w:trPr>
          <w:trHeight w:val="300"/>
          <w:jc w:val="center"/>
        </w:trPr>
        <w:tc>
          <w:tcPr>
            <w:tcW w:w="458" w:type="dxa"/>
            <w:tcBorders>
              <w:top w:val="nil"/>
              <w:left w:val="single" w:sz="4" w:space="0" w:color="auto"/>
              <w:bottom w:val="single" w:sz="4" w:space="0" w:color="auto"/>
              <w:right w:val="single" w:sz="4" w:space="0" w:color="auto"/>
            </w:tcBorders>
            <w:shd w:val="clear" w:color="auto" w:fill="auto"/>
            <w:noWrap/>
            <w:vAlign w:val="bottom"/>
          </w:tcPr>
          <w:p w:rsidR="00F76831" w:rsidRPr="00D879E5" w:rsidRDefault="00F76831" w:rsidP="00A83E9F">
            <w:pPr>
              <w:pStyle w:val="Tabletext"/>
              <w:spacing w:before="40" w:after="40"/>
              <w:jc w:val="center"/>
              <w:rPr>
                <w:lang w:eastAsia="en-NZ"/>
              </w:rPr>
            </w:pPr>
            <w:r w:rsidRPr="00D879E5">
              <w:rPr>
                <w:lang w:eastAsia="en-NZ"/>
              </w:rPr>
              <w:t>6</w:t>
            </w:r>
          </w:p>
        </w:tc>
        <w:tc>
          <w:tcPr>
            <w:tcW w:w="818" w:type="dxa"/>
            <w:tcBorders>
              <w:top w:val="nil"/>
              <w:left w:val="single" w:sz="4" w:space="0" w:color="auto"/>
              <w:bottom w:val="single" w:sz="4" w:space="0" w:color="auto"/>
              <w:right w:val="nil"/>
            </w:tcBorders>
            <w:shd w:val="clear" w:color="auto" w:fill="auto"/>
            <w:noWrap/>
            <w:vAlign w:val="bottom"/>
          </w:tcPr>
          <w:p w:rsidR="00F76831" w:rsidRPr="00D879E5" w:rsidRDefault="00F76831" w:rsidP="00A83E9F">
            <w:pPr>
              <w:pStyle w:val="Tabletext"/>
              <w:spacing w:before="40" w:after="40"/>
              <w:jc w:val="center"/>
              <w:rPr>
                <w:lang w:eastAsia="en-NZ"/>
              </w:rPr>
            </w:pPr>
            <w:r>
              <w:rPr>
                <w:lang w:eastAsia="en-NZ"/>
              </w:rPr>
              <w:t>15</w:t>
            </w:r>
          </w:p>
        </w:tc>
        <w:tc>
          <w:tcPr>
            <w:tcW w:w="1312" w:type="dxa"/>
            <w:tcBorders>
              <w:top w:val="nil"/>
              <w:left w:val="nil"/>
              <w:bottom w:val="single" w:sz="4" w:space="0" w:color="auto"/>
              <w:right w:val="nil"/>
            </w:tcBorders>
            <w:shd w:val="clear" w:color="auto" w:fill="auto"/>
            <w:noWrap/>
            <w:vAlign w:val="bottom"/>
          </w:tcPr>
          <w:p w:rsidR="00F76831" w:rsidRPr="00D879E5" w:rsidRDefault="00F76831" w:rsidP="00A83E9F">
            <w:pPr>
              <w:pStyle w:val="Tabletext"/>
              <w:spacing w:before="40" w:after="40"/>
              <w:jc w:val="center"/>
              <w:rPr>
                <w:lang w:eastAsia="en-NZ"/>
              </w:rPr>
            </w:pPr>
            <w:r>
              <w:rPr>
                <w:lang w:eastAsia="en-NZ"/>
              </w:rPr>
              <w:t>8.24</w:t>
            </w:r>
          </w:p>
        </w:tc>
        <w:tc>
          <w:tcPr>
            <w:tcW w:w="1603" w:type="dxa"/>
            <w:tcBorders>
              <w:top w:val="nil"/>
              <w:left w:val="nil"/>
              <w:bottom w:val="single" w:sz="4" w:space="0" w:color="auto"/>
              <w:right w:val="nil"/>
            </w:tcBorders>
            <w:shd w:val="clear" w:color="auto" w:fill="auto"/>
            <w:noWrap/>
            <w:vAlign w:val="bottom"/>
          </w:tcPr>
          <w:p w:rsidR="00F76831" w:rsidRPr="00D879E5" w:rsidRDefault="00F76831" w:rsidP="00A83E9F">
            <w:pPr>
              <w:pStyle w:val="Tabletext"/>
              <w:spacing w:before="40" w:after="40"/>
              <w:jc w:val="center"/>
              <w:rPr>
                <w:lang w:eastAsia="en-NZ"/>
              </w:rPr>
            </w:pPr>
            <w:r>
              <w:rPr>
                <w:lang w:eastAsia="en-NZ"/>
              </w:rPr>
              <w:t>6</w:t>
            </w:r>
          </w:p>
        </w:tc>
        <w:tc>
          <w:tcPr>
            <w:tcW w:w="1227" w:type="dxa"/>
            <w:tcBorders>
              <w:top w:val="nil"/>
              <w:left w:val="nil"/>
              <w:bottom w:val="single" w:sz="4" w:space="0" w:color="auto"/>
              <w:right w:val="nil"/>
            </w:tcBorders>
            <w:shd w:val="clear" w:color="auto" w:fill="auto"/>
            <w:noWrap/>
          </w:tcPr>
          <w:p w:rsidR="00F76831" w:rsidRPr="00F76831" w:rsidRDefault="00F76831" w:rsidP="00A83E9F">
            <w:pPr>
              <w:pStyle w:val="Tabletext"/>
              <w:spacing w:before="40" w:after="40"/>
              <w:jc w:val="center"/>
              <w:rPr>
                <w:lang w:eastAsia="en-NZ"/>
              </w:rPr>
            </w:pPr>
            <w:r w:rsidRPr="00F76831">
              <w:rPr>
                <w:lang w:eastAsia="en-NZ"/>
              </w:rPr>
              <w:t>14.66</w:t>
            </w:r>
          </w:p>
        </w:tc>
        <w:tc>
          <w:tcPr>
            <w:tcW w:w="1183" w:type="dxa"/>
            <w:tcBorders>
              <w:top w:val="nil"/>
              <w:left w:val="nil"/>
              <w:bottom w:val="single" w:sz="4" w:space="0" w:color="auto"/>
              <w:right w:val="nil"/>
            </w:tcBorders>
            <w:shd w:val="clear" w:color="auto" w:fill="auto"/>
            <w:noWrap/>
          </w:tcPr>
          <w:p w:rsidR="00F76831" w:rsidRPr="00F76831" w:rsidRDefault="00F76831" w:rsidP="00A83E9F">
            <w:pPr>
              <w:pStyle w:val="Tabletext"/>
              <w:spacing w:before="40" w:after="40"/>
              <w:jc w:val="center"/>
              <w:rPr>
                <w:lang w:eastAsia="en-NZ"/>
              </w:rPr>
            </w:pPr>
            <w:r w:rsidRPr="00F76831">
              <w:rPr>
                <w:lang w:eastAsia="en-NZ"/>
              </w:rPr>
              <w:t>-43.8</w:t>
            </w:r>
          </w:p>
        </w:tc>
        <w:tc>
          <w:tcPr>
            <w:tcW w:w="1496" w:type="dxa"/>
            <w:tcBorders>
              <w:top w:val="nil"/>
              <w:left w:val="nil"/>
              <w:bottom w:val="single" w:sz="4" w:space="0" w:color="auto"/>
              <w:right w:val="single" w:sz="4" w:space="0" w:color="auto"/>
            </w:tcBorders>
            <w:shd w:val="clear" w:color="auto" w:fill="auto"/>
            <w:noWrap/>
          </w:tcPr>
          <w:p w:rsidR="00F76831" w:rsidRPr="00F76831" w:rsidRDefault="00F76831" w:rsidP="00A83E9F">
            <w:pPr>
              <w:pStyle w:val="Tabletext"/>
              <w:spacing w:before="40" w:after="40"/>
              <w:jc w:val="center"/>
              <w:rPr>
                <w:lang w:eastAsia="en-NZ"/>
              </w:rPr>
            </w:pPr>
            <w:r w:rsidRPr="00F76831">
              <w:rPr>
                <w:lang w:eastAsia="en-NZ"/>
              </w:rPr>
              <w:t>90.1</w:t>
            </w:r>
          </w:p>
        </w:tc>
      </w:tr>
    </w:tbl>
    <w:p w:rsidR="00F50FEB" w:rsidRPr="00F50FEB" w:rsidRDefault="00F50FEB" w:rsidP="00F50FEB">
      <w:pPr>
        <w:pStyle w:val="Heading2"/>
        <w:spacing w:before="120"/>
        <w:rPr>
          <w:b/>
          <w:bCs/>
          <w:i w:val="0"/>
        </w:rPr>
      </w:pPr>
      <w:bookmarkStart w:id="3" w:name="_Ref304324740"/>
      <w:r w:rsidRPr="00F50FEB">
        <w:rPr>
          <w:b/>
          <w:bCs/>
          <w:i w:val="0"/>
        </w:rPr>
        <w:t>Sensitivity</w:t>
      </w:r>
    </w:p>
    <w:p w:rsidR="004E2061" w:rsidRDefault="006477B3" w:rsidP="009B2875">
      <w:r>
        <w:t>Eleven parameters were chosen for the sensitivity analysis</w:t>
      </w:r>
      <w:r w:rsidR="00FD3A38">
        <w:t xml:space="preserve">. </w:t>
      </w:r>
      <w:r w:rsidR="009B2875">
        <w:t>The differential method was used to calculate the sensitivities</w:t>
      </w:r>
      <w:r w:rsidR="00B71F9C">
        <w:t xml:space="preserve"> of natural frequencies to structural parameters</w:t>
      </w:r>
      <w:r w:rsidR="009B2875">
        <w:t>. Normalised relative sensitivities were used so that comparison was possible between the different types of parameters</w:t>
      </w:r>
      <w:r w:rsidR="00A06C4E">
        <w:t xml:space="preserve">. </w:t>
      </w:r>
      <w:r w:rsidR="009B2875">
        <w:t>A normalised sensitivity represents the percenta</w:t>
      </w:r>
      <w:r w:rsidR="00D93665">
        <w:t>ge change of a response for a 1</w:t>
      </w:r>
      <w:r w:rsidR="009B2875">
        <w:t xml:space="preserve">% change in the parameter value </w:t>
      </w:r>
      <w:r w:rsidR="0074688E">
        <w:fldChar w:fldCharType="begin"/>
      </w:r>
      <w:r w:rsidR="009B2875">
        <w:instrText xml:space="preserve"> ADDIN EN.CITE &lt;EndNote&gt;&lt;Cite&gt;&lt;Author&gt;Dynamic Design Solutions&lt;/Author&gt;&lt;Year&gt;2008&lt;/Year&gt;&lt;RecNum&gt;1045&lt;/RecNum&gt;&lt;DisplayText&gt;(Dynamic Design Solutions, 2008)&lt;/DisplayText&gt;&lt;record&gt;&lt;rec-number&gt;1045&lt;/rec-number&gt;&lt;foreign-keys&gt;&lt;key app="EN" db-id="fvwv0zxp69wdpfe92at522rrv5dp9fastvta"&gt;1045&lt;/key&gt;&lt;/foreign-keys&gt;&lt;ref-type name="Generic"&gt;13&lt;/ref-type&gt;&lt;contributors&gt;&lt;authors&gt;&lt;author&gt;Dynamic Design Solutions,&lt;/author&gt;&lt;/authors&gt;&lt;/contributors&gt;&lt;titles&gt;&lt;title&gt;FEMtools Model Updating Theoretical Manual. Version 3.3&lt;/title&gt;&lt;/titles&gt;&lt;dates&gt;&lt;year&gt;2008&lt;/year&gt;&lt;/dates&gt;&lt;pub-location&gt;Leuven, Belgium&lt;/pub-location&gt;&lt;urls&gt;&lt;/urls&gt;&lt;/record&gt;&lt;/Cite&gt;&lt;/EndNote&gt;</w:instrText>
      </w:r>
      <w:r w:rsidR="0074688E">
        <w:fldChar w:fldCharType="separate"/>
      </w:r>
      <w:r w:rsidR="009B2875">
        <w:rPr>
          <w:noProof/>
        </w:rPr>
        <w:t>(</w:t>
      </w:r>
      <w:hyperlink w:anchor="_ENREF_2" w:tooltip="Dynamic Design Solutions, 2008 #1045" w:history="1">
        <w:r w:rsidR="008722FF">
          <w:rPr>
            <w:noProof/>
          </w:rPr>
          <w:t>Dynamic Design Solutions 2008</w:t>
        </w:r>
      </w:hyperlink>
      <w:r w:rsidR="009B2875">
        <w:rPr>
          <w:noProof/>
        </w:rPr>
        <w:t>)</w:t>
      </w:r>
      <w:r w:rsidR="0074688E">
        <w:fldChar w:fldCharType="end"/>
      </w:r>
      <w:r w:rsidR="00FD3A38">
        <w:t xml:space="preserve">. </w:t>
      </w:r>
      <w:r w:rsidR="00FB1A79">
        <w:t xml:space="preserve">Six </w:t>
      </w:r>
      <w:r w:rsidR="00B71F9C">
        <w:t>parameters</w:t>
      </w:r>
      <w:r w:rsidR="00FB1A79">
        <w:t xml:space="preserve"> were found to </w:t>
      </w:r>
      <w:r w:rsidR="00B71F9C">
        <w:t>give large</w:t>
      </w:r>
      <w:r w:rsidR="00FB1A79">
        <w:t xml:space="preserve"> sensitiv</w:t>
      </w:r>
      <w:r w:rsidR="00B71F9C">
        <w:t>ity</w:t>
      </w:r>
      <w:r w:rsidR="00FB1A79">
        <w:t xml:space="preserve">, these </w:t>
      </w:r>
      <w:r>
        <w:t>were the</w:t>
      </w:r>
      <w:r w:rsidR="00D93665">
        <w:t>:</w:t>
      </w:r>
      <w:r>
        <w:t xml:space="preserve"> Young’s modulus of </w:t>
      </w:r>
      <w:r w:rsidR="00B71F9C">
        <w:t>c</w:t>
      </w:r>
      <w:r>
        <w:t xml:space="preserve">oncrete, LVL and </w:t>
      </w:r>
      <w:r w:rsidR="00B71F9C">
        <w:t>c</w:t>
      </w:r>
      <w:r>
        <w:t>ladding</w:t>
      </w:r>
      <w:r w:rsidR="00B71F9C">
        <w:t>,</w:t>
      </w:r>
      <w:r>
        <w:t xml:space="preserve"> as well as the </w:t>
      </w:r>
      <w:r w:rsidR="00B71F9C">
        <w:t>non-structural floor mass,</w:t>
      </w:r>
      <w:r>
        <w:t xml:space="preserve"> and the </w:t>
      </w:r>
      <w:proofErr w:type="spellStart"/>
      <w:r>
        <w:t>Iz</w:t>
      </w:r>
      <w:proofErr w:type="spellEnd"/>
      <w:r>
        <w:t xml:space="preserve"> value of the</w:t>
      </w:r>
      <w:r w:rsidR="00FB1A79">
        <w:t xml:space="preserve"> two</w:t>
      </w:r>
      <w:r>
        <w:t xml:space="preserve"> main beams. </w:t>
      </w:r>
      <w:r w:rsidR="004E2061">
        <w:t xml:space="preserve">However, because there were only two experimental mode shapes </w:t>
      </w:r>
      <w:r w:rsidR="0040408B">
        <w:t>that could be used for updating</w:t>
      </w:r>
      <w:r w:rsidR="009260EE">
        <w:t>,</w:t>
      </w:r>
      <w:r w:rsidR="004E2061">
        <w:t xml:space="preserve"> only four responses (two natural frequencies and two MAC values) could be used </w:t>
      </w:r>
      <w:r w:rsidR="009260EE">
        <w:t>for updating</w:t>
      </w:r>
      <w:r w:rsidR="00A06C4E">
        <w:t xml:space="preserve">. </w:t>
      </w:r>
      <w:r w:rsidR="009260EE">
        <w:t xml:space="preserve">In order </w:t>
      </w:r>
      <w:r w:rsidR="00D13F26">
        <w:t xml:space="preserve">to </w:t>
      </w:r>
      <w:r w:rsidR="00BE0A64">
        <w:t>have confidence</w:t>
      </w:r>
      <w:r w:rsidR="00D13F26">
        <w:t xml:space="preserve"> with the updating results</w:t>
      </w:r>
      <w:r w:rsidR="009260EE">
        <w:t xml:space="preserve"> </w:t>
      </w:r>
      <w:r w:rsidR="00FB1A79">
        <w:t xml:space="preserve">it was decided to </w:t>
      </w:r>
      <w:r w:rsidR="00BE0A64">
        <w:t>use</w:t>
      </w:r>
      <w:r w:rsidR="00FB1A79">
        <w:t xml:space="preserve"> more</w:t>
      </w:r>
      <w:r w:rsidR="009260EE">
        <w:t xml:space="preserve"> responses than the number of parameters updated</w:t>
      </w:r>
      <w:r w:rsidR="00BE0A64">
        <w:t xml:space="preserve"> to when performing the model updating. Hence, three parameters would need to be </w:t>
      </w:r>
      <w:r w:rsidR="0040408B">
        <w:t>eliminated</w:t>
      </w:r>
      <w:r w:rsidR="00BE0A64">
        <w:t>.</w:t>
      </w:r>
    </w:p>
    <w:p w:rsidR="00BE0A64" w:rsidRDefault="0040408B" w:rsidP="00BE0A64">
      <w:r>
        <w:lastRenderedPageBreak/>
        <w:t>Firstly, i</w:t>
      </w:r>
      <w:r w:rsidR="00086F3B">
        <w:t>nitial attempts</w:t>
      </w:r>
      <w:r w:rsidR="004E2061">
        <w:t xml:space="preserve"> </w:t>
      </w:r>
      <w:r w:rsidR="00BE0A64">
        <w:t xml:space="preserve">were made to update </w:t>
      </w:r>
      <w:r w:rsidR="004E2061">
        <w:t>the non-structural mass on the flooring</w:t>
      </w:r>
      <w:r w:rsidR="00A06C4E">
        <w:t xml:space="preserve">. </w:t>
      </w:r>
      <w:r w:rsidR="00BE0A64">
        <w:t>This was to</w:t>
      </w:r>
      <w:r w:rsidR="004E2061">
        <w:t xml:space="preserve"> assess if </w:t>
      </w:r>
      <w:r w:rsidR="00BE0A64">
        <w:t xml:space="preserve">it were possible for </w:t>
      </w:r>
      <w:r w:rsidR="004E2061">
        <w:t>an increase in mass to caus</w:t>
      </w:r>
      <w:r w:rsidR="00BE0A64">
        <w:t>e</w:t>
      </w:r>
      <w:r w:rsidR="004E2061">
        <w:t xml:space="preserve"> the difference in natural frequencies</w:t>
      </w:r>
      <w:r w:rsidR="00A06C4E">
        <w:t xml:space="preserve">. </w:t>
      </w:r>
      <w:r w:rsidR="00BE0A64">
        <w:t>I</w:t>
      </w:r>
      <w:r w:rsidR="004E2061">
        <w:t>t was found</w:t>
      </w:r>
      <w:r w:rsidR="00BE0A64">
        <w:t xml:space="preserve"> however,</w:t>
      </w:r>
      <w:r w:rsidR="004E2061">
        <w:t xml:space="preserve"> that </w:t>
      </w:r>
      <w:r w:rsidR="00BE0A64">
        <w:t>this</w:t>
      </w:r>
      <w:r w:rsidR="004E2061">
        <w:t xml:space="preserve"> was not </w:t>
      </w:r>
      <w:r w:rsidR="00BE0A64">
        <w:t xml:space="preserve">plausible thus, the </w:t>
      </w:r>
      <w:r w:rsidR="00B71F9C">
        <w:t>mass</w:t>
      </w:r>
      <w:r w:rsidR="00BE0A64">
        <w:t xml:space="preserve"> </w:t>
      </w:r>
      <w:r>
        <w:t>was</w:t>
      </w:r>
      <w:r w:rsidR="00BE0A64">
        <w:t xml:space="preserve"> ruled out</w:t>
      </w:r>
      <w:r>
        <w:t xml:space="preserve"> as a</w:t>
      </w:r>
      <w:r w:rsidR="00B71F9C">
        <w:t>n updating</w:t>
      </w:r>
      <w:r>
        <w:t xml:space="preserve"> parameter</w:t>
      </w:r>
      <w:r w:rsidR="00BE0A64">
        <w:t xml:space="preserve">.  </w:t>
      </w:r>
      <w:r>
        <w:t>Lastly,</w:t>
      </w:r>
      <w:r w:rsidR="00BE0A64">
        <w:t xml:space="preserve"> the </w:t>
      </w:r>
      <w:proofErr w:type="spellStart"/>
      <w:r w:rsidR="00BE0A64">
        <w:t>Iz</w:t>
      </w:r>
      <w:proofErr w:type="spellEnd"/>
      <w:r w:rsidR="00BE0A64">
        <w:t xml:space="preserve"> values were ruled out</w:t>
      </w:r>
      <w:r>
        <w:t>. This is</w:t>
      </w:r>
      <w:r w:rsidR="00BE0A64">
        <w:t xml:space="preserve"> because when </w:t>
      </w:r>
      <w:r w:rsidR="00D93665">
        <w:t>u</w:t>
      </w:r>
      <w:r w:rsidR="004E2061">
        <w:t xml:space="preserve">pdating to the </w:t>
      </w:r>
      <w:r w:rsidR="00BE0A64">
        <w:t>E</w:t>
      </w:r>
      <w:r w:rsidR="004E2061">
        <w:t xml:space="preserve"> and the </w:t>
      </w:r>
      <w:proofErr w:type="spellStart"/>
      <w:r w:rsidR="004E2061">
        <w:t>Iz</w:t>
      </w:r>
      <w:proofErr w:type="spellEnd"/>
      <w:r w:rsidR="004E2061">
        <w:t xml:space="preserve"> </w:t>
      </w:r>
      <w:r w:rsidR="00B71F9C">
        <w:t>at</w:t>
      </w:r>
      <w:r w:rsidR="004E2061">
        <w:t xml:space="preserve"> </w:t>
      </w:r>
      <w:r>
        <w:t>the same</w:t>
      </w:r>
      <w:r w:rsidR="00B71F9C">
        <w:t xml:space="preserve"> time</w:t>
      </w:r>
      <w:r>
        <w:t xml:space="preserve">, </w:t>
      </w:r>
      <w:r w:rsidR="00321313">
        <w:t>a</w:t>
      </w:r>
      <w:r w:rsidR="004E2061">
        <w:t xml:space="preserve">n increase in the </w:t>
      </w:r>
      <w:proofErr w:type="spellStart"/>
      <w:r w:rsidR="004E2061">
        <w:t>Iz</w:t>
      </w:r>
      <w:proofErr w:type="spellEnd"/>
      <w:r w:rsidR="004E2061">
        <w:t xml:space="preserve"> </w:t>
      </w:r>
      <w:r w:rsidR="00321313">
        <w:t xml:space="preserve">value and a decrease in the E value </w:t>
      </w:r>
      <w:r w:rsidR="004E2061">
        <w:t>can</w:t>
      </w:r>
      <w:r w:rsidR="00321313">
        <w:t xml:space="preserve"> effectively cause no change in the natural frequency of the model</w:t>
      </w:r>
      <w:r w:rsidR="00A06C4E">
        <w:t xml:space="preserve">. </w:t>
      </w:r>
      <w:r w:rsidR="00B71F9C">
        <w:t>In such a case,</w:t>
      </w:r>
      <w:r w:rsidR="00321313">
        <w:t xml:space="preserve"> rather than</w:t>
      </w:r>
      <w:r w:rsidR="004E2061">
        <w:t xml:space="preserve"> one single</w:t>
      </w:r>
      <w:r w:rsidR="008C7BF5">
        <w:t xml:space="preserve"> solution</w:t>
      </w:r>
      <w:r w:rsidR="00BE0A64">
        <w:t>,</w:t>
      </w:r>
      <w:r w:rsidR="004E2061">
        <w:t xml:space="preserve"> a range of solutions </w:t>
      </w:r>
      <w:r w:rsidR="008C7BF5">
        <w:t>are</w:t>
      </w:r>
      <w:r w:rsidR="004E2061">
        <w:t xml:space="preserve"> possible</w:t>
      </w:r>
      <w:r w:rsidR="00A06C4E">
        <w:t xml:space="preserve">. </w:t>
      </w:r>
      <w:r w:rsidR="00321313">
        <w:t xml:space="preserve">Because the E of LVL </w:t>
      </w:r>
      <w:r>
        <w:t>was</w:t>
      </w:r>
      <w:r w:rsidR="00321313">
        <w:t xml:space="preserve"> spread evenly throughout the building </w:t>
      </w:r>
      <w:proofErr w:type="gramStart"/>
      <w:r w:rsidR="00321313">
        <w:t>is was</w:t>
      </w:r>
      <w:proofErr w:type="gramEnd"/>
      <w:r w:rsidR="00321313">
        <w:t xml:space="preserve"> chosen to discard </w:t>
      </w:r>
      <w:r w:rsidR="00D93665">
        <w:t xml:space="preserve">the </w:t>
      </w:r>
      <w:proofErr w:type="spellStart"/>
      <w:r w:rsidR="00D93665">
        <w:t>Iz</w:t>
      </w:r>
      <w:proofErr w:type="spellEnd"/>
      <w:r w:rsidR="00D93665">
        <w:t xml:space="preserve"> values</w:t>
      </w:r>
      <w:r w:rsidR="00BE0A64">
        <w:t>.</w:t>
      </w:r>
    </w:p>
    <w:p w:rsidR="009B2875" w:rsidRPr="00BE0A64" w:rsidRDefault="009B2875" w:rsidP="00BE0A64">
      <w:pPr>
        <w:pStyle w:val="Heading2"/>
        <w:spacing w:before="120"/>
        <w:rPr>
          <w:b/>
          <w:bCs/>
          <w:i w:val="0"/>
        </w:rPr>
      </w:pPr>
      <w:r w:rsidRPr="00BE0A64">
        <w:rPr>
          <w:b/>
          <w:bCs/>
          <w:i w:val="0"/>
        </w:rPr>
        <w:t>Updating in FEMtools</w:t>
      </w:r>
    </w:p>
    <w:bookmarkEnd w:id="3"/>
    <w:p w:rsidR="009B2875" w:rsidRDefault="009B2875" w:rsidP="009B2875">
      <w:r>
        <w:t>Iterative</w:t>
      </w:r>
      <w:r w:rsidR="00726CF1">
        <w:t xml:space="preserve"> </w:t>
      </w:r>
      <w:r>
        <w:t>sensitivity</w:t>
      </w:r>
      <w:r w:rsidR="00726CF1">
        <w:t>-based</w:t>
      </w:r>
      <w:r>
        <w:t xml:space="preserve"> updating was performed on both sets of experimental data</w:t>
      </w:r>
      <w:r w:rsidR="00A06C4E">
        <w:t xml:space="preserve">. </w:t>
      </w:r>
      <w:r>
        <w:t xml:space="preserve">The </w:t>
      </w:r>
      <w:r w:rsidR="00B71F9C">
        <w:t>error function</w:t>
      </w:r>
      <w:r>
        <w:t xml:space="preserve"> selected was the weighted absolute relative difference (CCABS) between resonance frequencies</w:t>
      </w:r>
      <w:r w:rsidR="00A06C4E">
        <w:t xml:space="preserve">. </w:t>
      </w:r>
      <w:r>
        <w:t xml:space="preserve">The CCABS is calculated in FEMtools based on equation (4) </w:t>
      </w:r>
      <w:r w:rsidR="0074688E">
        <w:fldChar w:fldCharType="begin"/>
      </w:r>
      <w:r>
        <w:instrText xml:space="preserve"> ADDIN EN.CITE &lt;EndNote&gt;&lt;Cite&gt;&lt;Author&gt;Dynamic Design Solutions&lt;/Author&gt;&lt;Year&gt;2008&lt;/Year&gt;&lt;RecNum&gt;1045&lt;/RecNum&gt;&lt;DisplayText&gt;(Dynamic Design Solutions, 2008)&lt;/DisplayText&gt;&lt;record&gt;&lt;rec-number&gt;1045&lt;/rec-number&gt;&lt;foreign-keys&gt;&lt;key app="EN" db-id="fvwv0zxp69wdpfe92at522rrv5dp9fastvta"&gt;1045&lt;/key&gt;&lt;/foreign-keys&gt;&lt;ref-type name="Generic"&gt;13&lt;/ref-type&gt;&lt;contributors&gt;&lt;authors&gt;&lt;author&gt;Dynamic Design Solutions,&lt;/author&gt;&lt;/authors&gt;&lt;/contributors&gt;&lt;titles&gt;&lt;title&gt;FEMtools Model Updating Theoretical Manual. Version 3.3&lt;/title&gt;&lt;/titles&gt;&lt;dates&gt;&lt;year&gt;2008&lt;/year&gt;&lt;/dates&gt;&lt;pub-location&gt;Leuven, Belgium&lt;/pub-location&gt;&lt;urls&gt;&lt;/urls&gt;&lt;/record&gt;&lt;/Cite&gt;&lt;/EndNote&gt;</w:instrText>
      </w:r>
      <w:r w:rsidR="0074688E">
        <w:fldChar w:fldCharType="separate"/>
      </w:r>
      <w:r>
        <w:rPr>
          <w:noProof/>
        </w:rPr>
        <w:t>(</w:t>
      </w:r>
      <w:hyperlink w:anchor="_ENREF_2" w:tooltip="Dynamic Design Solutions, 2008 #1045" w:history="1">
        <w:r w:rsidR="008722FF">
          <w:rPr>
            <w:noProof/>
          </w:rPr>
          <w:t>Dynamic Design Solutions 2008</w:t>
        </w:r>
      </w:hyperlink>
      <w:r>
        <w:rPr>
          <w:noProof/>
        </w:rPr>
        <w:t>)</w:t>
      </w:r>
      <w:r w:rsidR="0074688E">
        <w:fldChar w:fldCharType="end"/>
      </w:r>
      <w:r>
        <w:t>.</w:t>
      </w:r>
      <w:r w:rsidR="00C1101B" w:rsidRPr="00C1101B">
        <w:t xml:space="preserve"> </w:t>
      </w:r>
      <w:r w:rsidR="00C1101B">
        <w:t>Automatic updating was set to stop when: the CCABS error was below 1%; the change in the CCABS was less than 0.1%; or when the number of iterations reached 20</w:t>
      </w:r>
      <w:r w:rsidR="00FD3A38">
        <w:t xml:space="preserve">. </w:t>
      </w:r>
      <w:r w:rsidR="00C95DE9">
        <w:t xml:space="preserve">The initial CCABS </w:t>
      </w:r>
      <w:r w:rsidR="00377840">
        <w:t xml:space="preserve">value </w:t>
      </w:r>
      <w:r w:rsidR="00C95DE9">
        <w:t xml:space="preserve">was </w:t>
      </w:r>
      <w:r w:rsidR="00377840">
        <w:t xml:space="preserve">equal </w:t>
      </w:r>
      <w:r w:rsidR="0040408B">
        <w:t>19.1%.</w:t>
      </w:r>
    </w:p>
    <w:p w:rsidR="009B2875" w:rsidRDefault="00F06A6F" w:rsidP="00C1101B">
      <w:pPr>
        <w:pStyle w:val="Equation"/>
      </w:pPr>
      <w:r w:rsidRPr="00CF5EFE">
        <w:object w:dxaOrig="2420" w:dyaOrig="740">
          <v:shape id="_x0000_i1029" type="#_x0000_t75" style="width:107.2pt;height:33.2pt;mso-position-horizontal:absolute" o:ole="">
            <v:imagedata r:id="rId19" o:title=""/>
          </v:shape>
          <o:OLEObject Type="Embed" ProgID="Equation.3" ShapeID="_x0000_i1029" DrawAspect="Content" ObjectID="_1492489277" r:id="rId20"/>
        </w:object>
      </w:r>
      <w:r w:rsidR="009B2875">
        <w:tab/>
        <w:t>(4)</w:t>
      </w:r>
    </w:p>
    <w:p w:rsidR="009B2875" w:rsidRDefault="00C1101B" w:rsidP="00FF1211">
      <w:proofErr w:type="gramStart"/>
      <w:r>
        <w:t>w</w:t>
      </w:r>
      <w:r w:rsidR="009B2875">
        <w:t>here</w:t>
      </w:r>
      <w:proofErr w:type="gramEnd"/>
      <w:r w:rsidR="009B2875">
        <w:t xml:space="preserve">: </w:t>
      </w:r>
      <w:r w:rsidR="009B2875">
        <w:tab/>
        <w:t>N</w:t>
      </w:r>
      <w:r w:rsidR="009B2875">
        <w:tab/>
        <w:t xml:space="preserve">= </w:t>
      </w:r>
      <w:r w:rsidR="009B2875">
        <w:tab/>
      </w:r>
      <w:r w:rsidR="0040408B">
        <w:t xml:space="preserve">total </w:t>
      </w:r>
      <w:r w:rsidR="009B2875">
        <w:t>number modes selected</w:t>
      </w:r>
      <w:r w:rsidR="008C7BF5">
        <w:t xml:space="preserve">; </w:t>
      </w:r>
      <w:proofErr w:type="spellStart"/>
      <w:r w:rsidR="008C7BF5">
        <w:t>i</w:t>
      </w:r>
      <w:proofErr w:type="spellEnd"/>
      <w:r w:rsidR="008C7BF5">
        <w:t xml:space="preserve"> = </w:t>
      </w:r>
      <w:proofErr w:type="spellStart"/>
      <w:r w:rsidR="009B2875">
        <w:t>i</w:t>
      </w:r>
      <w:r w:rsidR="009B2875" w:rsidRPr="000B45DE">
        <w:rPr>
          <w:vertAlign w:val="superscript"/>
        </w:rPr>
        <w:t>th</w:t>
      </w:r>
      <w:proofErr w:type="spellEnd"/>
      <w:r w:rsidR="009B2875">
        <w:t xml:space="preserve"> mode</w:t>
      </w:r>
      <w:r w:rsidR="00377840">
        <w:t xml:space="preserve">; </w:t>
      </w:r>
      <w:r w:rsidR="00377840">
        <w:rPr>
          <w:rFonts w:ascii="Symbol" w:hAnsi="Symbol"/>
        </w:rPr>
        <w:t></w:t>
      </w:r>
      <w:r w:rsidR="00377840">
        <w:t>f</w:t>
      </w:r>
      <w:r w:rsidR="00377840">
        <w:softHyphen/>
      </w:r>
      <w:r w:rsidR="00377840">
        <w:rPr>
          <w:vertAlign w:val="subscript"/>
        </w:rPr>
        <w:t>i</w:t>
      </w:r>
      <w:r w:rsidR="00377840">
        <w:t xml:space="preserve"> </w:t>
      </w:r>
      <w:r w:rsidR="008C7BF5">
        <w:t xml:space="preserve">= </w:t>
      </w:r>
      <w:r w:rsidR="00B71F9C">
        <w:t>FE model</w:t>
      </w:r>
      <w:r w:rsidR="009B2875">
        <w:t xml:space="preserve"> frequency for mode </w:t>
      </w:r>
      <w:proofErr w:type="spellStart"/>
      <w:r w:rsidR="009B2875">
        <w:t>i</w:t>
      </w:r>
      <w:proofErr w:type="spellEnd"/>
      <w:r w:rsidR="008C7BF5">
        <w:t xml:space="preserve">; </w:t>
      </w:r>
      <w:r w:rsidR="00377840">
        <w:rPr>
          <w:rFonts w:ascii="Symbol" w:hAnsi="Symbol"/>
        </w:rPr>
        <w:t></w:t>
      </w:r>
      <w:r w:rsidR="00377840">
        <w:t>f</w:t>
      </w:r>
      <w:r w:rsidR="00377840">
        <w:rPr>
          <w:vertAlign w:val="subscript"/>
        </w:rPr>
        <w:t>i</w:t>
      </w:r>
      <w:r w:rsidR="008C7BF5">
        <w:t xml:space="preserve"> </w:t>
      </w:r>
      <w:r w:rsidR="009B2875">
        <w:t>=</w:t>
      </w:r>
      <w:r w:rsidR="008C7BF5">
        <w:t xml:space="preserve"> </w:t>
      </w:r>
      <w:r w:rsidR="009B2875">
        <w:t>dif</w:t>
      </w:r>
      <w:r w:rsidR="008C7BF5">
        <w:t xml:space="preserve">ference between </w:t>
      </w:r>
      <w:r w:rsidR="00B71F9C">
        <w:t>FE</w:t>
      </w:r>
      <w:r w:rsidR="008C7BF5">
        <w:t xml:space="preserve"> and </w:t>
      </w:r>
      <w:r w:rsidR="009B2875">
        <w:t xml:space="preserve">experimental frequency for mode </w:t>
      </w:r>
      <w:proofErr w:type="spellStart"/>
      <w:r w:rsidR="009B2875">
        <w:t>i</w:t>
      </w:r>
      <w:proofErr w:type="spellEnd"/>
      <w:r w:rsidR="008C7BF5">
        <w:t>;</w:t>
      </w:r>
      <w:r w:rsidR="00377840">
        <w:t xml:space="preserve"> </w:t>
      </w:r>
      <w:proofErr w:type="spellStart"/>
      <w:r w:rsidR="00377840">
        <w:t>C</w:t>
      </w:r>
      <w:r w:rsidR="00377840">
        <w:rPr>
          <w:vertAlign w:val="subscript"/>
        </w:rPr>
        <w:t>Ri</w:t>
      </w:r>
      <w:proofErr w:type="spellEnd"/>
      <w:r w:rsidR="00377840">
        <w:rPr>
          <w:vertAlign w:val="subscript"/>
        </w:rPr>
        <w:t xml:space="preserve"> </w:t>
      </w:r>
      <w:r w:rsidR="008C7BF5">
        <w:t xml:space="preserve">= </w:t>
      </w:r>
      <w:r w:rsidR="009B2875">
        <w:t>expected relative error on the response value</w:t>
      </w:r>
      <w:r w:rsidR="008C7BF5">
        <w:t>.</w:t>
      </w:r>
    </w:p>
    <w:p w:rsidR="00FF1211" w:rsidRPr="00121464" w:rsidRDefault="009B2875" w:rsidP="00121464">
      <w:r>
        <w:t>Several iterations were performed by varying the initial conditions</w:t>
      </w:r>
      <w:r w:rsidR="00C1101B">
        <w:t xml:space="preserve"> of each of the parameters by ±10%</w:t>
      </w:r>
      <w:r w:rsidR="00A06C4E">
        <w:t xml:space="preserve">. </w:t>
      </w:r>
      <w:r w:rsidR="00C1101B">
        <w:t xml:space="preserve">The first set of updating </w:t>
      </w:r>
      <w:r w:rsidR="00B71F9C">
        <w:t xml:space="preserve">runs </w:t>
      </w:r>
      <w:r w:rsidR="00C1101B">
        <w:t xml:space="preserve">varied </w:t>
      </w:r>
      <w:r w:rsidR="00B71F9C">
        <w:t xml:space="preserve">those parameters </w:t>
      </w:r>
      <w:r w:rsidR="00C1101B">
        <w:t>around the originally set values</w:t>
      </w:r>
      <w:r w:rsidR="00A06C4E">
        <w:t xml:space="preserve">. </w:t>
      </w:r>
      <w:r w:rsidR="004F7061">
        <w:t>This yielded very stable results however the results were effectively rendered meaningless d</w:t>
      </w:r>
      <w:r w:rsidR="0040408B">
        <w:t xml:space="preserve">ue to very large </w:t>
      </w:r>
      <w:r w:rsidR="004F7061">
        <w:t>change</w:t>
      </w:r>
      <w:r w:rsidR="0040408B">
        <w:t>s</w:t>
      </w:r>
      <w:r w:rsidR="004F7061">
        <w:t xml:space="preserve"> in parameter values</w:t>
      </w:r>
      <w:r w:rsidR="00A06C4E">
        <w:t xml:space="preserve">. </w:t>
      </w:r>
      <w:r w:rsidR="004F7061">
        <w:t xml:space="preserve">A second set of updating </w:t>
      </w:r>
      <w:r w:rsidR="00B71F9C">
        <w:t xml:space="preserve">was </w:t>
      </w:r>
      <w:r w:rsidR="004F7061">
        <w:t xml:space="preserve">based </w:t>
      </w:r>
      <w:r w:rsidR="00B71F9C">
        <w:t xml:space="preserve">on </w:t>
      </w:r>
      <w:r w:rsidR="004F7061">
        <w:t xml:space="preserve">the initial conditions </w:t>
      </w:r>
      <w:r w:rsidR="00B71F9C">
        <w:t>form an</w:t>
      </w:r>
      <w:r w:rsidR="004F7061">
        <w:t xml:space="preserve"> earlier work by increasing the E of LVL to 16.1 </w:t>
      </w:r>
      <w:proofErr w:type="gramStart"/>
      <w:r w:rsidR="004F7061">
        <w:t>GPa</w:t>
      </w:r>
      <w:proofErr w:type="gramEnd"/>
      <w:r w:rsidR="004F7061">
        <w:t xml:space="preserve"> and de</w:t>
      </w:r>
      <w:r w:rsidR="00726CF1">
        <w:t>creasing the E of the c</w:t>
      </w:r>
      <w:r w:rsidR="004F7061">
        <w:t>ladding to 0.11 GPa</w:t>
      </w:r>
      <w:r w:rsidR="00A06C4E">
        <w:t xml:space="preserve">. </w:t>
      </w:r>
      <w:r w:rsidR="004F7061">
        <w:t>The results from this set were more meaningful</w:t>
      </w:r>
      <w:r w:rsidR="00B71F9C">
        <w:t>,</w:t>
      </w:r>
      <w:r w:rsidR="004F7061">
        <w:t xml:space="preserve"> however</w:t>
      </w:r>
      <w:r w:rsidR="00B71F9C">
        <w:t>,</w:t>
      </w:r>
      <w:r w:rsidR="004F7061">
        <w:t xml:space="preserve"> quite unstable</w:t>
      </w:r>
      <w:r w:rsidR="00A06C4E">
        <w:t xml:space="preserve">. </w:t>
      </w:r>
      <w:r w:rsidR="004F7061">
        <w:t xml:space="preserve">The median </w:t>
      </w:r>
      <w:r w:rsidR="009260EE">
        <w:t>results from the second set of updating were</w:t>
      </w:r>
      <w:r w:rsidR="004F7061">
        <w:t xml:space="preserve"> then used as the initial conditions</w:t>
      </w:r>
      <w:r w:rsidR="00726CF1">
        <w:t>,</w:t>
      </w:r>
      <w:r w:rsidR="00A06C4E">
        <w:t xml:space="preserve"> </w:t>
      </w:r>
      <w:r w:rsidR="00726CF1">
        <w:t>p</w:t>
      </w:r>
      <w:r w:rsidR="0040408B">
        <w:t>roducing very stable results</w:t>
      </w:r>
      <w:bookmarkStart w:id="4" w:name="_Ref306177187"/>
      <w:bookmarkStart w:id="5" w:name="_Ref306346220"/>
      <w:r w:rsidR="0040408B">
        <w:t>.</w:t>
      </w:r>
    </w:p>
    <w:p w:rsidR="009B2875" w:rsidRPr="00CA5A36" w:rsidRDefault="009B2875" w:rsidP="00B76C4E">
      <w:pPr>
        <w:pStyle w:val="Tablecaption"/>
        <w:rPr>
          <w:i/>
        </w:rPr>
      </w:pPr>
      <w:r w:rsidRPr="00CA5A36">
        <w:rPr>
          <w:iCs/>
        </w:rPr>
        <w:t xml:space="preserve">Table </w:t>
      </w:r>
      <w:bookmarkEnd w:id="4"/>
      <w:bookmarkEnd w:id="5"/>
      <w:r w:rsidR="00112536">
        <w:rPr>
          <w:iCs/>
        </w:rPr>
        <w:t>4 -</w:t>
      </w:r>
      <w:r w:rsidRPr="00CA5A36">
        <w:rPr>
          <w:iCs/>
        </w:rPr>
        <w:t xml:space="preserve"> </w:t>
      </w:r>
      <w:r w:rsidR="00B76C4E">
        <w:t>Updated parameters</w:t>
      </w:r>
    </w:p>
    <w:tbl>
      <w:tblPr>
        <w:tblW w:w="0" w:type="auto"/>
        <w:jc w:val="center"/>
        <w:tblInd w:w="-1457" w:type="dxa"/>
        <w:tblLook w:val="04A0" w:firstRow="1" w:lastRow="0" w:firstColumn="1" w:lastColumn="0" w:noHBand="0" w:noVBand="1"/>
      </w:tblPr>
      <w:tblGrid>
        <w:gridCol w:w="1463"/>
        <w:gridCol w:w="1134"/>
        <w:gridCol w:w="1134"/>
        <w:gridCol w:w="1939"/>
        <w:gridCol w:w="938"/>
      </w:tblGrid>
      <w:tr w:rsidR="00B76C4E" w:rsidRPr="000447F7" w:rsidTr="00276850">
        <w:trPr>
          <w:trHeight w:val="255"/>
          <w:jc w:val="center"/>
        </w:trPr>
        <w:tc>
          <w:tcPr>
            <w:tcW w:w="1463" w:type="dxa"/>
            <w:tcBorders>
              <w:top w:val="single" w:sz="4" w:space="0" w:color="auto"/>
              <w:left w:val="single" w:sz="4" w:space="0" w:color="auto"/>
              <w:bottom w:val="single" w:sz="4" w:space="0" w:color="auto"/>
              <w:right w:val="nil"/>
            </w:tcBorders>
            <w:shd w:val="clear" w:color="auto" w:fill="D9D9D9" w:themeFill="background1" w:themeFillShade="D9"/>
            <w:vAlign w:val="center"/>
          </w:tcPr>
          <w:p w:rsidR="00B76C4E" w:rsidRPr="00EC730F" w:rsidRDefault="00FF1211" w:rsidP="00B76C4E">
            <w:pPr>
              <w:pStyle w:val="Tableheading"/>
            </w:pPr>
            <w:r>
              <w:t>Parameter</w:t>
            </w:r>
          </w:p>
        </w:tc>
        <w:tc>
          <w:tcPr>
            <w:tcW w:w="1134" w:type="dxa"/>
            <w:tcBorders>
              <w:top w:val="single" w:sz="4" w:space="0" w:color="auto"/>
              <w:left w:val="single" w:sz="4" w:space="0" w:color="auto"/>
              <w:bottom w:val="single" w:sz="4" w:space="0" w:color="auto"/>
              <w:right w:val="nil"/>
            </w:tcBorders>
            <w:shd w:val="clear" w:color="auto" w:fill="D9D9D9" w:themeFill="background1" w:themeFillShade="D9"/>
            <w:noWrap/>
            <w:vAlign w:val="center"/>
            <w:hideMark/>
          </w:tcPr>
          <w:p w:rsidR="00B76C4E" w:rsidRPr="00EC730F" w:rsidRDefault="00B76C4E" w:rsidP="00B76C4E">
            <w:pPr>
              <w:pStyle w:val="Tableheading"/>
            </w:pPr>
            <w:r w:rsidRPr="00EC730F">
              <w:t>Mean</w:t>
            </w:r>
          </w:p>
          <w:p w:rsidR="00B76C4E" w:rsidRPr="00EC730F" w:rsidRDefault="00B76C4E" w:rsidP="00B76C4E">
            <w:pPr>
              <w:pStyle w:val="Tableheading"/>
            </w:pPr>
            <w:r w:rsidRPr="00EC730F">
              <w:t>(GPa)</w:t>
            </w:r>
          </w:p>
        </w:tc>
        <w:tc>
          <w:tcPr>
            <w:tcW w:w="1134" w:type="dxa"/>
            <w:tcBorders>
              <w:top w:val="single" w:sz="4" w:space="0" w:color="auto"/>
              <w:left w:val="nil"/>
              <w:bottom w:val="single" w:sz="4" w:space="0" w:color="auto"/>
              <w:right w:val="nil"/>
            </w:tcBorders>
            <w:shd w:val="clear" w:color="auto" w:fill="D9D9D9" w:themeFill="background1" w:themeFillShade="D9"/>
            <w:noWrap/>
            <w:vAlign w:val="center"/>
            <w:hideMark/>
          </w:tcPr>
          <w:p w:rsidR="00B76C4E" w:rsidRPr="00EC730F" w:rsidRDefault="00276850" w:rsidP="00B76C4E">
            <w:pPr>
              <w:pStyle w:val="Tableheading"/>
            </w:pPr>
            <w:r>
              <w:t>Std</w:t>
            </w:r>
          </w:p>
          <w:p w:rsidR="00B76C4E" w:rsidRPr="00EC730F" w:rsidRDefault="00B76C4E" w:rsidP="00B76C4E">
            <w:pPr>
              <w:pStyle w:val="Tableheading"/>
            </w:pPr>
            <w:r w:rsidRPr="00EC730F">
              <w:t>(GPa)</w:t>
            </w:r>
          </w:p>
        </w:tc>
        <w:tc>
          <w:tcPr>
            <w:tcW w:w="1939" w:type="dxa"/>
            <w:tcBorders>
              <w:top w:val="single" w:sz="4" w:space="0" w:color="auto"/>
              <w:left w:val="nil"/>
              <w:bottom w:val="single" w:sz="4" w:space="0" w:color="auto"/>
              <w:right w:val="single" w:sz="4" w:space="0" w:color="auto"/>
            </w:tcBorders>
            <w:shd w:val="clear" w:color="auto" w:fill="D9D9D9" w:themeFill="background1" w:themeFillShade="D9"/>
            <w:noWrap/>
            <w:vAlign w:val="center"/>
            <w:hideMark/>
          </w:tcPr>
          <w:p w:rsidR="00B76C4E" w:rsidRDefault="00B76C4E" w:rsidP="00B76C4E">
            <w:pPr>
              <w:pStyle w:val="Tableheading"/>
            </w:pPr>
            <w:proofErr w:type="spellStart"/>
            <w:r w:rsidRPr="00EC730F">
              <w:t>C</w:t>
            </w:r>
            <w:r w:rsidR="00276850">
              <w:t>oeff</w:t>
            </w:r>
            <w:proofErr w:type="spellEnd"/>
            <w:r w:rsidR="00276850">
              <w:t xml:space="preserve">. of </w:t>
            </w:r>
            <w:r w:rsidRPr="00EC730F">
              <w:t>v</w:t>
            </w:r>
            <w:r w:rsidR="00276850">
              <w:t>ariation</w:t>
            </w:r>
          </w:p>
          <w:p w:rsidR="00B76C4E" w:rsidRPr="00EC730F" w:rsidRDefault="00B76C4E" w:rsidP="00B76C4E">
            <w:pPr>
              <w:pStyle w:val="Tableheading"/>
            </w:pPr>
            <w:r>
              <w:t>(%)</w:t>
            </w:r>
          </w:p>
        </w:tc>
        <w:tc>
          <w:tcPr>
            <w:tcW w:w="938" w:type="dxa"/>
            <w:tcBorders>
              <w:top w:val="single" w:sz="4" w:space="0" w:color="auto"/>
              <w:left w:val="nil"/>
              <w:bottom w:val="single" w:sz="4" w:space="0" w:color="auto"/>
              <w:right w:val="single" w:sz="4" w:space="0" w:color="auto"/>
            </w:tcBorders>
            <w:shd w:val="clear" w:color="auto" w:fill="D9D9D9" w:themeFill="background1" w:themeFillShade="D9"/>
          </w:tcPr>
          <w:p w:rsidR="00B76C4E" w:rsidRDefault="00B76C4E" w:rsidP="00B76C4E">
            <w:pPr>
              <w:pStyle w:val="Tableheading"/>
            </w:pPr>
            <w:r>
              <w:t>Change</w:t>
            </w:r>
          </w:p>
          <w:p w:rsidR="00B76C4E" w:rsidRPr="00EC730F" w:rsidRDefault="00B76C4E" w:rsidP="00B76C4E">
            <w:pPr>
              <w:pStyle w:val="Tableheading"/>
            </w:pPr>
            <w:r>
              <w:t>(%)</w:t>
            </w:r>
          </w:p>
        </w:tc>
      </w:tr>
      <w:tr w:rsidR="00B76C4E" w:rsidRPr="000447F7" w:rsidTr="00276850">
        <w:trPr>
          <w:trHeight w:val="255"/>
          <w:jc w:val="center"/>
        </w:trPr>
        <w:tc>
          <w:tcPr>
            <w:tcW w:w="1463" w:type="dxa"/>
            <w:tcBorders>
              <w:top w:val="nil"/>
              <w:left w:val="single" w:sz="4" w:space="0" w:color="auto"/>
              <w:bottom w:val="nil"/>
              <w:right w:val="nil"/>
            </w:tcBorders>
            <w:vAlign w:val="center"/>
          </w:tcPr>
          <w:p w:rsidR="00B76C4E" w:rsidRPr="00EC730F" w:rsidRDefault="00FF1211" w:rsidP="00B76C4E">
            <w:pPr>
              <w:pStyle w:val="Tabletext"/>
              <w:spacing w:before="40" w:after="40"/>
              <w:jc w:val="center"/>
            </w:pPr>
            <w:r>
              <w:t>E LVL</w:t>
            </w:r>
          </w:p>
        </w:tc>
        <w:tc>
          <w:tcPr>
            <w:tcW w:w="1134" w:type="dxa"/>
            <w:tcBorders>
              <w:top w:val="nil"/>
              <w:left w:val="single" w:sz="4" w:space="0" w:color="auto"/>
              <w:bottom w:val="nil"/>
              <w:right w:val="nil"/>
            </w:tcBorders>
            <w:shd w:val="clear" w:color="auto" w:fill="auto"/>
            <w:noWrap/>
            <w:vAlign w:val="center"/>
            <w:hideMark/>
          </w:tcPr>
          <w:p w:rsidR="00B76C4E" w:rsidRPr="00EC730F" w:rsidRDefault="00B76C4E" w:rsidP="00B76C4E">
            <w:pPr>
              <w:pStyle w:val="Tabletext"/>
              <w:spacing w:before="40" w:after="40"/>
              <w:jc w:val="center"/>
            </w:pPr>
            <w:r>
              <w:t>12.8</w:t>
            </w:r>
          </w:p>
        </w:tc>
        <w:tc>
          <w:tcPr>
            <w:tcW w:w="1134" w:type="dxa"/>
            <w:tcBorders>
              <w:top w:val="nil"/>
              <w:left w:val="nil"/>
              <w:bottom w:val="nil"/>
              <w:right w:val="nil"/>
            </w:tcBorders>
            <w:shd w:val="clear" w:color="auto" w:fill="auto"/>
            <w:noWrap/>
            <w:vAlign w:val="center"/>
            <w:hideMark/>
          </w:tcPr>
          <w:p w:rsidR="00B76C4E" w:rsidRPr="00EC730F" w:rsidRDefault="00B76C4E" w:rsidP="00B76C4E">
            <w:pPr>
              <w:pStyle w:val="Tabletext"/>
              <w:spacing w:before="40" w:after="40"/>
              <w:jc w:val="center"/>
            </w:pPr>
            <w:r>
              <w:t>0.067</w:t>
            </w:r>
          </w:p>
        </w:tc>
        <w:tc>
          <w:tcPr>
            <w:tcW w:w="1939" w:type="dxa"/>
            <w:tcBorders>
              <w:top w:val="nil"/>
              <w:left w:val="nil"/>
              <w:bottom w:val="nil"/>
              <w:right w:val="single" w:sz="4" w:space="0" w:color="auto"/>
            </w:tcBorders>
            <w:shd w:val="clear" w:color="auto" w:fill="auto"/>
            <w:noWrap/>
            <w:vAlign w:val="center"/>
            <w:hideMark/>
          </w:tcPr>
          <w:p w:rsidR="00B76C4E" w:rsidRPr="00EC730F" w:rsidRDefault="00B76C4E" w:rsidP="00B76C4E">
            <w:pPr>
              <w:pStyle w:val="Tabletext"/>
              <w:spacing w:before="40" w:after="40"/>
              <w:jc w:val="center"/>
            </w:pPr>
            <w:r>
              <w:t>3</w:t>
            </w:r>
          </w:p>
        </w:tc>
        <w:tc>
          <w:tcPr>
            <w:tcW w:w="938" w:type="dxa"/>
            <w:tcBorders>
              <w:top w:val="nil"/>
              <w:left w:val="nil"/>
              <w:bottom w:val="nil"/>
              <w:right w:val="single" w:sz="4" w:space="0" w:color="auto"/>
            </w:tcBorders>
          </w:tcPr>
          <w:p w:rsidR="00B76C4E" w:rsidRDefault="00B76C4E" w:rsidP="00B76C4E">
            <w:pPr>
              <w:pStyle w:val="Tabletext"/>
              <w:spacing w:before="40" w:after="40"/>
              <w:jc w:val="center"/>
            </w:pPr>
            <w:r>
              <w:t>16</w:t>
            </w:r>
          </w:p>
        </w:tc>
      </w:tr>
      <w:tr w:rsidR="00B76C4E" w:rsidRPr="000447F7" w:rsidTr="00276850">
        <w:trPr>
          <w:trHeight w:val="255"/>
          <w:jc w:val="center"/>
        </w:trPr>
        <w:tc>
          <w:tcPr>
            <w:tcW w:w="1463" w:type="dxa"/>
            <w:tcBorders>
              <w:top w:val="nil"/>
              <w:left w:val="single" w:sz="4" w:space="0" w:color="auto"/>
              <w:bottom w:val="nil"/>
              <w:right w:val="nil"/>
            </w:tcBorders>
            <w:vAlign w:val="center"/>
          </w:tcPr>
          <w:p w:rsidR="00B76C4E" w:rsidRPr="00EC730F" w:rsidRDefault="00FF1211" w:rsidP="00B76C4E">
            <w:pPr>
              <w:pStyle w:val="Tabletext"/>
              <w:spacing w:before="40" w:after="40"/>
              <w:jc w:val="center"/>
            </w:pPr>
            <w:r>
              <w:t>E Concrete</w:t>
            </w:r>
          </w:p>
        </w:tc>
        <w:tc>
          <w:tcPr>
            <w:tcW w:w="1134" w:type="dxa"/>
            <w:tcBorders>
              <w:top w:val="nil"/>
              <w:left w:val="single" w:sz="4" w:space="0" w:color="auto"/>
              <w:bottom w:val="nil"/>
              <w:right w:val="nil"/>
            </w:tcBorders>
            <w:shd w:val="clear" w:color="auto" w:fill="auto"/>
            <w:noWrap/>
            <w:vAlign w:val="center"/>
            <w:hideMark/>
          </w:tcPr>
          <w:p w:rsidR="00B76C4E" w:rsidRPr="00EC730F" w:rsidRDefault="00B76C4E" w:rsidP="00B76C4E">
            <w:pPr>
              <w:pStyle w:val="Tabletext"/>
              <w:spacing w:before="40" w:after="40"/>
              <w:jc w:val="center"/>
            </w:pPr>
            <w:r>
              <w:t>4.0</w:t>
            </w:r>
          </w:p>
        </w:tc>
        <w:tc>
          <w:tcPr>
            <w:tcW w:w="1134" w:type="dxa"/>
            <w:tcBorders>
              <w:top w:val="nil"/>
              <w:left w:val="nil"/>
              <w:bottom w:val="nil"/>
              <w:right w:val="nil"/>
            </w:tcBorders>
            <w:shd w:val="clear" w:color="auto" w:fill="auto"/>
            <w:noWrap/>
            <w:vAlign w:val="center"/>
            <w:hideMark/>
          </w:tcPr>
          <w:p w:rsidR="00B76C4E" w:rsidRPr="00EC730F" w:rsidRDefault="00B76C4E" w:rsidP="00B76C4E">
            <w:pPr>
              <w:pStyle w:val="Tabletext"/>
              <w:spacing w:before="40" w:after="40"/>
              <w:jc w:val="center"/>
            </w:pPr>
            <w:r>
              <w:t>0.167</w:t>
            </w:r>
          </w:p>
        </w:tc>
        <w:tc>
          <w:tcPr>
            <w:tcW w:w="1939" w:type="dxa"/>
            <w:tcBorders>
              <w:top w:val="nil"/>
              <w:left w:val="nil"/>
              <w:bottom w:val="nil"/>
              <w:right w:val="single" w:sz="4" w:space="0" w:color="auto"/>
            </w:tcBorders>
            <w:shd w:val="clear" w:color="auto" w:fill="auto"/>
            <w:noWrap/>
            <w:vAlign w:val="center"/>
            <w:hideMark/>
          </w:tcPr>
          <w:p w:rsidR="00B76C4E" w:rsidRPr="00EC730F" w:rsidRDefault="00B76C4E" w:rsidP="00B76C4E">
            <w:pPr>
              <w:pStyle w:val="Tabletext"/>
              <w:spacing w:before="40" w:after="40"/>
              <w:jc w:val="center"/>
            </w:pPr>
            <w:r>
              <w:t>22</w:t>
            </w:r>
          </w:p>
        </w:tc>
        <w:tc>
          <w:tcPr>
            <w:tcW w:w="938" w:type="dxa"/>
            <w:tcBorders>
              <w:top w:val="nil"/>
              <w:left w:val="nil"/>
              <w:bottom w:val="nil"/>
              <w:right w:val="single" w:sz="4" w:space="0" w:color="auto"/>
            </w:tcBorders>
          </w:tcPr>
          <w:p w:rsidR="00B76C4E" w:rsidRDefault="00B76C4E" w:rsidP="00B76C4E">
            <w:pPr>
              <w:pStyle w:val="Tabletext"/>
              <w:spacing w:before="40" w:after="40"/>
              <w:jc w:val="center"/>
            </w:pPr>
            <w:r>
              <w:t>-87</w:t>
            </w:r>
          </w:p>
        </w:tc>
      </w:tr>
      <w:tr w:rsidR="00B76C4E" w:rsidRPr="000447F7" w:rsidTr="00276850">
        <w:trPr>
          <w:trHeight w:val="255"/>
          <w:jc w:val="center"/>
        </w:trPr>
        <w:tc>
          <w:tcPr>
            <w:tcW w:w="1463" w:type="dxa"/>
            <w:tcBorders>
              <w:top w:val="nil"/>
              <w:left w:val="single" w:sz="4" w:space="0" w:color="auto"/>
              <w:bottom w:val="single" w:sz="4" w:space="0" w:color="auto"/>
              <w:right w:val="nil"/>
            </w:tcBorders>
            <w:vAlign w:val="center"/>
          </w:tcPr>
          <w:p w:rsidR="00B76C4E" w:rsidRPr="00EC730F" w:rsidRDefault="00FF1211" w:rsidP="00B76C4E">
            <w:pPr>
              <w:pStyle w:val="Tabletext"/>
              <w:spacing w:before="40" w:after="40"/>
              <w:jc w:val="center"/>
            </w:pPr>
            <w:r>
              <w:t>E Cladding</w:t>
            </w:r>
          </w:p>
        </w:tc>
        <w:tc>
          <w:tcPr>
            <w:tcW w:w="1134" w:type="dxa"/>
            <w:tcBorders>
              <w:top w:val="nil"/>
              <w:left w:val="single" w:sz="4" w:space="0" w:color="auto"/>
              <w:bottom w:val="single" w:sz="4" w:space="0" w:color="auto"/>
              <w:right w:val="nil"/>
            </w:tcBorders>
            <w:shd w:val="clear" w:color="auto" w:fill="auto"/>
            <w:noWrap/>
            <w:vAlign w:val="center"/>
            <w:hideMark/>
          </w:tcPr>
          <w:p w:rsidR="00B76C4E" w:rsidRPr="00554A60" w:rsidRDefault="00B76C4E" w:rsidP="00B76C4E">
            <w:pPr>
              <w:pStyle w:val="Tabletext"/>
              <w:spacing w:before="40" w:after="40"/>
              <w:jc w:val="center"/>
              <w:rPr>
                <w:vertAlign w:val="superscript"/>
              </w:rPr>
            </w:pPr>
            <w:r>
              <w:t>0.12x10</w:t>
            </w:r>
            <w:r>
              <w:rPr>
                <w:vertAlign w:val="superscript"/>
              </w:rPr>
              <w:t>-6</w:t>
            </w:r>
          </w:p>
        </w:tc>
        <w:tc>
          <w:tcPr>
            <w:tcW w:w="1134" w:type="dxa"/>
            <w:tcBorders>
              <w:top w:val="nil"/>
              <w:left w:val="nil"/>
              <w:bottom w:val="single" w:sz="4" w:space="0" w:color="auto"/>
              <w:right w:val="nil"/>
            </w:tcBorders>
            <w:shd w:val="clear" w:color="auto" w:fill="auto"/>
            <w:noWrap/>
            <w:vAlign w:val="center"/>
            <w:hideMark/>
          </w:tcPr>
          <w:p w:rsidR="00B76C4E" w:rsidRPr="00EC730F" w:rsidRDefault="00B76C4E" w:rsidP="00B76C4E">
            <w:pPr>
              <w:pStyle w:val="Tabletext"/>
              <w:spacing w:before="40" w:after="40"/>
              <w:jc w:val="center"/>
            </w:pPr>
            <w:r>
              <w:t>1.94 x10</w:t>
            </w:r>
            <w:r>
              <w:rPr>
                <w:vertAlign w:val="superscript"/>
              </w:rPr>
              <w:t>-9</w:t>
            </w:r>
          </w:p>
        </w:tc>
        <w:tc>
          <w:tcPr>
            <w:tcW w:w="1939" w:type="dxa"/>
            <w:tcBorders>
              <w:top w:val="nil"/>
              <w:left w:val="nil"/>
              <w:bottom w:val="single" w:sz="4" w:space="0" w:color="auto"/>
              <w:right w:val="single" w:sz="4" w:space="0" w:color="auto"/>
            </w:tcBorders>
            <w:shd w:val="clear" w:color="auto" w:fill="auto"/>
            <w:noWrap/>
            <w:vAlign w:val="center"/>
            <w:hideMark/>
          </w:tcPr>
          <w:p w:rsidR="00B76C4E" w:rsidRPr="00EC730F" w:rsidRDefault="00B76C4E" w:rsidP="00B76C4E">
            <w:pPr>
              <w:pStyle w:val="Tabletext"/>
              <w:spacing w:before="40" w:after="40"/>
              <w:jc w:val="center"/>
            </w:pPr>
            <w:r>
              <w:t>8</w:t>
            </w:r>
          </w:p>
        </w:tc>
        <w:tc>
          <w:tcPr>
            <w:tcW w:w="938" w:type="dxa"/>
            <w:tcBorders>
              <w:top w:val="nil"/>
              <w:left w:val="nil"/>
              <w:bottom w:val="single" w:sz="4" w:space="0" w:color="auto"/>
              <w:right w:val="single" w:sz="4" w:space="0" w:color="auto"/>
            </w:tcBorders>
          </w:tcPr>
          <w:p w:rsidR="00B76C4E" w:rsidRDefault="00B76C4E" w:rsidP="00B76C4E">
            <w:pPr>
              <w:pStyle w:val="Tabletext"/>
              <w:spacing w:before="40" w:after="40"/>
              <w:jc w:val="center"/>
            </w:pPr>
            <w:r>
              <w:t>-100</w:t>
            </w:r>
          </w:p>
        </w:tc>
      </w:tr>
    </w:tbl>
    <w:p w:rsidR="009B2875" w:rsidRDefault="0040408B" w:rsidP="009B2875">
      <w:r>
        <w:t>T</w:t>
      </w:r>
      <w:r w:rsidR="009B2875">
        <w:t>he E of</w:t>
      </w:r>
      <w:r w:rsidR="00377840">
        <w:t xml:space="preserve"> LVL</w:t>
      </w:r>
      <w:r w:rsidR="00B76C4E">
        <w:t xml:space="preserve"> increased from the design value of 11 </w:t>
      </w:r>
      <w:proofErr w:type="gramStart"/>
      <w:r w:rsidR="00B76C4E">
        <w:t>GPa</w:t>
      </w:r>
      <w:proofErr w:type="gramEnd"/>
      <w:r w:rsidR="00B76C4E">
        <w:t xml:space="preserve"> to 12.8 GPa</w:t>
      </w:r>
      <w:r>
        <w:t xml:space="preserve"> (Table 4)</w:t>
      </w:r>
      <w:r w:rsidR="00A06C4E">
        <w:t xml:space="preserve">. </w:t>
      </w:r>
      <w:r w:rsidR="00B76C4E">
        <w:t xml:space="preserve">This </w:t>
      </w:r>
      <w:r w:rsidR="00377840">
        <w:t>was</w:t>
      </w:r>
      <w:r w:rsidR="00B76C4E">
        <w:t xml:space="preserve"> expected because </w:t>
      </w:r>
      <w:r w:rsidR="00377840">
        <w:t>the</w:t>
      </w:r>
      <w:r w:rsidR="00B76C4E">
        <w:t xml:space="preserve"> design value </w:t>
      </w:r>
      <w:r>
        <w:t>is</w:t>
      </w:r>
      <w:r w:rsidR="00377840">
        <w:t xml:space="preserve"> the</w:t>
      </w:r>
      <w:r w:rsidR="00B76C4E">
        <w:t xml:space="preserve"> lower 5</w:t>
      </w:r>
      <w:r w:rsidR="00B76C4E" w:rsidRPr="00B76C4E">
        <w:rPr>
          <w:vertAlign w:val="superscript"/>
        </w:rPr>
        <w:t>th</w:t>
      </w:r>
      <w:r w:rsidR="00B76C4E">
        <w:t xml:space="preserve"> </w:t>
      </w:r>
      <w:r w:rsidR="00B76C4E" w:rsidRPr="00B71F9C">
        <w:t xml:space="preserve">percentile characteristic </w:t>
      </w:r>
      <w:r w:rsidR="00B71F9C" w:rsidRPr="00B71F9C">
        <w:t>stiffness</w:t>
      </w:r>
      <w:r>
        <w:t xml:space="preserve">. Internal partitioning was also not modelled which would increase the stiffness of the building. </w:t>
      </w:r>
      <w:r w:rsidR="00B76C4E">
        <w:t xml:space="preserve">The E of </w:t>
      </w:r>
      <w:r w:rsidR="00377840">
        <w:t>concrete</w:t>
      </w:r>
      <w:r w:rsidR="009B2875">
        <w:t xml:space="preserve"> </w:t>
      </w:r>
      <w:r>
        <w:t>however d</w:t>
      </w:r>
      <w:r w:rsidR="00B76C4E">
        <w:t xml:space="preserve">ecreased </w:t>
      </w:r>
      <w:r>
        <w:t xml:space="preserve">significantly </w:t>
      </w:r>
      <w:r w:rsidR="00B76C4E">
        <w:t xml:space="preserve">from 30 </w:t>
      </w:r>
      <w:proofErr w:type="gramStart"/>
      <w:r w:rsidR="00B76C4E">
        <w:t>GPa</w:t>
      </w:r>
      <w:proofErr w:type="gramEnd"/>
      <w:r w:rsidR="00B76C4E">
        <w:t xml:space="preserve"> to 4 GPa</w:t>
      </w:r>
      <w:r w:rsidR="00A06C4E">
        <w:t xml:space="preserve">. </w:t>
      </w:r>
      <w:r w:rsidR="00B76C4E">
        <w:t xml:space="preserve">This is of course </w:t>
      </w:r>
      <w:r>
        <w:t>goes against what was</w:t>
      </w:r>
      <w:r w:rsidR="00B76C4E">
        <w:t xml:space="preserve"> expect</w:t>
      </w:r>
      <w:r>
        <w:t>ed. A</w:t>
      </w:r>
      <w:r w:rsidR="005F6D72">
        <w:t xml:space="preserve"> possible explanation for this is </w:t>
      </w:r>
      <w:r w:rsidR="00377840">
        <w:t xml:space="preserve">perhaps </w:t>
      </w:r>
      <w:r>
        <w:t>the way the slab is connected</w:t>
      </w:r>
      <w:r w:rsidR="00377840">
        <w:t xml:space="preserve"> </w:t>
      </w:r>
      <w:r>
        <w:t>to the frame means</w:t>
      </w:r>
      <w:r w:rsidR="00B76C4E">
        <w:t xml:space="preserve"> the stiffness of the diaphragm is not </w:t>
      </w:r>
      <w:r w:rsidR="005F6D72">
        <w:t>being used</w:t>
      </w:r>
      <w:r w:rsidR="00A06C4E">
        <w:t xml:space="preserve">. </w:t>
      </w:r>
      <w:r w:rsidR="005F6D72">
        <w:t>Future work into this is therefore required</w:t>
      </w:r>
      <w:r w:rsidR="00A06C4E">
        <w:t xml:space="preserve">. </w:t>
      </w:r>
      <w:r w:rsidR="00377840">
        <w:t xml:space="preserve">Finally, </w:t>
      </w:r>
      <w:r w:rsidR="005F6D72">
        <w:t xml:space="preserve">the E of cladding </w:t>
      </w:r>
      <w:r w:rsidR="00276850">
        <w:t xml:space="preserve">also significantly decreased. </w:t>
      </w:r>
      <w:r>
        <w:t>This</w:t>
      </w:r>
      <w:r w:rsidR="005F6D72">
        <w:t xml:space="preserve"> is expected </w:t>
      </w:r>
      <w:r>
        <w:t>to be representative of how the</w:t>
      </w:r>
      <w:r w:rsidR="005F6D72">
        <w:t xml:space="preserve"> cladding is fixed to the b</w:t>
      </w:r>
      <w:r>
        <w:t xml:space="preserve">uilding and </w:t>
      </w:r>
      <w:r w:rsidR="00B71F9C">
        <w:t>that</w:t>
      </w:r>
      <w:r>
        <w:t xml:space="preserve"> there are cut outs in the cladding</w:t>
      </w:r>
      <w:r w:rsidR="00B71F9C">
        <w:t>, e.g. for windows</w:t>
      </w:r>
      <w:r>
        <w:t>.</w:t>
      </w:r>
    </w:p>
    <w:p w:rsidR="009B2875" w:rsidRPr="00121464" w:rsidRDefault="009B2875" w:rsidP="00121464">
      <w:pPr>
        <w:pStyle w:val="Heading2"/>
        <w:spacing w:before="120"/>
        <w:rPr>
          <w:b/>
          <w:bCs/>
          <w:i w:val="0"/>
        </w:rPr>
      </w:pPr>
      <w:r w:rsidRPr="00121464">
        <w:rPr>
          <w:b/>
          <w:bCs/>
          <w:i w:val="0"/>
        </w:rPr>
        <w:t>Updated model correlation</w:t>
      </w:r>
    </w:p>
    <w:p w:rsidR="009001A8" w:rsidRPr="009001A8" w:rsidRDefault="009001A8" w:rsidP="009001A8">
      <w:r>
        <w:t>The updated model</w:t>
      </w:r>
      <w:r w:rsidR="00C95DE9">
        <w:t xml:space="preserve"> improved </w:t>
      </w:r>
      <w:r w:rsidR="0040408B">
        <w:t xml:space="preserve">the </w:t>
      </w:r>
      <w:r w:rsidR="00C95DE9">
        <w:t>CCABS</w:t>
      </w:r>
      <w:r w:rsidR="0040408B">
        <w:t xml:space="preserve"> value and t</w:t>
      </w:r>
      <w:r w:rsidR="00C95DE9">
        <w:t xml:space="preserve">he mean </w:t>
      </w:r>
      <w:r w:rsidR="00377840">
        <w:t xml:space="preserve">MAC value </w:t>
      </w:r>
      <w:r w:rsidR="0040408B">
        <w:t xml:space="preserve">also increased.  </w:t>
      </w:r>
      <w:r w:rsidR="00264F00">
        <w:t xml:space="preserve">The MAC mean </w:t>
      </w:r>
      <w:r w:rsidR="00276850">
        <w:t>improved</w:t>
      </w:r>
      <w:r w:rsidR="00264F00">
        <w:t xml:space="preserve"> from 72% to</w:t>
      </w:r>
      <w:r w:rsidR="00C95DE9">
        <w:t xml:space="preserve"> </w:t>
      </w:r>
      <w:r w:rsidR="00377840">
        <w:t>78</w:t>
      </w:r>
      <w:r w:rsidR="00C95DE9">
        <w:t xml:space="preserve">% and the CCABS </w:t>
      </w:r>
      <w:r w:rsidR="00264F00">
        <w:t>from 19% to 2</w:t>
      </w:r>
      <w:r w:rsidR="00C95DE9">
        <w:t>%</w:t>
      </w:r>
      <w:r w:rsidR="00FD3A38">
        <w:t xml:space="preserve">. </w:t>
      </w:r>
      <w:r w:rsidR="00C95DE9">
        <w:t xml:space="preserve">From table </w:t>
      </w:r>
      <w:r w:rsidR="00425734">
        <w:t>5</w:t>
      </w:r>
      <w:r w:rsidR="00C95DE9">
        <w:t xml:space="preserve"> it is </w:t>
      </w:r>
      <w:r w:rsidR="00425734">
        <w:t xml:space="preserve">easy </w:t>
      </w:r>
      <w:r w:rsidR="00C95DE9">
        <w:t xml:space="preserve">to see that the difference between the </w:t>
      </w:r>
      <w:r w:rsidR="00264F00">
        <w:t xml:space="preserve">responses </w:t>
      </w:r>
      <w:r w:rsidR="00276850">
        <w:t xml:space="preserve">selected for updating </w:t>
      </w:r>
      <w:r w:rsidR="00264F00">
        <w:t>(</w:t>
      </w:r>
      <w:r w:rsidR="00276850">
        <w:t>mode</w:t>
      </w:r>
      <w:r w:rsidR="00264F00">
        <w:t xml:space="preserve"> </w:t>
      </w:r>
      <w:r w:rsidR="00276850">
        <w:t>{</w:t>
      </w:r>
      <w:r w:rsidR="00264F00">
        <w:t>1</w:t>
      </w:r>
      <w:r w:rsidR="00276850">
        <w:t>}</w:t>
      </w:r>
      <w:r w:rsidR="00264F00">
        <w:t xml:space="preserve"> and </w:t>
      </w:r>
      <w:r w:rsidR="00276850">
        <w:t>{</w:t>
      </w:r>
      <w:r w:rsidR="00264F00">
        <w:t>3</w:t>
      </w:r>
      <w:r w:rsidR="00276850">
        <w:t>}</w:t>
      </w:r>
      <w:r w:rsidR="00264F00">
        <w:t>)</w:t>
      </w:r>
      <w:r w:rsidR="00C95DE9">
        <w:t xml:space="preserve"> improved </w:t>
      </w:r>
      <w:r w:rsidR="00402C2F">
        <w:t xml:space="preserve">considerably </w:t>
      </w:r>
      <w:r w:rsidR="00C95DE9">
        <w:t>however</w:t>
      </w:r>
      <w:r w:rsidR="00402C2F">
        <w:t>,</w:t>
      </w:r>
      <w:r w:rsidR="00C95DE9">
        <w:t xml:space="preserve"> the MAC values for these two pairings have decreased</w:t>
      </w:r>
      <w:r w:rsidR="00276850">
        <w:t xml:space="preserve"> slightly</w:t>
      </w:r>
      <w:r w:rsidR="00264F00">
        <w:t>.</w:t>
      </w:r>
    </w:p>
    <w:p w:rsidR="009001A8" w:rsidRDefault="009001A8" w:rsidP="009001A8">
      <w:pPr>
        <w:pStyle w:val="Tablecaption"/>
      </w:pPr>
      <w:r>
        <w:lastRenderedPageBreak/>
        <w:t xml:space="preserve">Table </w:t>
      </w:r>
      <w:r w:rsidR="00112536">
        <w:t xml:space="preserve">5 </w:t>
      </w:r>
      <w:r>
        <w:t>- Updated Mode Shape Pairs</w:t>
      </w:r>
    </w:p>
    <w:tbl>
      <w:tblPr>
        <w:tblW w:w="7640" w:type="dxa"/>
        <w:jc w:val="center"/>
        <w:tblInd w:w="108" w:type="dxa"/>
        <w:tblLook w:val="04A0" w:firstRow="1" w:lastRow="0" w:firstColumn="1" w:lastColumn="0" w:noHBand="0" w:noVBand="1"/>
      </w:tblPr>
      <w:tblGrid>
        <w:gridCol w:w="624"/>
        <w:gridCol w:w="1388"/>
        <w:gridCol w:w="1219"/>
        <w:gridCol w:w="1500"/>
        <w:gridCol w:w="1219"/>
        <w:gridCol w:w="956"/>
        <w:gridCol w:w="956"/>
      </w:tblGrid>
      <w:tr w:rsidR="009001A8" w:rsidRPr="009001A8" w:rsidTr="009001A8">
        <w:trPr>
          <w:trHeight w:val="255"/>
          <w:jc w:val="center"/>
        </w:trPr>
        <w:tc>
          <w:tcPr>
            <w:tcW w:w="624"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hideMark/>
          </w:tcPr>
          <w:p w:rsidR="009001A8" w:rsidRPr="009001A8" w:rsidRDefault="009001A8" w:rsidP="009001A8">
            <w:pPr>
              <w:pStyle w:val="Tableheading"/>
              <w:rPr>
                <w:lang w:eastAsia="en-NZ"/>
              </w:rPr>
            </w:pPr>
          </w:p>
        </w:tc>
        <w:tc>
          <w:tcPr>
            <w:tcW w:w="1388" w:type="dxa"/>
            <w:tcBorders>
              <w:top w:val="single" w:sz="4" w:space="0" w:color="auto"/>
              <w:left w:val="single" w:sz="4" w:space="0" w:color="auto"/>
              <w:bottom w:val="single" w:sz="4" w:space="0" w:color="auto"/>
              <w:right w:val="nil"/>
            </w:tcBorders>
            <w:shd w:val="clear" w:color="auto" w:fill="BFBFBF" w:themeFill="background1" w:themeFillShade="BF"/>
            <w:noWrap/>
            <w:hideMark/>
          </w:tcPr>
          <w:p w:rsidR="009001A8" w:rsidRPr="009001A8" w:rsidRDefault="00276850" w:rsidP="009001A8">
            <w:pPr>
              <w:pStyle w:val="Tableheading"/>
            </w:pPr>
            <w:r>
              <w:t>FE</w:t>
            </w:r>
            <w:r w:rsidR="009001A8" w:rsidRPr="009001A8">
              <w:t xml:space="preserve"> Mode</w:t>
            </w:r>
          </w:p>
        </w:tc>
        <w:tc>
          <w:tcPr>
            <w:tcW w:w="1219" w:type="dxa"/>
            <w:tcBorders>
              <w:top w:val="single" w:sz="4" w:space="0" w:color="auto"/>
              <w:left w:val="nil"/>
              <w:bottom w:val="single" w:sz="4" w:space="0" w:color="auto"/>
              <w:right w:val="nil"/>
            </w:tcBorders>
            <w:shd w:val="clear" w:color="auto" w:fill="BFBFBF" w:themeFill="background1" w:themeFillShade="BF"/>
            <w:noWrap/>
            <w:hideMark/>
          </w:tcPr>
          <w:p w:rsidR="009001A8" w:rsidRPr="009001A8" w:rsidRDefault="009001A8" w:rsidP="009001A8">
            <w:pPr>
              <w:pStyle w:val="Tableheading"/>
            </w:pPr>
            <w:r w:rsidRPr="009001A8">
              <w:t>Frequency</w:t>
            </w:r>
          </w:p>
          <w:p w:rsidR="009001A8" w:rsidRPr="009001A8" w:rsidRDefault="00276850" w:rsidP="009001A8">
            <w:pPr>
              <w:pStyle w:val="Tableheading"/>
            </w:pPr>
            <w:r>
              <w:t>(</w:t>
            </w:r>
            <w:r w:rsidR="009001A8" w:rsidRPr="009001A8">
              <w:t>Hz</w:t>
            </w:r>
            <w:r>
              <w:t>)</w:t>
            </w:r>
          </w:p>
        </w:tc>
        <w:tc>
          <w:tcPr>
            <w:tcW w:w="1441" w:type="dxa"/>
            <w:tcBorders>
              <w:top w:val="single" w:sz="4" w:space="0" w:color="auto"/>
              <w:left w:val="nil"/>
              <w:bottom w:val="single" w:sz="4" w:space="0" w:color="auto"/>
              <w:right w:val="nil"/>
            </w:tcBorders>
            <w:shd w:val="clear" w:color="auto" w:fill="BFBFBF" w:themeFill="background1" w:themeFillShade="BF"/>
            <w:noWrap/>
            <w:hideMark/>
          </w:tcPr>
          <w:p w:rsidR="009001A8" w:rsidRPr="009001A8" w:rsidRDefault="009001A8" w:rsidP="00276850">
            <w:pPr>
              <w:pStyle w:val="Tableheading"/>
            </w:pPr>
            <w:r w:rsidRPr="009001A8">
              <w:t>E</w:t>
            </w:r>
            <w:r w:rsidR="00276850">
              <w:t>xperimental</w:t>
            </w:r>
            <w:r w:rsidRPr="009001A8">
              <w:t xml:space="preserve"> Mode</w:t>
            </w:r>
          </w:p>
        </w:tc>
        <w:tc>
          <w:tcPr>
            <w:tcW w:w="1056" w:type="dxa"/>
            <w:tcBorders>
              <w:top w:val="single" w:sz="4" w:space="0" w:color="auto"/>
              <w:left w:val="nil"/>
              <w:bottom w:val="single" w:sz="4" w:space="0" w:color="auto"/>
              <w:right w:val="nil"/>
            </w:tcBorders>
            <w:shd w:val="clear" w:color="auto" w:fill="BFBFBF" w:themeFill="background1" w:themeFillShade="BF"/>
            <w:noWrap/>
            <w:hideMark/>
          </w:tcPr>
          <w:p w:rsidR="009001A8" w:rsidRPr="009001A8" w:rsidRDefault="009001A8" w:rsidP="009001A8">
            <w:pPr>
              <w:pStyle w:val="Tableheading"/>
            </w:pPr>
            <w:r w:rsidRPr="009001A8">
              <w:t>Frequency</w:t>
            </w:r>
          </w:p>
          <w:p w:rsidR="009001A8" w:rsidRPr="009001A8" w:rsidRDefault="00276850" w:rsidP="009001A8">
            <w:pPr>
              <w:pStyle w:val="Tableheading"/>
            </w:pPr>
            <w:r>
              <w:t>(</w:t>
            </w:r>
            <w:r w:rsidR="009001A8" w:rsidRPr="009001A8">
              <w:t>Hz</w:t>
            </w:r>
            <w:r>
              <w:t>)</w:t>
            </w:r>
          </w:p>
        </w:tc>
        <w:tc>
          <w:tcPr>
            <w:tcW w:w="956" w:type="dxa"/>
            <w:tcBorders>
              <w:top w:val="single" w:sz="4" w:space="0" w:color="auto"/>
              <w:left w:val="nil"/>
              <w:bottom w:val="single" w:sz="4" w:space="0" w:color="auto"/>
              <w:right w:val="nil"/>
            </w:tcBorders>
            <w:shd w:val="clear" w:color="auto" w:fill="BFBFBF" w:themeFill="background1" w:themeFillShade="BF"/>
            <w:noWrap/>
            <w:hideMark/>
          </w:tcPr>
          <w:p w:rsidR="009001A8" w:rsidRPr="009001A8" w:rsidRDefault="009001A8" w:rsidP="009001A8">
            <w:pPr>
              <w:pStyle w:val="Tableheading"/>
            </w:pPr>
            <w:r w:rsidRPr="009001A8">
              <w:t>Diff.</w:t>
            </w:r>
          </w:p>
          <w:p w:rsidR="009001A8" w:rsidRPr="009001A8" w:rsidRDefault="00276850" w:rsidP="009001A8">
            <w:pPr>
              <w:pStyle w:val="Tableheading"/>
            </w:pPr>
            <w:r>
              <w:t>(</w:t>
            </w:r>
            <w:r w:rsidR="009001A8" w:rsidRPr="009001A8">
              <w:t>%</w:t>
            </w:r>
            <w:r>
              <w:t>)</w:t>
            </w:r>
          </w:p>
        </w:tc>
        <w:tc>
          <w:tcPr>
            <w:tcW w:w="956" w:type="dxa"/>
            <w:tcBorders>
              <w:top w:val="single" w:sz="4" w:space="0" w:color="auto"/>
              <w:left w:val="nil"/>
              <w:bottom w:val="single" w:sz="4" w:space="0" w:color="auto"/>
              <w:right w:val="single" w:sz="4" w:space="0" w:color="auto"/>
            </w:tcBorders>
            <w:shd w:val="clear" w:color="auto" w:fill="BFBFBF" w:themeFill="background1" w:themeFillShade="BF"/>
            <w:noWrap/>
            <w:hideMark/>
          </w:tcPr>
          <w:p w:rsidR="009001A8" w:rsidRPr="009001A8" w:rsidRDefault="009001A8" w:rsidP="009001A8">
            <w:pPr>
              <w:pStyle w:val="Tableheading"/>
            </w:pPr>
            <w:r w:rsidRPr="009001A8">
              <w:t>MAC</w:t>
            </w:r>
          </w:p>
          <w:p w:rsidR="009001A8" w:rsidRPr="009001A8" w:rsidRDefault="00276850" w:rsidP="009001A8">
            <w:pPr>
              <w:pStyle w:val="Tableheading"/>
            </w:pPr>
            <w:r>
              <w:t>(</w:t>
            </w:r>
            <w:r w:rsidR="009001A8" w:rsidRPr="009001A8">
              <w:t>%</w:t>
            </w:r>
            <w:r>
              <w:t>)</w:t>
            </w:r>
          </w:p>
        </w:tc>
      </w:tr>
      <w:tr w:rsidR="009001A8" w:rsidRPr="009001A8" w:rsidTr="009001A8">
        <w:trPr>
          <w:trHeight w:val="255"/>
          <w:jc w:val="center"/>
        </w:trPr>
        <w:tc>
          <w:tcPr>
            <w:tcW w:w="624" w:type="dxa"/>
            <w:tcBorders>
              <w:top w:val="single" w:sz="4" w:space="0" w:color="auto"/>
              <w:left w:val="single" w:sz="4" w:space="0" w:color="auto"/>
              <w:bottom w:val="nil"/>
              <w:right w:val="single" w:sz="4" w:space="0" w:color="auto"/>
            </w:tcBorders>
            <w:shd w:val="clear" w:color="auto" w:fill="auto"/>
            <w:noWrap/>
            <w:hideMark/>
          </w:tcPr>
          <w:p w:rsidR="009001A8" w:rsidRPr="009001A8" w:rsidRDefault="009001A8" w:rsidP="009001A8">
            <w:pPr>
              <w:pStyle w:val="Tabletext"/>
              <w:spacing w:before="40" w:after="40"/>
              <w:jc w:val="center"/>
              <w:rPr>
                <w:color w:val="000000"/>
                <w:sz w:val="20"/>
                <w:lang w:eastAsia="en-NZ"/>
              </w:rPr>
            </w:pPr>
            <w:r w:rsidRPr="009001A8">
              <w:rPr>
                <w:color w:val="000000"/>
                <w:sz w:val="20"/>
                <w:lang w:eastAsia="en-NZ"/>
              </w:rPr>
              <w:t>1</w:t>
            </w:r>
          </w:p>
        </w:tc>
        <w:tc>
          <w:tcPr>
            <w:tcW w:w="1388" w:type="dxa"/>
            <w:tcBorders>
              <w:top w:val="single" w:sz="4" w:space="0" w:color="auto"/>
              <w:left w:val="single" w:sz="4" w:space="0" w:color="auto"/>
              <w:bottom w:val="nil"/>
              <w:right w:val="nil"/>
            </w:tcBorders>
            <w:shd w:val="clear" w:color="auto" w:fill="auto"/>
            <w:noWrap/>
            <w:vAlign w:val="bottom"/>
            <w:hideMark/>
          </w:tcPr>
          <w:p w:rsidR="009001A8" w:rsidRPr="009001A8" w:rsidRDefault="009001A8" w:rsidP="009001A8">
            <w:pPr>
              <w:pStyle w:val="Tabletext"/>
              <w:spacing w:before="40" w:after="40"/>
              <w:jc w:val="center"/>
              <w:rPr>
                <w:color w:val="000000"/>
                <w:sz w:val="20"/>
                <w:lang w:eastAsia="en-NZ"/>
              </w:rPr>
            </w:pPr>
            <w:r w:rsidRPr="009001A8">
              <w:rPr>
                <w:color w:val="000000"/>
                <w:sz w:val="20"/>
                <w:lang w:eastAsia="en-NZ"/>
              </w:rPr>
              <w:t>1</w:t>
            </w:r>
          </w:p>
        </w:tc>
        <w:tc>
          <w:tcPr>
            <w:tcW w:w="1219" w:type="dxa"/>
            <w:tcBorders>
              <w:top w:val="single" w:sz="4" w:space="0" w:color="auto"/>
              <w:left w:val="nil"/>
              <w:bottom w:val="nil"/>
              <w:right w:val="nil"/>
            </w:tcBorders>
            <w:shd w:val="clear" w:color="auto" w:fill="auto"/>
            <w:noWrap/>
            <w:vAlign w:val="bottom"/>
            <w:hideMark/>
          </w:tcPr>
          <w:p w:rsidR="009001A8" w:rsidRPr="009001A8" w:rsidRDefault="009001A8" w:rsidP="009001A8">
            <w:pPr>
              <w:pStyle w:val="Tabletext"/>
              <w:spacing w:before="40" w:after="40"/>
              <w:jc w:val="center"/>
              <w:rPr>
                <w:color w:val="000000"/>
                <w:sz w:val="20"/>
                <w:lang w:eastAsia="en-NZ"/>
              </w:rPr>
            </w:pPr>
            <w:r w:rsidRPr="009001A8">
              <w:rPr>
                <w:color w:val="000000"/>
                <w:sz w:val="20"/>
                <w:lang w:eastAsia="en-NZ"/>
              </w:rPr>
              <w:t>3.18</w:t>
            </w:r>
          </w:p>
        </w:tc>
        <w:tc>
          <w:tcPr>
            <w:tcW w:w="1441" w:type="dxa"/>
            <w:tcBorders>
              <w:top w:val="single" w:sz="4" w:space="0" w:color="auto"/>
              <w:left w:val="nil"/>
              <w:bottom w:val="nil"/>
              <w:right w:val="nil"/>
            </w:tcBorders>
            <w:shd w:val="clear" w:color="auto" w:fill="auto"/>
            <w:noWrap/>
            <w:vAlign w:val="bottom"/>
            <w:hideMark/>
          </w:tcPr>
          <w:p w:rsidR="009001A8" w:rsidRPr="009001A8" w:rsidRDefault="009001A8" w:rsidP="009001A8">
            <w:pPr>
              <w:pStyle w:val="Tabletext"/>
              <w:spacing w:before="40" w:after="40"/>
              <w:jc w:val="center"/>
              <w:rPr>
                <w:color w:val="000000"/>
                <w:sz w:val="20"/>
                <w:lang w:eastAsia="en-NZ"/>
              </w:rPr>
            </w:pPr>
            <w:r w:rsidRPr="009001A8">
              <w:rPr>
                <w:color w:val="000000"/>
                <w:sz w:val="20"/>
                <w:lang w:eastAsia="en-NZ"/>
              </w:rPr>
              <w:t>1</w:t>
            </w:r>
          </w:p>
        </w:tc>
        <w:tc>
          <w:tcPr>
            <w:tcW w:w="1056" w:type="dxa"/>
            <w:tcBorders>
              <w:top w:val="single" w:sz="4" w:space="0" w:color="auto"/>
              <w:left w:val="nil"/>
              <w:bottom w:val="nil"/>
              <w:right w:val="nil"/>
            </w:tcBorders>
            <w:shd w:val="clear" w:color="auto" w:fill="auto"/>
            <w:noWrap/>
            <w:hideMark/>
          </w:tcPr>
          <w:p w:rsidR="009001A8" w:rsidRPr="009001A8" w:rsidRDefault="009001A8" w:rsidP="009001A8">
            <w:pPr>
              <w:pStyle w:val="Tabletext"/>
              <w:spacing w:before="40" w:after="40"/>
              <w:jc w:val="center"/>
              <w:rPr>
                <w:color w:val="000000"/>
                <w:sz w:val="20"/>
                <w:lang w:eastAsia="en-NZ"/>
              </w:rPr>
            </w:pPr>
            <w:r w:rsidRPr="009001A8">
              <w:rPr>
                <w:color w:val="000000"/>
                <w:sz w:val="20"/>
                <w:lang w:eastAsia="en-NZ"/>
              </w:rPr>
              <w:t>3.23</w:t>
            </w:r>
          </w:p>
        </w:tc>
        <w:tc>
          <w:tcPr>
            <w:tcW w:w="956" w:type="dxa"/>
            <w:tcBorders>
              <w:top w:val="single" w:sz="4" w:space="0" w:color="auto"/>
              <w:left w:val="nil"/>
              <w:bottom w:val="nil"/>
              <w:right w:val="nil"/>
            </w:tcBorders>
            <w:shd w:val="clear" w:color="auto" w:fill="auto"/>
            <w:noWrap/>
            <w:hideMark/>
          </w:tcPr>
          <w:p w:rsidR="009001A8" w:rsidRPr="009001A8" w:rsidRDefault="009001A8" w:rsidP="009001A8">
            <w:pPr>
              <w:pStyle w:val="Tabletext"/>
              <w:spacing w:before="40" w:after="40"/>
              <w:jc w:val="center"/>
              <w:rPr>
                <w:color w:val="000000"/>
                <w:sz w:val="20"/>
                <w:lang w:eastAsia="en-NZ"/>
              </w:rPr>
            </w:pPr>
            <w:r w:rsidRPr="009001A8">
              <w:rPr>
                <w:color w:val="000000"/>
                <w:sz w:val="20"/>
                <w:lang w:eastAsia="en-NZ"/>
              </w:rPr>
              <w:t>-1.72</w:t>
            </w:r>
          </w:p>
        </w:tc>
        <w:tc>
          <w:tcPr>
            <w:tcW w:w="956" w:type="dxa"/>
            <w:tcBorders>
              <w:top w:val="single" w:sz="4" w:space="0" w:color="auto"/>
              <w:left w:val="nil"/>
              <w:bottom w:val="nil"/>
              <w:right w:val="single" w:sz="4" w:space="0" w:color="auto"/>
            </w:tcBorders>
            <w:shd w:val="clear" w:color="auto" w:fill="auto"/>
            <w:noWrap/>
            <w:hideMark/>
          </w:tcPr>
          <w:p w:rsidR="009001A8" w:rsidRPr="009001A8" w:rsidRDefault="009001A8" w:rsidP="009001A8">
            <w:pPr>
              <w:pStyle w:val="Tabletext"/>
              <w:spacing w:before="40" w:after="40"/>
              <w:jc w:val="center"/>
              <w:rPr>
                <w:color w:val="000000"/>
                <w:sz w:val="20"/>
                <w:lang w:eastAsia="en-NZ"/>
              </w:rPr>
            </w:pPr>
            <w:r w:rsidRPr="009001A8">
              <w:rPr>
                <w:color w:val="000000"/>
                <w:sz w:val="20"/>
                <w:lang w:eastAsia="en-NZ"/>
              </w:rPr>
              <w:t>90.8</w:t>
            </w:r>
          </w:p>
        </w:tc>
      </w:tr>
      <w:tr w:rsidR="009001A8" w:rsidRPr="009001A8" w:rsidTr="009001A8">
        <w:trPr>
          <w:trHeight w:val="255"/>
          <w:jc w:val="center"/>
        </w:trPr>
        <w:tc>
          <w:tcPr>
            <w:tcW w:w="624" w:type="dxa"/>
            <w:tcBorders>
              <w:top w:val="nil"/>
              <w:left w:val="single" w:sz="4" w:space="0" w:color="auto"/>
              <w:bottom w:val="nil"/>
              <w:right w:val="single" w:sz="4" w:space="0" w:color="auto"/>
            </w:tcBorders>
            <w:shd w:val="clear" w:color="auto" w:fill="auto"/>
            <w:noWrap/>
            <w:hideMark/>
          </w:tcPr>
          <w:p w:rsidR="009001A8" w:rsidRPr="009001A8" w:rsidRDefault="009001A8" w:rsidP="009001A8">
            <w:pPr>
              <w:pStyle w:val="Tabletext"/>
              <w:spacing w:before="40" w:after="40"/>
              <w:jc w:val="center"/>
              <w:rPr>
                <w:color w:val="000000"/>
                <w:sz w:val="20"/>
                <w:lang w:eastAsia="en-NZ"/>
              </w:rPr>
            </w:pPr>
            <w:r w:rsidRPr="009001A8">
              <w:rPr>
                <w:color w:val="000000"/>
                <w:sz w:val="20"/>
                <w:lang w:eastAsia="en-NZ"/>
              </w:rPr>
              <w:t>2</w:t>
            </w:r>
          </w:p>
        </w:tc>
        <w:tc>
          <w:tcPr>
            <w:tcW w:w="1388" w:type="dxa"/>
            <w:tcBorders>
              <w:top w:val="nil"/>
              <w:left w:val="single" w:sz="4" w:space="0" w:color="auto"/>
              <w:bottom w:val="nil"/>
              <w:right w:val="nil"/>
            </w:tcBorders>
            <w:shd w:val="clear" w:color="auto" w:fill="auto"/>
            <w:noWrap/>
            <w:vAlign w:val="bottom"/>
            <w:hideMark/>
          </w:tcPr>
          <w:p w:rsidR="009001A8" w:rsidRPr="009001A8" w:rsidRDefault="009001A8" w:rsidP="009001A8">
            <w:pPr>
              <w:pStyle w:val="Tabletext"/>
              <w:spacing w:before="40" w:after="40"/>
              <w:jc w:val="center"/>
              <w:rPr>
                <w:color w:val="000000"/>
                <w:sz w:val="20"/>
                <w:lang w:eastAsia="en-NZ"/>
              </w:rPr>
            </w:pPr>
            <w:r w:rsidRPr="009001A8">
              <w:rPr>
                <w:color w:val="000000"/>
                <w:sz w:val="20"/>
                <w:lang w:eastAsia="en-NZ"/>
              </w:rPr>
              <w:t>6</w:t>
            </w:r>
          </w:p>
        </w:tc>
        <w:tc>
          <w:tcPr>
            <w:tcW w:w="1219" w:type="dxa"/>
            <w:tcBorders>
              <w:top w:val="nil"/>
              <w:left w:val="nil"/>
              <w:bottom w:val="nil"/>
              <w:right w:val="nil"/>
            </w:tcBorders>
            <w:shd w:val="clear" w:color="auto" w:fill="auto"/>
            <w:noWrap/>
            <w:vAlign w:val="bottom"/>
            <w:hideMark/>
          </w:tcPr>
          <w:p w:rsidR="009001A8" w:rsidRPr="009001A8" w:rsidRDefault="009001A8" w:rsidP="009001A8">
            <w:pPr>
              <w:pStyle w:val="Tabletext"/>
              <w:spacing w:before="40" w:after="40"/>
              <w:jc w:val="center"/>
              <w:rPr>
                <w:color w:val="000000"/>
                <w:sz w:val="20"/>
                <w:lang w:eastAsia="en-NZ"/>
              </w:rPr>
            </w:pPr>
            <w:r w:rsidRPr="009001A8">
              <w:rPr>
                <w:color w:val="000000"/>
                <w:sz w:val="20"/>
                <w:lang w:eastAsia="en-NZ"/>
              </w:rPr>
              <w:t>5.75</w:t>
            </w:r>
          </w:p>
        </w:tc>
        <w:tc>
          <w:tcPr>
            <w:tcW w:w="1441" w:type="dxa"/>
            <w:tcBorders>
              <w:top w:val="nil"/>
              <w:left w:val="nil"/>
              <w:bottom w:val="nil"/>
              <w:right w:val="nil"/>
            </w:tcBorders>
            <w:shd w:val="clear" w:color="auto" w:fill="auto"/>
            <w:noWrap/>
            <w:vAlign w:val="bottom"/>
            <w:hideMark/>
          </w:tcPr>
          <w:p w:rsidR="009001A8" w:rsidRPr="009001A8" w:rsidRDefault="009001A8" w:rsidP="009001A8">
            <w:pPr>
              <w:pStyle w:val="Tabletext"/>
              <w:spacing w:before="40" w:after="40"/>
              <w:jc w:val="center"/>
              <w:rPr>
                <w:color w:val="000000"/>
                <w:sz w:val="20"/>
                <w:lang w:eastAsia="en-NZ"/>
              </w:rPr>
            </w:pPr>
            <w:r w:rsidRPr="009001A8">
              <w:rPr>
                <w:color w:val="000000"/>
                <w:sz w:val="20"/>
                <w:lang w:eastAsia="en-NZ"/>
              </w:rPr>
              <w:t>3</w:t>
            </w:r>
          </w:p>
        </w:tc>
        <w:tc>
          <w:tcPr>
            <w:tcW w:w="1056" w:type="dxa"/>
            <w:tcBorders>
              <w:top w:val="nil"/>
              <w:left w:val="nil"/>
              <w:bottom w:val="nil"/>
              <w:right w:val="nil"/>
            </w:tcBorders>
            <w:shd w:val="clear" w:color="auto" w:fill="auto"/>
            <w:noWrap/>
            <w:hideMark/>
          </w:tcPr>
          <w:p w:rsidR="009001A8" w:rsidRPr="009001A8" w:rsidRDefault="009001A8" w:rsidP="009001A8">
            <w:pPr>
              <w:pStyle w:val="Tabletext"/>
              <w:spacing w:before="40" w:after="40"/>
              <w:jc w:val="center"/>
              <w:rPr>
                <w:color w:val="000000"/>
                <w:sz w:val="20"/>
                <w:lang w:eastAsia="en-NZ"/>
              </w:rPr>
            </w:pPr>
            <w:r w:rsidRPr="009001A8">
              <w:rPr>
                <w:color w:val="000000"/>
                <w:sz w:val="20"/>
                <w:lang w:eastAsia="en-NZ"/>
              </w:rPr>
              <w:t>5.64</w:t>
            </w:r>
          </w:p>
        </w:tc>
        <w:tc>
          <w:tcPr>
            <w:tcW w:w="956" w:type="dxa"/>
            <w:tcBorders>
              <w:top w:val="nil"/>
              <w:left w:val="nil"/>
              <w:bottom w:val="nil"/>
              <w:right w:val="nil"/>
            </w:tcBorders>
            <w:shd w:val="clear" w:color="auto" w:fill="auto"/>
            <w:noWrap/>
            <w:hideMark/>
          </w:tcPr>
          <w:p w:rsidR="009001A8" w:rsidRPr="009001A8" w:rsidRDefault="009001A8" w:rsidP="009001A8">
            <w:pPr>
              <w:pStyle w:val="Tabletext"/>
              <w:spacing w:before="40" w:after="40"/>
              <w:jc w:val="center"/>
              <w:rPr>
                <w:color w:val="000000"/>
                <w:sz w:val="20"/>
                <w:lang w:eastAsia="en-NZ"/>
              </w:rPr>
            </w:pPr>
            <w:r w:rsidRPr="009001A8">
              <w:rPr>
                <w:color w:val="000000"/>
                <w:sz w:val="20"/>
                <w:lang w:eastAsia="en-NZ"/>
              </w:rPr>
              <w:t>1.95</w:t>
            </w:r>
          </w:p>
        </w:tc>
        <w:tc>
          <w:tcPr>
            <w:tcW w:w="956" w:type="dxa"/>
            <w:tcBorders>
              <w:top w:val="nil"/>
              <w:left w:val="nil"/>
              <w:bottom w:val="nil"/>
              <w:right w:val="single" w:sz="4" w:space="0" w:color="auto"/>
            </w:tcBorders>
            <w:shd w:val="clear" w:color="auto" w:fill="auto"/>
            <w:noWrap/>
            <w:hideMark/>
          </w:tcPr>
          <w:p w:rsidR="009001A8" w:rsidRPr="009001A8" w:rsidRDefault="009001A8" w:rsidP="009001A8">
            <w:pPr>
              <w:pStyle w:val="Tabletext"/>
              <w:spacing w:before="40" w:after="40"/>
              <w:jc w:val="center"/>
              <w:rPr>
                <w:color w:val="000000"/>
                <w:sz w:val="20"/>
                <w:lang w:eastAsia="en-NZ"/>
              </w:rPr>
            </w:pPr>
            <w:r w:rsidRPr="009001A8">
              <w:rPr>
                <w:color w:val="000000"/>
                <w:sz w:val="20"/>
                <w:lang w:eastAsia="en-NZ"/>
              </w:rPr>
              <w:t>85.5</w:t>
            </w:r>
          </w:p>
        </w:tc>
      </w:tr>
      <w:tr w:rsidR="009001A8" w:rsidRPr="009001A8" w:rsidTr="009001A8">
        <w:trPr>
          <w:trHeight w:val="255"/>
          <w:jc w:val="center"/>
        </w:trPr>
        <w:tc>
          <w:tcPr>
            <w:tcW w:w="624" w:type="dxa"/>
            <w:tcBorders>
              <w:top w:val="nil"/>
              <w:left w:val="single" w:sz="4" w:space="0" w:color="auto"/>
              <w:bottom w:val="nil"/>
              <w:right w:val="single" w:sz="4" w:space="0" w:color="auto"/>
            </w:tcBorders>
            <w:shd w:val="clear" w:color="auto" w:fill="auto"/>
            <w:noWrap/>
            <w:hideMark/>
          </w:tcPr>
          <w:p w:rsidR="009001A8" w:rsidRPr="009001A8" w:rsidRDefault="009001A8" w:rsidP="009001A8">
            <w:pPr>
              <w:pStyle w:val="Tabletext"/>
              <w:spacing w:before="40" w:after="40"/>
              <w:jc w:val="center"/>
              <w:rPr>
                <w:color w:val="000000"/>
                <w:sz w:val="20"/>
                <w:lang w:eastAsia="en-NZ"/>
              </w:rPr>
            </w:pPr>
            <w:r w:rsidRPr="009001A8">
              <w:rPr>
                <w:color w:val="000000"/>
                <w:sz w:val="20"/>
                <w:lang w:eastAsia="en-NZ"/>
              </w:rPr>
              <w:t>3</w:t>
            </w:r>
          </w:p>
        </w:tc>
        <w:tc>
          <w:tcPr>
            <w:tcW w:w="1388" w:type="dxa"/>
            <w:tcBorders>
              <w:top w:val="nil"/>
              <w:left w:val="single" w:sz="4" w:space="0" w:color="auto"/>
              <w:bottom w:val="nil"/>
              <w:right w:val="nil"/>
            </w:tcBorders>
            <w:shd w:val="clear" w:color="auto" w:fill="auto"/>
            <w:noWrap/>
            <w:vAlign w:val="bottom"/>
            <w:hideMark/>
          </w:tcPr>
          <w:p w:rsidR="009001A8" w:rsidRPr="009001A8" w:rsidRDefault="009001A8" w:rsidP="009001A8">
            <w:pPr>
              <w:pStyle w:val="Tabletext"/>
              <w:spacing w:before="40" w:after="40"/>
              <w:jc w:val="center"/>
              <w:rPr>
                <w:color w:val="000000"/>
                <w:sz w:val="20"/>
                <w:lang w:eastAsia="en-NZ"/>
              </w:rPr>
            </w:pPr>
            <w:r w:rsidRPr="009001A8">
              <w:rPr>
                <w:color w:val="000000"/>
                <w:sz w:val="20"/>
                <w:lang w:eastAsia="en-NZ"/>
              </w:rPr>
              <w:t>7</w:t>
            </w:r>
          </w:p>
        </w:tc>
        <w:tc>
          <w:tcPr>
            <w:tcW w:w="1219" w:type="dxa"/>
            <w:tcBorders>
              <w:top w:val="nil"/>
              <w:left w:val="nil"/>
              <w:bottom w:val="nil"/>
              <w:right w:val="nil"/>
            </w:tcBorders>
            <w:shd w:val="clear" w:color="auto" w:fill="auto"/>
            <w:noWrap/>
            <w:vAlign w:val="bottom"/>
            <w:hideMark/>
          </w:tcPr>
          <w:p w:rsidR="009001A8" w:rsidRPr="009001A8" w:rsidRDefault="009001A8" w:rsidP="009001A8">
            <w:pPr>
              <w:pStyle w:val="Tabletext"/>
              <w:spacing w:before="40" w:after="40"/>
              <w:jc w:val="center"/>
              <w:rPr>
                <w:color w:val="000000"/>
                <w:sz w:val="20"/>
                <w:lang w:eastAsia="en-NZ"/>
              </w:rPr>
            </w:pPr>
            <w:r w:rsidRPr="009001A8">
              <w:rPr>
                <w:color w:val="000000"/>
                <w:sz w:val="20"/>
                <w:lang w:eastAsia="en-NZ"/>
              </w:rPr>
              <w:t>5.85</w:t>
            </w:r>
          </w:p>
        </w:tc>
        <w:tc>
          <w:tcPr>
            <w:tcW w:w="1441" w:type="dxa"/>
            <w:tcBorders>
              <w:top w:val="nil"/>
              <w:left w:val="nil"/>
              <w:bottom w:val="nil"/>
              <w:right w:val="nil"/>
            </w:tcBorders>
            <w:shd w:val="clear" w:color="auto" w:fill="auto"/>
            <w:noWrap/>
            <w:vAlign w:val="bottom"/>
            <w:hideMark/>
          </w:tcPr>
          <w:p w:rsidR="009001A8" w:rsidRPr="009001A8" w:rsidRDefault="009001A8" w:rsidP="009001A8">
            <w:pPr>
              <w:pStyle w:val="Tabletext"/>
              <w:spacing w:before="40" w:after="40"/>
              <w:jc w:val="center"/>
              <w:rPr>
                <w:color w:val="000000"/>
                <w:sz w:val="20"/>
                <w:lang w:eastAsia="en-NZ"/>
              </w:rPr>
            </w:pPr>
            <w:r w:rsidRPr="009001A8">
              <w:rPr>
                <w:color w:val="000000"/>
                <w:sz w:val="20"/>
                <w:lang w:eastAsia="en-NZ"/>
              </w:rPr>
              <w:t>6</w:t>
            </w:r>
          </w:p>
        </w:tc>
        <w:tc>
          <w:tcPr>
            <w:tcW w:w="1056" w:type="dxa"/>
            <w:tcBorders>
              <w:top w:val="nil"/>
              <w:left w:val="nil"/>
              <w:bottom w:val="nil"/>
              <w:right w:val="nil"/>
            </w:tcBorders>
            <w:shd w:val="clear" w:color="auto" w:fill="auto"/>
            <w:noWrap/>
            <w:hideMark/>
          </w:tcPr>
          <w:p w:rsidR="009001A8" w:rsidRPr="009001A8" w:rsidRDefault="009001A8" w:rsidP="009001A8">
            <w:pPr>
              <w:pStyle w:val="Tabletext"/>
              <w:spacing w:before="40" w:after="40"/>
              <w:jc w:val="center"/>
              <w:rPr>
                <w:color w:val="000000"/>
                <w:sz w:val="20"/>
                <w:lang w:eastAsia="en-NZ"/>
              </w:rPr>
            </w:pPr>
            <w:r w:rsidRPr="009001A8">
              <w:rPr>
                <w:color w:val="000000"/>
                <w:sz w:val="20"/>
                <w:lang w:eastAsia="en-NZ"/>
              </w:rPr>
              <w:t>14.66</w:t>
            </w:r>
          </w:p>
        </w:tc>
        <w:tc>
          <w:tcPr>
            <w:tcW w:w="956" w:type="dxa"/>
            <w:tcBorders>
              <w:top w:val="nil"/>
              <w:left w:val="nil"/>
              <w:bottom w:val="nil"/>
              <w:right w:val="nil"/>
            </w:tcBorders>
            <w:shd w:val="clear" w:color="auto" w:fill="auto"/>
            <w:noWrap/>
            <w:hideMark/>
          </w:tcPr>
          <w:p w:rsidR="009001A8" w:rsidRPr="009001A8" w:rsidRDefault="009001A8" w:rsidP="009001A8">
            <w:pPr>
              <w:pStyle w:val="Tabletext"/>
              <w:spacing w:before="40" w:after="40"/>
              <w:jc w:val="center"/>
              <w:rPr>
                <w:color w:val="000000"/>
                <w:sz w:val="20"/>
                <w:lang w:eastAsia="en-NZ"/>
              </w:rPr>
            </w:pPr>
            <w:r w:rsidRPr="009001A8">
              <w:rPr>
                <w:color w:val="000000"/>
                <w:sz w:val="20"/>
                <w:lang w:eastAsia="en-NZ"/>
              </w:rPr>
              <w:t>-60.09</w:t>
            </w:r>
          </w:p>
        </w:tc>
        <w:tc>
          <w:tcPr>
            <w:tcW w:w="956" w:type="dxa"/>
            <w:tcBorders>
              <w:top w:val="nil"/>
              <w:left w:val="nil"/>
              <w:bottom w:val="nil"/>
              <w:right w:val="single" w:sz="4" w:space="0" w:color="auto"/>
            </w:tcBorders>
            <w:shd w:val="clear" w:color="auto" w:fill="auto"/>
            <w:noWrap/>
            <w:hideMark/>
          </w:tcPr>
          <w:p w:rsidR="009001A8" w:rsidRPr="009001A8" w:rsidRDefault="009001A8" w:rsidP="009001A8">
            <w:pPr>
              <w:pStyle w:val="Tabletext"/>
              <w:spacing w:before="40" w:after="40"/>
              <w:jc w:val="center"/>
              <w:rPr>
                <w:color w:val="000000"/>
                <w:sz w:val="20"/>
                <w:lang w:eastAsia="en-NZ"/>
              </w:rPr>
            </w:pPr>
            <w:r w:rsidRPr="009001A8">
              <w:rPr>
                <w:color w:val="000000"/>
                <w:sz w:val="20"/>
                <w:lang w:eastAsia="en-NZ"/>
              </w:rPr>
              <w:t>73</w:t>
            </w:r>
          </w:p>
        </w:tc>
      </w:tr>
      <w:tr w:rsidR="009001A8" w:rsidRPr="009001A8" w:rsidTr="009001A8">
        <w:trPr>
          <w:trHeight w:val="255"/>
          <w:jc w:val="center"/>
        </w:trPr>
        <w:tc>
          <w:tcPr>
            <w:tcW w:w="624" w:type="dxa"/>
            <w:tcBorders>
              <w:top w:val="nil"/>
              <w:left w:val="single" w:sz="4" w:space="0" w:color="auto"/>
              <w:bottom w:val="nil"/>
              <w:right w:val="single" w:sz="4" w:space="0" w:color="auto"/>
            </w:tcBorders>
            <w:shd w:val="clear" w:color="auto" w:fill="auto"/>
            <w:noWrap/>
            <w:hideMark/>
          </w:tcPr>
          <w:p w:rsidR="009001A8" w:rsidRPr="009001A8" w:rsidRDefault="009001A8" w:rsidP="009001A8">
            <w:pPr>
              <w:pStyle w:val="Tabletext"/>
              <w:spacing w:before="40" w:after="40"/>
              <w:jc w:val="center"/>
              <w:rPr>
                <w:color w:val="000000"/>
                <w:sz w:val="20"/>
                <w:lang w:eastAsia="en-NZ"/>
              </w:rPr>
            </w:pPr>
            <w:r w:rsidRPr="009001A8">
              <w:rPr>
                <w:color w:val="000000"/>
                <w:sz w:val="20"/>
                <w:lang w:eastAsia="en-NZ"/>
              </w:rPr>
              <w:t>4</w:t>
            </w:r>
          </w:p>
        </w:tc>
        <w:tc>
          <w:tcPr>
            <w:tcW w:w="1388" w:type="dxa"/>
            <w:tcBorders>
              <w:top w:val="nil"/>
              <w:left w:val="single" w:sz="4" w:space="0" w:color="auto"/>
              <w:bottom w:val="nil"/>
              <w:right w:val="nil"/>
            </w:tcBorders>
            <w:shd w:val="clear" w:color="auto" w:fill="auto"/>
            <w:noWrap/>
            <w:vAlign w:val="bottom"/>
            <w:hideMark/>
          </w:tcPr>
          <w:p w:rsidR="009001A8" w:rsidRPr="009001A8" w:rsidRDefault="009001A8" w:rsidP="009001A8">
            <w:pPr>
              <w:pStyle w:val="Tabletext"/>
              <w:spacing w:before="40" w:after="40"/>
              <w:jc w:val="center"/>
              <w:rPr>
                <w:color w:val="000000"/>
                <w:sz w:val="20"/>
                <w:lang w:eastAsia="en-NZ"/>
              </w:rPr>
            </w:pPr>
            <w:r w:rsidRPr="009001A8">
              <w:rPr>
                <w:color w:val="000000"/>
                <w:sz w:val="20"/>
                <w:lang w:eastAsia="en-NZ"/>
              </w:rPr>
              <w:t>14</w:t>
            </w:r>
          </w:p>
        </w:tc>
        <w:tc>
          <w:tcPr>
            <w:tcW w:w="1219" w:type="dxa"/>
            <w:tcBorders>
              <w:top w:val="nil"/>
              <w:left w:val="nil"/>
              <w:bottom w:val="nil"/>
              <w:right w:val="nil"/>
            </w:tcBorders>
            <w:shd w:val="clear" w:color="auto" w:fill="auto"/>
            <w:noWrap/>
            <w:vAlign w:val="bottom"/>
            <w:hideMark/>
          </w:tcPr>
          <w:p w:rsidR="009001A8" w:rsidRPr="009001A8" w:rsidRDefault="009001A8" w:rsidP="009001A8">
            <w:pPr>
              <w:pStyle w:val="Tabletext"/>
              <w:spacing w:before="40" w:after="40"/>
              <w:jc w:val="center"/>
              <w:rPr>
                <w:color w:val="000000"/>
                <w:sz w:val="20"/>
                <w:lang w:eastAsia="en-NZ"/>
              </w:rPr>
            </w:pPr>
            <w:r w:rsidRPr="009001A8">
              <w:rPr>
                <w:color w:val="000000"/>
                <w:sz w:val="20"/>
                <w:lang w:eastAsia="en-NZ"/>
              </w:rPr>
              <w:t>6.93</w:t>
            </w:r>
          </w:p>
        </w:tc>
        <w:tc>
          <w:tcPr>
            <w:tcW w:w="1441" w:type="dxa"/>
            <w:tcBorders>
              <w:top w:val="nil"/>
              <w:left w:val="nil"/>
              <w:bottom w:val="nil"/>
              <w:right w:val="nil"/>
            </w:tcBorders>
            <w:shd w:val="clear" w:color="auto" w:fill="auto"/>
            <w:noWrap/>
            <w:vAlign w:val="bottom"/>
            <w:hideMark/>
          </w:tcPr>
          <w:p w:rsidR="009001A8" w:rsidRPr="009001A8" w:rsidRDefault="009001A8" w:rsidP="009001A8">
            <w:pPr>
              <w:pStyle w:val="Tabletext"/>
              <w:spacing w:before="40" w:after="40"/>
              <w:jc w:val="center"/>
              <w:rPr>
                <w:color w:val="000000"/>
                <w:sz w:val="20"/>
                <w:lang w:eastAsia="en-NZ"/>
              </w:rPr>
            </w:pPr>
            <w:r w:rsidRPr="009001A8">
              <w:rPr>
                <w:color w:val="000000"/>
                <w:sz w:val="20"/>
                <w:lang w:eastAsia="en-NZ"/>
              </w:rPr>
              <w:t>4</w:t>
            </w:r>
          </w:p>
        </w:tc>
        <w:tc>
          <w:tcPr>
            <w:tcW w:w="1056" w:type="dxa"/>
            <w:tcBorders>
              <w:top w:val="nil"/>
              <w:left w:val="nil"/>
              <w:bottom w:val="nil"/>
              <w:right w:val="nil"/>
            </w:tcBorders>
            <w:shd w:val="clear" w:color="auto" w:fill="auto"/>
            <w:noWrap/>
            <w:hideMark/>
          </w:tcPr>
          <w:p w:rsidR="009001A8" w:rsidRPr="009001A8" w:rsidRDefault="009001A8" w:rsidP="009001A8">
            <w:pPr>
              <w:pStyle w:val="Tabletext"/>
              <w:spacing w:before="40" w:after="40"/>
              <w:jc w:val="center"/>
              <w:rPr>
                <w:color w:val="000000"/>
                <w:sz w:val="20"/>
                <w:lang w:eastAsia="en-NZ"/>
              </w:rPr>
            </w:pPr>
            <w:r w:rsidRPr="009001A8">
              <w:rPr>
                <w:color w:val="000000"/>
                <w:sz w:val="20"/>
                <w:lang w:eastAsia="en-NZ"/>
              </w:rPr>
              <w:t>7.81</w:t>
            </w:r>
          </w:p>
        </w:tc>
        <w:tc>
          <w:tcPr>
            <w:tcW w:w="956" w:type="dxa"/>
            <w:tcBorders>
              <w:top w:val="nil"/>
              <w:left w:val="nil"/>
              <w:bottom w:val="nil"/>
              <w:right w:val="nil"/>
            </w:tcBorders>
            <w:shd w:val="clear" w:color="auto" w:fill="auto"/>
            <w:noWrap/>
            <w:hideMark/>
          </w:tcPr>
          <w:p w:rsidR="009001A8" w:rsidRPr="009001A8" w:rsidRDefault="009001A8" w:rsidP="009001A8">
            <w:pPr>
              <w:pStyle w:val="Tabletext"/>
              <w:spacing w:before="40" w:after="40"/>
              <w:jc w:val="center"/>
              <w:rPr>
                <w:color w:val="000000"/>
                <w:sz w:val="20"/>
                <w:lang w:eastAsia="en-NZ"/>
              </w:rPr>
            </w:pPr>
            <w:r w:rsidRPr="009001A8">
              <w:rPr>
                <w:color w:val="000000"/>
                <w:sz w:val="20"/>
                <w:lang w:eastAsia="en-NZ"/>
              </w:rPr>
              <w:t>-11.17</w:t>
            </w:r>
          </w:p>
        </w:tc>
        <w:tc>
          <w:tcPr>
            <w:tcW w:w="956" w:type="dxa"/>
            <w:tcBorders>
              <w:top w:val="nil"/>
              <w:left w:val="nil"/>
              <w:bottom w:val="nil"/>
              <w:right w:val="single" w:sz="4" w:space="0" w:color="auto"/>
            </w:tcBorders>
            <w:shd w:val="clear" w:color="auto" w:fill="auto"/>
            <w:noWrap/>
            <w:hideMark/>
          </w:tcPr>
          <w:p w:rsidR="009001A8" w:rsidRPr="009001A8" w:rsidRDefault="009001A8" w:rsidP="009001A8">
            <w:pPr>
              <w:pStyle w:val="Tabletext"/>
              <w:spacing w:before="40" w:after="40"/>
              <w:jc w:val="center"/>
              <w:rPr>
                <w:color w:val="000000"/>
                <w:sz w:val="20"/>
                <w:lang w:eastAsia="en-NZ"/>
              </w:rPr>
            </w:pPr>
            <w:r w:rsidRPr="009001A8">
              <w:rPr>
                <w:color w:val="000000"/>
                <w:sz w:val="20"/>
                <w:lang w:eastAsia="en-NZ"/>
              </w:rPr>
              <w:t>71.4</w:t>
            </w:r>
          </w:p>
        </w:tc>
      </w:tr>
      <w:tr w:rsidR="009001A8" w:rsidRPr="009001A8" w:rsidTr="009001A8">
        <w:trPr>
          <w:trHeight w:val="255"/>
          <w:jc w:val="center"/>
        </w:trPr>
        <w:tc>
          <w:tcPr>
            <w:tcW w:w="624" w:type="dxa"/>
            <w:tcBorders>
              <w:top w:val="nil"/>
              <w:left w:val="single" w:sz="4" w:space="0" w:color="auto"/>
              <w:bottom w:val="nil"/>
              <w:right w:val="single" w:sz="4" w:space="0" w:color="auto"/>
            </w:tcBorders>
            <w:shd w:val="clear" w:color="auto" w:fill="auto"/>
            <w:noWrap/>
            <w:hideMark/>
          </w:tcPr>
          <w:p w:rsidR="009001A8" w:rsidRPr="009001A8" w:rsidRDefault="009001A8" w:rsidP="009001A8">
            <w:pPr>
              <w:pStyle w:val="Tabletext"/>
              <w:spacing w:before="40" w:after="40"/>
              <w:jc w:val="center"/>
              <w:rPr>
                <w:color w:val="000000"/>
                <w:sz w:val="20"/>
                <w:lang w:eastAsia="en-NZ"/>
              </w:rPr>
            </w:pPr>
            <w:r w:rsidRPr="009001A8">
              <w:rPr>
                <w:color w:val="000000"/>
                <w:sz w:val="20"/>
                <w:lang w:eastAsia="en-NZ"/>
              </w:rPr>
              <w:t>5</w:t>
            </w:r>
          </w:p>
        </w:tc>
        <w:tc>
          <w:tcPr>
            <w:tcW w:w="1388" w:type="dxa"/>
            <w:tcBorders>
              <w:top w:val="nil"/>
              <w:left w:val="single" w:sz="4" w:space="0" w:color="auto"/>
              <w:bottom w:val="nil"/>
              <w:right w:val="nil"/>
            </w:tcBorders>
            <w:shd w:val="clear" w:color="auto" w:fill="auto"/>
            <w:noWrap/>
            <w:vAlign w:val="bottom"/>
            <w:hideMark/>
          </w:tcPr>
          <w:p w:rsidR="009001A8" w:rsidRPr="009001A8" w:rsidRDefault="009001A8" w:rsidP="009001A8">
            <w:pPr>
              <w:pStyle w:val="Tabletext"/>
              <w:spacing w:before="40" w:after="40"/>
              <w:jc w:val="center"/>
              <w:rPr>
                <w:color w:val="000000"/>
                <w:sz w:val="20"/>
                <w:lang w:eastAsia="en-NZ"/>
              </w:rPr>
            </w:pPr>
            <w:r w:rsidRPr="009001A8">
              <w:rPr>
                <w:color w:val="000000"/>
                <w:sz w:val="20"/>
                <w:lang w:eastAsia="en-NZ"/>
              </w:rPr>
              <w:t>15</w:t>
            </w:r>
          </w:p>
        </w:tc>
        <w:tc>
          <w:tcPr>
            <w:tcW w:w="1219" w:type="dxa"/>
            <w:tcBorders>
              <w:top w:val="nil"/>
              <w:left w:val="nil"/>
              <w:bottom w:val="nil"/>
              <w:right w:val="nil"/>
            </w:tcBorders>
            <w:shd w:val="clear" w:color="auto" w:fill="auto"/>
            <w:noWrap/>
            <w:vAlign w:val="bottom"/>
            <w:hideMark/>
          </w:tcPr>
          <w:p w:rsidR="009001A8" w:rsidRPr="009001A8" w:rsidRDefault="009001A8" w:rsidP="009001A8">
            <w:pPr>
              <w:pStyle w:val="Tabletext"/>
              <w:spacing w:before="40" w:after="40"/>
              <w:jc w:val="center"/>
              <w:rPr>
                <w:color w:val="000000"/>
                <w:sz w:val="20"/>
                <w:lang w:eastAsia="en-NZ"/>
              </w:rPr>
            </w:pPr>
            <w:r w:rsidRPr="009001A8">
              <w:rPr>
                <w:color w:val="000000"/>
                <w:sz w:val="20"/>
                <w:lang w:eastAsia="en-NZ"/>
              </w:rPr>
              <w:t>6.96</w:t>
            </w:r>
          </w:p>
        </w:tc>
        <w:tc>
          <w:tcPr>
            <w:tcW w:w="1441" w:type="dxa"/>
            <w:tcBorders>
              <w:top w:val="nil"/>
              <w:left w:val="nil"/>
              <w:bottom w:val="nil"/>
              <w:right w:val="nil"/>
            </w:tcBorders>
            <w:shd w:val="clear" w:color="auto" w:fill="auto"/>
            <w:noWrap/>
            <w:vAlign w:val="bottom"/>
            <w:hideMark/>
          </w:tcPr>
          <w:p w:rsidR="009001A8" w:rsidRPr="009001A8" w:rsidRDefault="009001A8" w:rsidP="009001A8">
            <w:pPr>
              <w:pStyle w:val="Tabletext"/>
              <w:spacing w:before="40" w:after="40"/>
              <w:jc w:val="center"/>
              <w:rPr>
                <w:color w:val="000000"/>
                <w:sz w:val="20"/>
                <w:lang w:eastAsia="en-NZ"/>
              </w:rPr>
            </w:pPr>
            <w:r w:rsidRPr="009001A8">
              <w:rPr>
                <w:color w:val="000000"/>
                <w:sz w:val="20"/>
                <w:lang w:eastAsia="en-NZ"/>
              </w:rPr>
              <w:t>2</w:t>
            </w:r>
          </w:p>
        </w:tc>
        <w:tc>
          <w:tcPr>
            <w:tcW w:w="1056" w:type="dxa"/>
            <w:tcBorders>
              <w:top w:val="nil"/>
              <w:left w:val="nil"/>
              <w:bottom w:val="nil"/>
              <w:right w:val="nil"/>
            </w:tcBorders>
            <w:shd w:val="clear" w:color="auto" w:fill="auto"/>
            <w:noWrap/>
            <w:hideMark/>
          </w:tcPr>
          <w:p w:rsidR="009001A8" w:rsidRPr="009001A8" w:rsidRDefault="009001A8" w:rsidP="009001A8">
            <w:pPr>
              <w:pStyle w:val="Tabletext"/>
              <w:spacing w:before="40" w:after="40"/>
              <w:jc w:val="center"/>
              <w:rPr>
                <w:color w:val="000000"/>
                <w:sz w:val="20"/>
                <w:lang w:eastAsia="en-NZ"/>
              </w:rPr>
            </w:pPr>
            <w:r w:rsidRPr="009001A8">
              <w:rPr>
                <w:color w:val="000000"/>
                <w:sz w:val="20"/>
                <w:lang w:eastAsia="en-NZ"/>
              </w:rPr>
              <w:t>4.28</w:t>
            </w:r>
          </w:p>
        </w:tc>
        <w:tc>
          <w:tcPr>
            <w:tcW w:w="956" w:type="dxa"/>
            <w:tcBorders>
              <w:top w:val="nil"/>
              <w:left w:val="nil"/>
              <w:bottom w:val="nil"/>
              <w:right w:val="nil"/>
            </w:tcBorders>
            <w:shd w:val="clear" w:color="auto" w:fill="auto"/>
            <w:noWrap/>
            <w:hideMark/>
          </w:tcPr>
          <w:p w:rsidR="009001A8" w:rsidRPr="009001A8" w:rsidRDefault="009001A8" w:rsidP="009001A8">
            <w:pPr>
              <w:pStyle w:val="Tabletext"/>
              <w:spacing w:before="40" w:after="40"/>
              <w:jc w:val="center"/>
              <w:rPr>
                <w:color w:val="000000"/>
                <w:sz w:val="20"/>
                <w:lang w:eastAsia="en-NZ"/>
              </w:rPr>
            </w:pPr>
            <w:r w:rsidRPr="009001A8">
              <w:rPr>
                <w:color w:val="000000"/>
                <w:sz w:val="20"/>
                <w:lang w:eastAsia="en-NZ"/>
              </w:rPr>
              <w:t>62.58</w:t>
            </w:r>
          </w:p>
        </w:tc>
        <w:tc>
          <w:tcPr>
            <w:tcW w:w="956" w:type="dxa"/>
            <w:tcBorders>
              <w:top w:val="nil"/>
              <w:left w:val="nil"/>
              <w:bottom w:val="nil"/>
              <w:right w:val="single" w:sz="4" w:space="0" w:color="auto"/>
            </w:tcBorders>
            <w:shd w:val="clear" w:color="auto" w:fill="auto"/>
            <w:noWrap/>
            <w:hideMark/>
          </w:tcPr>
          <w:p w:rsidR="009001A8" w:rsidRPr="009001A8" w:rsidRDefault="009001A8" w:rsidP="009001A8">
            <w:pPr>
              <w:pStyle w:val="Tabletext"/>
              <w:spacing w:before="40" w:after="40"/>
              <w:jc w:val="center"/>
              <w:rPr>
                <w:color w:val="000000"/>
                <w:sz w:val="20"/>
                <w:lang w:eastAsia="en-NZ"/>
              </w:rPr>
            </w:pPr>
            <w:r w:rsidRPr="009001A8">
              <w:rPr>
                <w:color w:val="000000"/>
                <w:sz w:val="20"/>
                <w:lang w:eastAsia="en-NZ"/>
              </w:rPr>
              <w:t>59.6</w:t>
            </w:r>
          </w:p>
        </w:tc>
      </w:tr>
      <w:tr w:rsidR="009001A8" w:rsidRPr="009001A8" w:rsidTr="009001A8">
        <w:trPr>
          <w:trHeight w:val="255"/>
          <w:jc w:val="center"/>
        </w:trPr>
        <w:tc>
          <w:tcPr>
            <w:tcW w:w="624" w:type="dxa"/>
            <w:tcBorders>
              <w:top w:val="nil"/>
              <w:left w:val="single" w:sz="4" w:space="0" w:color="auto"/>
              <w:bottom w:val="single" w:sz="4" w:space="0" w:color="auto"/>
              <w:right w:val="single" w:sz="4" w:space="0" w:color="auto"/>
            </w:tcBorders>
            <w:shd w:val="clear" w:color="auto" w:fill="auto"/>
            <w:noWrap/>
            <w:hideMark/>
          </w:tcPr>
          <w:p w:rsidR="009001A8" w:rsidRPr="009001A8" w:rsidRDefault="009001A8" w:rsidP="009001A8">
            <w:pPr>
              <w:pStyle w:val="Tabletext"/>
              <w:spacing w:before="40" w:after="40"/>
              <w:jc w:val="center"/>
              <w:rPr>
                <w:color w:val="000000"/>
                <w:sz w:val="20"/>
                <w:lang w:eastAsia="en-NZ"/>
              </w:rPr>
            </w:pPr>
            <w:r w:rsidRPr="009001A8">
              <w:rPr>
                <w:color w:val="000000"/>
                <w:sz w:val="20"/>
                <w:lang w:eastAsia="en-NZ"/>
              </w:rPr>
              <w:t>6</w:t>
            </w:r>
          </w:p>
        </w:tc>
        <w:tc>
          <w:tcPr>
            <w:tcW w:w="1388" w:type="dxa"/>
            <w:tcBorders>
              <w:top w:val="nil"/>
              <w:left w:val="single" w:sz="4" w:space="0" w:color="auto"/>
              <w:bottom w:val="single" w:sz="4" w:space="0" w:color="auto"/>
              <w:right w:val="nil"/>
            </w:tcBorders>
            <w:shd w:val="clear" w:color="auto" w:fill="auto"/>
            <w:noWrap/>
            <w:vAlign w:val="bottom"/>
            <w:hideMark/>
          </w:tcPr>
          <w:p w:rsidR="009001A8" w:rsidRPr="009001A8" w:rsidRDefault="009001A8" w:rsidP="009001A8">
            <w:pPr>
              <w:pStyle w:val="Tabletext"/>
              <w:spacing w:before="40" w:after="40"/>
              <w:jc w:val="center"/>
              <w:rPr>
                <w:color w:val="000000"/>
                <w:sz w:val="20"/>
                <w:lang w:eastAsia="en-NZ"/>
              </w:rPr>
            </w:pPr>
            <w:r w:rsidRPr="009001A8">
              <w:rPr>
                <w:color w:val="000000"/>
                <w:sz w:val="20"/>
                <w:lang w:eastAsia="en-NZ"/>
              </w:rPr>
              <w:t>20</w:t>
            </w:r>
          </w:p>
        </w:tc>
        <w:tc>
          <w:tcPr>
            <w:tcW w:w="1219" w:type="dxa"/>
            <w:tcBorders>
              <w:top w:val="nil"/>
              <w:left w:val="nil"/>
              <w:bottom w:val="single" w:sz="4" w:space="0" w:color="auto"/>
              <w:right w:val="nil"/>
            </w:tcBorders>
            <w:shd w:val="clear" w:color="auto" w:fill="auto"/>
            <w:noWrap/>
            <w:vAlign w:val="bottom"/>
            <w:hideMark/>
          </w:tcPr>
          <w:p w:rsidR="009001A8" w:rsidRPr="009001A8" w:rsidRDefault="009001A8" w:rsidP="009001A8">
            <w:pPr>
              <w:pStyle w:val="Tabletext"/>
              <w:spacing w:before="40" w:after="40"/>
              <w:jc w:val="center"/>
              <w:rPr>
                <w:color w:val="000000"/>
                <w:sz w:val="20"/>
                <w:lang w:eastAsia="en-NZ"/>
              </w:rPr>
            </w:pPr>
            <w:r w:rsidRPr="009001A8">
              <w:rPr>
                <w:color w:val="000000"/>
                <w:sz w:val="20"/>
                <w:lang w:eastAsia="en-NZ"/>
              </w:rPr>
              <w:t>7.13</w:t>
            </w:r>
          </w:p>
        </w:tc>
        <w:tc>
          <w:tcPr>
            <w:tcW w:w="1441" w:type="dxa"/>
            <w:tcBorders>
              <w:top w:val="nil"/>
              <w:left w:val="nil"/>
              <w:bottom w:val="single" w:sz="4" w:space="0" w:color="auto"/>
              <w:right w:val="nil"/>
            </w:tcBorders>
            <w:shd w:val="clear" w:color="auto" w:fill="auto"/>
            <w:noWrap/>
            <w:vAlign w:val="bottom"/>
            <w:hideMark/>
          </w:tcPr>
          <w:p w:rsidR="009001A8" w:rsidRPr="009001A8" w:rsidRDefault="009001A8" w:rsidP="009001A8">
            <w:pPr>
              <w:pStyle w:val="Tabletext"/>
              <w:spacing w:before="40" w:after="40"/>
              <w:jc w:val="center"/>
              <w:rPr>
                <w:color w:val="000000"/>
                <w:sz w:val="20"/>
                <w:lang w:eastAsia="en-NZ"/>
              </w:rPr>
            </w:pPr>
            <w:r w:rsidRPr="009001A8">
              <w:rPr>
                <w:color w:val="000000"/>
                <w:sz w:val="20"/>
                <w:lang w:eastAsia="en-NZ"/>
              </w:rPr>
              <w:t>5</w:t>
            </w:r>
          </w:p>
        </w:tc>
        <w:tc>
          <w:tcPr>
            <w:tcW w:w="1056" w:type="dxa"/>
            <w:tcBorders>
              <w:top w:val="nil"/>
              <w:left w:val="nil"/>
              <w:bottom w:val="single" w:sz="4" w:space="0" w:color="auto"/>
              <w:right w:val="nil"/>
            </w:tcBorders>
            <w:shd w:val="clear" w:color="auto" w:fill="auto"/>
            <w:noWrap/>
            <w:hideMark/>
          </w:tcPr>
          <w:p w:rsidR="009001A8" w:rsidRPr="009001A8" w:rsidRDefault="009001A8" w:rsidP="009001A8">
            <w:pPr>
              <w:pStyle w:val="Tabletext"/>
              <w:spacing w:before="40" w:after="40"/>
              <w:jc w:val="center"/>
              <w:rPr>
                <w:color w:val="000000"/>
                <w:sz w:val="20"/>
                <w:lang w:eastAsia="en-NZ"/>
              </w:rPr>
            </w:pPr>
            <w:r w:rsidRPr="009001A8">
              <w:rPr>
                <w:color w:val="000000"/>
                <w:sz w:val="20"/>
                <w:lang w:eastAsia="en-NZ"/>
              </w:rPr>
              <w:t>8.6</w:t>
            </w:r>
          </w:p>
        </w:tc>
        <w:tc>
          <w:tcPr>
            <w:tcW w:w="956" w:type="dxa"/>
            <w:tcBorders>
              <w:top w:val="nil"/>
              <w:left w:val="nil"/>
              <w:bottom w:val="single" w:sz="4" w:space="0" w:color="auto"/>
              <w:right w:val="nil"/>
            </w:tcBorders>
            <w:shd w:val="clear" w:color="auto" w:fill="auto"/>
            <w:noWrap/>
            <w:hideMark/>
          </w:tcPr>
          <w:p w:rsidR="009001A8" w:rsidRPr="009001A8" w:rsidRDefault="009001A8" w:rsidP="009001A8">
            <w:pPr>
              <w:pStyle w:val="Tabletext"/>
              <w:spacing w:before="40" w:after="40"/>
              <w:jc w:val="center"/>
              <w:rPr>
                <w:color w:val="000000"/>
                <w:sz w:val="20"/>
                <w:lang w:eastAsia="en-NZ"/>
              </w:rPr>
            </w:pPr>
            <w:r w:rsidRPr="009001A8">
              <w:rPr>
                <w:color w:val="000000"/>
                <w:sz w:val="20"/>
                <w:lang w:eastAsia="en-NZ"/>
              </w:rPr>
              <w:t>-17.09</w:t>
            </w:r>
          </w:p>
        </w:tc>
        <w:tc>
          <w:tcPr>
            <w:tcW w:w="956" w:type="dxa"/>
            <w:tcBorders>
              <w:top w:val="nil"/>
              <w:left w:val="nil"/>
              <w:bottom w:val="single" w:sz="4" w:space="0" w:color="auto"/>
              <w:right w:val="single" w:sz="4" w:space="0" w:color="auto"/>
            </w:tcBorders>
            <w:shd w:val="clear" w:color="auto" w:fill="auto"/>
            <w:noWrap/>
            <w:hideMark/>
          </w:tcPr>
          <w:p w:rsidR="009001A8" w:rsidRPr="009001A8" w:rsidRDefault="009001A8" w:rsidP="009001A8">
            <w:pPr>
              <w:pStyle w:val="Tabletext"/>
              <w:spacing w:before="40" w:after="40"/>
              <w:jc w:val="center"/>
              <w:rPr>
                <w:color w:val="000000"/>
                <w:sz w:val="20"/>
                <w:lang w:eastAsia="en-NZ"/>
              </w:rPr>
            </w:pPr>
            <w:r w:rsidRPr="009001A8">
              <w:rPr>
                <w:color w:val="000000"/>
                <w:sz w:val="20"/>
                <w:lang w:eastAsia="en-NZ"/>
              </w:rPr>
              <w:t>88.7</w:t>
            </w:r>
          </w:p>
        </w:tc>
      </w:tr>
    </w:tbl>
    <w:p w:rsidR="00750176" w:rsidRDefault="00D93665" w:rsidP="00D93665">
      <w:pPr>
        <w:pStyle w:val="Heading1"/>
      </w:pPr>
      <w:r>
        <w:t>time history</w:t>
      </w:r>
      <w:r w:rsidR="00276850">
        <w:t xml:space="preserve"> Analysis</w:t>
      </w:r>
    </w:p>
    <w:p w:rsidR="008722FF" w:rsidRDefault="008722FF" w:rsidP="008722FF">
      <w:r w:rsidRPr="008722FF">
        <w:t xml:space="preserve">A linear time history analysis was </w:t>
      </w:r>
      <w:r w:rsidR="00CF1FDA">
        <w:t>lastly</w:t>
      </w:r>
      <w:r w:rsidRPr="008722FF">
        <w:t xml:space="preserve"> completed to estimate the maximum deflection that could be expected in a serviceability seismic event. The time history analysis was completed using the</w:t>
      </w:r>
      <w:r w:rsidR="00726CF1">
        <w:t xml:space="preserve"> numerical Newmark (β=1/4) </w:t>
      </w:r>
      <w:r w:rsidRPr="008722FF">
        <w:t xml:space="preserve">method in </w:t>
      </w:r>
      <w:r w:rsidR="00276850">
        <w:t>E</w:t>
      </w:r>
      <w:r w:rsidRPr="008722FF">
        <w:t>xcel</w:t>
      </w:r>
      <w:r w:rsidR="00FD3A38">
        <w:t xml:space="preserve">. </w:t>
      </w:r>
      <w:r>
        <w:t>A simple method was adopted.</w:t>
      </w:r>
      <w:r w:rsidR="00216A35">
        <w:t xml:space="preserve"> </w:t>
      </w:r>
      <w:r w:rsidRPr="008722FF">
        <w:t>The approach was to perform a time history analysis assuming the building was a single degree of freedom system</w:t>
      </w:r>
      <w:r>
        <w:t>. I</w:t>
      </w:r>
      <w:r w:rsidRPr="008722FF">
        <w:t xml:space="preserve">t was </w:t>
      </w:r>
      <w:r>
        <w:t>also</w:t>
      </w:r>
      <w:r w:rsidRPr="008722FF">
        <w:t xml:space="preserve"> assumed that the first mode shape would contribute to the majority of the response. Hence, only the response of the first natural period was assessed. Previous research </w:t>
      </w:r>
      <w:r w:rsidR="0074688E">
        <w:fldChar w:fldCharType="begin"/>
      </w:r>
      <w:r>
        <w:instrText xml:space="preserve"> ADDIN EN.CITE &lt;EndNote&gt;&lt;Cite&gt;&lt;Author&gt;Oyarzo-Vera&lt;/Author&gt;&lt;Year&gt;2011&lt;/Year&gt;&lt;RecNum&gt;1051&lt;/RecNum&gt;&lt;DisplayText&gt;(Oyarzo-Vera et al., 2011)&lt;/DisplayText&gt;&lt;record&gt;&lt;rec-number&gt;1051&lt;/rec-number&gt;&lt;foreign-keys&gt;&lt;key app="EN" db-id="fvwv0zxp69wdpfe92at522rrv5dp9fastvta"&gt;1051&lt;/key&gt;&lt;/foreign-keys&gt;&lt;ref-type name="Conference Paper"&gt;47&lt;/ref-type&gt;&lt;contributors&gt;&lt;authors&gt;&lt;author&gt;Claudio A. Oyarzo-Vera&lt;/author&gt;&lt;author&gt;Graeme H. McVerry&lt;/author&gt;&lt;author&gt;Jason M. Ingham&lt;/author&gt;&lt;/authors&gt;&lt;/contributors&gt;&lt;titles&gt;&lt;title&gt;Seismic Zonation and Default Suite of Ground-Motion Records for Time-History Analysis in the North Island of New Zealand&lt;/title&gt;&lt;secondary-title&gt;NZSEE Conference&lt;/secondary-title&gt;&lt;/titles&gt;&lt;dates&gt;&lt;year&gt;2011&lt;/year&gt;&lt;pub-dates&gt;&lt;date&gt;3 - 5 April&lt;/date&gt;&lt;/pub-dates&gt;&lt;/dates&gt;&lt;pub-location&gt;Christchurch&lt;/pub-location&gt;&lt;urls&gt;&lt;/urls&gt;&lt;/record&gt;&lt;/Cite&gt;&lt;/EndNote&gt;</w:instrText>
      </w:r>
      <w:r w:rsidR="0074688E">
        <w:fldChar w:fldCharType="separate"/>
      </w:r>
      <w:r>
        <w:rPr>
          <w:noProof/>
        </w:rPr>
        <w:t>(</w:t>
      </w:r>
      <w:hyperlink w:anchor="_ENREF_5" w:tooltip="Oyarzo-Vera, 2011 #1051" w:history="1">
        <w:r>
          <w:rPr>
            <w:noProof/>
          </w:rPr>
          <w:t>Oyarzo-Vera et al. 2011</w:t>
        </w:r>
      </w:hyperlink>
      <w:r>
        <w:rPr>
          <w:noProof/>
        </w:rPr>
        <w:t>)</w:t>
      </w:r>
      <w:r w:rsidR="0074688E">
        <w:fldChar w:fldCharType="end"/>
      </w:r>
      <w:r w:rsidR="00CF1FDA">
        <w:t xml:space="preserve"> </w:t>
      </w:r>
      <w:r w:rsidRPr="008722FF">
        <w:t xml:space="preserve">was used to select appropriate serviceability seismic events. Seven scaled earthquake records </w:t>
      </w:r>
      <w:r>
        <w:t>were selected assuming a</w:t>
      </w:r>
      <w:r w:rsidRPr="008722FF">
        <w:t xml:space="preserve"> seismic zone NF. The scaling system was based on factors derived from NZS 1170:2005</w:t>
      </w:r>
      <w:r w:rsidR="00FD3A38">
        <w:t xml:space="preserve">. </w:t>
      </w:r>
      <w:r>
        <w:t>It should be noted that the scaling method is</w:t>
      </w:r>
      <w:r w:rsidR="008D3FF2">
        <w:t xml:space="preserve"> </w:t>
      </w:r>
      <w:r w:rsidR="00FB5096">
        <w:t>valid</w:t>
      </w:r>
      <w:r>
        <w:t xml:space="preserve"> for structures with natural periods</w:t>
      </w:r>
      <w:r w:rsidRPr="008722FF">
        <w:t xml:space="preserve"> </w:t>
      </w:r>
      <w:r>
        <w:t>greater than 0.4s</w:t>
      </w:r>
      <w:r w:rsidR="00FD3A38">
        <w:t xml:space="preserve">. </w:t>
      </w:r>
      <w:r>
        <w:t xml:space="preserve">The first fundamental frequency of the NMIT building is </w:t>
      </w:r>
      <w:r w:rsidR="008D3FF2">
        <w:t xml:space="preserve">0.31s and hence it had to </w:t>
      </w:r>
      <w:r w:rsidR="00CF1FDA">
        <w:t xml:space="preserve">also be </w:t>
      </w:r>
      <w:r w:rsidR="008D3FF2">
        <w:t>a</w:t>
      </w:r>
      <w:r w:rsidR="00FB5096">
        <w:t xml:space="preserve">ssumed that this had negligible </w:t>
      </w:r>
      <w:r w:rsidR="008D3FF2">
        <w:t>effect on the earthquake scaling</w:t>
      </w:r>
      <w:r w:rsidR="00FD3A38">
        <w:t xml:space="preserve">. </w:t>
      </w:r>
      <w:r>
        <w:t>It is hoped in the future to complete this area of the research in more detail.</w:t>
      </w:r>
    </w:p>
    <w:p w:rsidR="008722FF" w:rsidRPr="005727DA" w:rsidRDefault="008722FF" w:rsidP="008722FF">
      <w:r>
        <w:t xml:space="preserve">The time history analysis </w:t>
      </w:r>
      <w:r w:rsidR="008D3FF2">
        <w:t>has</w:t>
      </w:r>
      <w:r>
        <w:t xml:space="preserve"> estimated that the NMIT building </w:t>
      </w:r>
      <w:r w:rsidR="008D3FF2">
        <w:t>would indeed</w:t>
      </w:r>
      <w:r>
        <w:t xml:space="preserve"> perform very well in a serviceability seismic event</w:t>
      </w:r>
      <w:r w:rsidR="00FD3A38">
        <w:t xml:space="preserve">. </w:t>
      </w:r>
      <w:r w:rsidR="0091786B">
        <w:t>The</w:t>
      </w:r>
      <w:r w:rsidR="008D3FF2">
        <w:t xml:space="preserve"> maximum </w:t>
      </w:r>
      <w:r w:rsidR="0091786B">
        <w:t xml:space="preserve">scaled deflection was found to </w:t>
      </w:r>
      <w:r w:rsidR="00276850">
        <w:t xml:space="preserve">be </w:t>
      </w:r>
      <w:r w:rsidR="0091786B">
        <w:t>approximately 8</w:t>
      </w:r>
      <w:r w:rsidR="008D3FF2">
        <w:t>mm.</w:t>
      </w:r>
    </w:p>
    <w:p w:rsidR="00750176" w:rsidRDefault="00121464" w:rsidP="00750176">
      <w:pPr>
        <w:pStyle w:val="Heading1"/>
      </w:pPr>
      <w:r>
        <w:t>c</w:t>
      </w:r>
      <w:r w:rsidR="00750176">
        <w:t>onclusions</w:t>
      </w:r>
    </w:p>
    <w:p w:rsidR="00276850" w:rsidRDefault="00276850" w:rsidP="0052456A">
      <w:r w:rsidRPr="002C2038">
        <w:t xml:space="preserve">In order to understand the response of the </w:t>
      </w:r>
      <w:r>
        <w:t xml:space="preserve">innovative, multi-storey </w:t>
      </w:r>
      <w:r w:rsidRPr="002C2038">
        <w:t xml:space="preserve">building in a serviceability </w:t>
      </w:r>
      <w:r>
        <w:t xml:space="preserve">level </w:t>
      </w:r>
      <w:r w:rsidRPr="002C2038">
        <w:t xml:space="preserve">seismic event, </w:t>
      </w:r>
      <w:r>
        <w:t xml:space="preserve">SI using dynamic monitoring data, </w:t>
      </w:r>
      <w:r w:rsidRPr="002C2038">
        <w:t>FE modelling, model updating and time history analysis was performed.</w:t>
      </w:r>
    </w:p>
    <w:p w:rsidR="0052456A" w:rsidRDefault="0052456A" w:rsidP="0052456A">
      <w:r>
        <w:t xml:space="preserve">Consistency of modal parameters obtained </w:t>
      </w:r>
      <w:r w:rsidR="004E4201">
        <w:t xml:space="preserve">experimentally </w:t>
      </w:r>
      <w:r>
        <w:t>was variable. The majority of the modes identified were in the range 3-10 Hz, with a fundamental frequency of 3.23 Hz and average damping ratio 3.5%. Modes {1}, {3} and {5} are considered reliable, the fundamental mode in particular. Mode shapes were taken as an average from all data sets and techniques excluding outliers, and are considered to be accurate for at least modes {1}, {3} and {5}.</w:t>
      </w:r>
    </w:p>
    <w:p w:rsidR="0052456A" w:rsidRDefault="0052456A" w:rsidP="0052456A">
      <w:r>
        <w:t>There was substantial difficulty identifying modes other than those dominated by the transverse direction response. This is likely due to the orientation of the building and the excit</w:t>
      </w:r>
      <w:r w:rsidR="004E4201">
        <w:t>ation</w:t>
      </w:r>
      <w:r>
        <w:t xml:space="preserve"> being by earthquakes which may not excite all modes.</w:t>
      </w:r>
    </w:p>
    <w:p w:rsidR="008B7EB3" w:rsidRDefault="008B7EB3" w:rsidP="00750176">
      <w:r>
        <w:t>Two frequencies and mode shapes from the system identification were used to update the FEMtools model to</w:t>
      </w:r>
      <w:r w:rsidR="00FD3A38">
        <w:t xml:space="preserve">. </w:t>
      </w:r>
      <w:r>
        <w:t>Th</w:t>
      </w:r>
      <w:r w:rsidR="004E4201">
        <w:t>e</w:t>
      </w:r>
      <w:r>
        <w:t xml:space="preserve"> number of parameters being updated to was limited to three. The parameters were the Young’s modulus of LVL, </w:t>
      </w:r>
      <w:r w:rsidR="004E4201">
        <w:t>c</w:t>
      </w:r>
      <w:r>
        <w:t xml:space="preserve">oncrete and the </w:t>
      </w:r>
      <w:r w:rsidR="004E4201">
        <w:t>c</w:t>
      </w:r>
      <w:r>
        <w:t>ladding.</w:t>
      </w:r>
    </w:p>
    <w:p w:rsidR="00B05B85" w:rsidRDefault="00B05B85" w:rsidP="00750176">
      <w:r>
        <w:t xml:space="preserve">Updating </w:t>
      </w:r>
      <w:r w:rsidR="00D21866">
        <w:t>found t</w:t>
      </w:r>
      <w:r>
        <w:t xml:space="preserve">he E of LVL </w:t>
      </w:r>
      <w:r w:rsidR="00D21866">
        <w:t>increased by 16% to</w:t>
      </w:r>
      <w:r>
        <w:t xml:space="preserve"> 12.8 </w:t>
      </w:r>
      <w:proofErr w:type="gramStart"/>
      <w:r>
        <w:t>GPa</w:t>
      </w:r>
      <w:proofErr w:type="gramEnd"/>
      <w:r>
        <w:t xml:space="preserve">, the E of concrete </w:t>
      </w:r>
      <w:r w:rsidR="00D21866">
        <w:t>decreased by 87% to</w:t>
      </w:r>
      <w:r>
        <w:t xml:space="preserve"> 4 GPa</w:t>
      </w:r>
      <w:r w:rsidR="004E4201">
        <w:t>,</w:t>
      </w:r>
      <w:r>
        <w:t xml:space="preserve"> and the E of </w:t>
      </w:r>
      <w:r w:rsidR="004E4201">
        <w:t>c</w:t>
      </w:r>
      <w:r>
        <w:t xml:space="preserve">ladding </w:t>
      </w:r>
      <w:r w:rsidR="00D21866">
        <w:t>essentially decreased by 100% to</w:t>
      </w:r>
      <w:r>
        <w:t xml:space="preserve"> 121 Pa</w:t>
      </w:r>
      <w:r w:rsidR="00FD3A38">
        <w:t xml:space="preserve">. </w:t>
      </w:r>
      <w:r>
        <w:t xml:space="preserve">The decrease in E of concrete and cladding </w:t>
      </w:r>
      <w:r w:rsidR="004E4201">
        <w:t>could</w:t>
      </w:r>
      <w:r w:rsidR="007705BF">
        <w:t xml:space="preserve"> be</w:t>
      </w:r>
      <w:r>
        <w:t xml:space="preserve"> due to the way these elements are fixed to the building. Further inve</w:t>
      </w:r>
      <w:r w:rsidR="007705BF">
        <w:t>stigation into this is required.  The updated parameters</w:t>
      </w:r>
      <w:r>
        <w:t xml:space="preserve"> increased the overall mean MAC value from 71% to 78% and decreased the CCABS error from 19% to 2%.</w:t>
      </w:r>
    </w:p>
    <w:p w:rsidR="00B05B85" w:rsidRDefault="00B05B85" w:rsidP="00750176">
      <w:r>
        <w:t>Finally, a simpl</w:t>
      </w:r>
      <w:r w:rsidR="004302DA">
        <w:t>e</w:t>
      </w:r>
      <w:r>
        <w:t xml:space="preserve"> time history analysis was completed</w:t>
      </w:r>
      <w:r w:rsidR="00FD3A38">
        <w:t>.</w:t>
      </w:r>
      <w:r w:rsidR="00E4318B">
        <w:t xml:space="preserve">  This was to gauge how well the NMIT building would perform in a serviceability seismic event.</w:t>
      </w:r>
      <w:r w:rsidR="00FD3A38">
        <w:t xml:space="preserve"> </w:t>
      </w:r>
      <w:r>
        <w:t xml:space="preserve">It has been estimated that the maximum </w:t>
      </w:r>
      <w:r>
        <w:lastRenderedPageBreak/>
        <w:t>deflect</w:t>
      </w:r>
      <w:r w:rsidR="00E4318B">
        <w:t xml:space="preserve">ion of the building will be 8mm.  It is expected that the building will </w:t>
      </w:r>
      <w:r w:rsidR="004E4201">
        <w:t xml:space="preserve">therefore </w:t>
      </w:r>
      <w:r w:rsidR="00E4318B">
        <w:t>perform very well.</w:t>
      </w:r>
    </w:p>
    <w:p w:rsidR="00074293" w:rsidRDefault="00074293" w:rsidP="00074293">
      <w:pPr>
        <w:pStyle w:val="Heading1"/>
      </w:pPr>
      <w:r>
        <w:t>Acknowledgements</w:t>
      </w:r>
    </w:p>
    <w:p w:rsidR="00074293" w:rsidRDefault="00074293" w:rsidP="00750176">
      <w:r>
        <w:t>The New Zealand Ministry of Agriculture and Forestry funded the initial instrumentation with the generous co-operation of NMIT and their contractors and consultants. We also acknowledge GNS Science who funded and installed the dynamic instrumentation and provided the data.</w:t>
      </w:r>
    </w:p>
    <w:p w:rsidR="00D97EC9" w:rsidRDefault="00D97EC9" w:rsidP="00246A09">
      <w:pPr>
        <w:pStyle w:val="Heading1"/>
      </w:pPr>
      <w:r>
        <w:t xml:space="preserve">References: </w:t>
      </w:r>
    </w:p>
    <w:p w:rsidR="008C7BF5" w:rsidRDefault="007434F7" w:rsidP="008C7BF5">
      <w:pPr>
        <w:pStyle w:val="Referencetext"/>
        <w:rPr>
          <w:rFonts w:eastAsia="Calibri"/>
          <w:lang w:val="en-GB" w:eastAsia="en-GB"/>
        </w:rPr>
      </w:pPr>
      <w:r w:rsidRPr="005356CD">
        <w:rPr>
          <w:rFonts w:eastAsia="Calibri"/>
          <w:lang w:val="en-GB" w:eastAsia="en-GB"/>
        </w:rPr>
        <w:t>Beskhyroun</w:t>
      </w:r>
      <w:r w:rsidR="008C7BF5" w:rsidRPr="005356CD">
        <w:rPr>
          <w:rFonts w:eastAsia="Calibri"/>
          <w:lang w:val="en-GB" w:eastAsia="en-GB"/>
        </w:rPr>
        <w:t>, S. 2011. Graphical Interface Toolbox</w:t>
      </w:r>
      <w:r w:rsidR="008C7BF5">
        <w:rPr>
          <w:rFonts w:eastAsia="Calibri"/>
          <w:lang w:val="en-GB" w:eastAsia="en-GB"/>
        </w:rPr>
        <w:t xml:space="preserve"> </w:t>
      </w:r>
      <w:r w:rsidR="008C7BF5" w:rsidRPr="005356CD">
        <w:rPr>
          <w:rFonts w:eastAsia="Calibri"/>
          <w:lang w:val="en-GB" w:eastAsia="en-GB"/>
        </w:rPr>
        <w:t xml:space="preserve">for Modal Analysis. </w:t>
      </w:r>
      <w:r w:rsidR="008C7BF5" w:rsidRPr="005356CD">
        <w:rPr>
          <w:rFonts w:eastAsia="Calibri"/>
          <w:i/>
          <w:iCs/>
          <w:lang w:val="en-GB" w:eastAsia="en-GB"/>
        </w:rPr>
        <w:t>Proceedings of the Ninth</w:t>
      </w:r>
      <w:r w:rsidR="008C7BF5">
        <w:rPr>
          <w:rFonts w:eastAsia="Calibri"/>
          <w:lang w:val="en-GB" w:eastAsia="en-GB"/>
        </w:rPr>
        <w:t xml:space="preserve"> </w:t>
      </w:r>
      <w:r w:rsidR="008C7BF5" w:rsidRPr="005356CD">
        <w:rPr>
          <w:rFonts w:eastAsia="Calibri"/>
          <w:i/>
          <w:iCs/>
          <w:lang w:val="en-GB" w:eastAsia="en-GB"/>
        </w:rPr>
        <w:t>Pacific Conference on Earthquake Engineering</w:t>
      </w:r>
      <w:r w:rsidR="008C7BF5">
        <w:rPr>
          <w:rFonts w:eastAsia="Calibri"/>
          <w:lang w:val="en-GB" w:eastAsia="en-GB"/>
        </w:rPr>
        <w:t xml:space="preserve"> </w:t>
      </w:r>
      <w:r w:rsidR="008C7BF5" w:rsidRPr="005356CD">
        <w:rPr>
          <w:rFonts w:eastAsia="Calibri"/>
          <w:i/>
          <w:iCs/>
          <w:lang w:val="en-GB" w:eastAsia="en-GB"/>
        </w:rPr>
        <w:t xml:space="preserve">Building an Earthquake-Resilient Society </w:t>
      </w:r>
      <w:r w:rsidR="008C7BF5" w:rsidRPr="005356CD">
        <w:rPr>
          <w:rFonts w:eastAsia="Calibri"/>
          <w:lang w:val="en-GB" w:eastAsia="en-GB"/>
        </w:rPr>
        <w:t>14-16</w:t>
      </w:r>
      <w:r w:rsidR="008C7BF5">
        <w:rPr>
          <w:rFonts w:eastAsia="Calibri"/>
          <w:lang w:val="en-GB" w:eastAsia="en-GB"/>
        </w:rPr>
        <w:t xml:space="preserve"> </w:t>
      </w:r>
      <w:r w:rsidR="008C7BF5" w:rsidRPr="005356CD">
        <w:rPr>
          <w:rFonts w:eastAsia="Calibri"/>
          <w:lang w:val="en-GB" w:eastAsia="en-GB"/>
        </w:rPr>
        <w:t>April, 2011, Auckland, New Zealand.</w:t>
      </w:r>
    </w:p>
    <w:p w:rsidR="00246A09" w:rsidRPr="005356CD" w:rsidRDefault="007434F7" w:rsidP="00246A09">
      <w:pPr>
        <w:pStyle w:val="Referencetext"/>
        <w:rPr>
          <w:rFonts w:eastAsia="Calibri"/>
          <w:lang w:val="en-GB" w:eastAsia="en-GB"/>
        </w:rPr>
      </w:pPr>
      <w:r w:rsidRPr="005356CD">
        <w:rPr>
          <w:rFonts w:eastAsia="Calibri"/>
          <w:lang w:val="en-GB" w:eastAsia="en-GB"/>
        </w:rPr>
        <w:t>Brincker</w:t>
      </w:r>
      <w:r w:rsidR="00246A09" w:rsidRPr="005356CD">
        <w:rPr>
          <w:rFonts w:eastAsia="Calibri"/>
          <w:lang w:val="en-GB" w:eastAsia="en-GB"/>
        </w:rPr>
        <w:t xml:space="preserve">, R., </w:t>
      </w:r>
      <w:r w:rsidRPr="005356CD">
        <w:rPr>
          <w:rFonts w:eastAsia="Calibri"/>
          <w:lang w:val="en-GB" w:eastAsia="en-GB"/>
        </w:rPr>
        <w:t>Zhang</w:t>
      </w:r>
      <w:r w:rsidR="00246A09" w:rsidRPr="005356CD">
        <w:rPr>
          <w:rFonts w:eastAsia="Calibri"/>
          <w:lang w:val="en-GB" w:eastAsia="en-GB"/>
        </w:rPr>
        <w:t xml:space="preserve">, L. &amp; </w:t>
      </w:r>
      <w:r w:rsidRPr="005356CD">
        <w:rPr>
          <w:rFonts w:eastAsia="Calibri"/>
          <w:lang w:val="en-GB" w:eastAsia="en-GB"/>
        </w:rPr>
        <w:t>Andersen</w:t>
      </w:r>
      <w:r w:rsidR="00246A09" w:rsidRPr="005356CD">
        <w:rPr>
          <w:rFonts w:eastAsia="Calibri"/>
          <w:lang w:val="en-GB" w:eastAsia="en-GB"/>
        </w:rPr>
        <w:t>, P. 2001.</w:t>
      </w:r>
      <w:r w:rsidR="00246A09">
        <w:rPr>
          <w:rFonts w:eastAsia="Calibri"/>
          <w:lang w:val="en-GB" w:eastAsia="en-GB"/>
        </w:rPr>
        <w:t xml:space="preserve"> </w:t>
      </w:r>
      <w:r w:rsidR="00246A09" w:rsidRPr="005356CD">
        <w:rPr>
          <w:rFonts w:eastAsia="Calibri"/>
          <w:lang w:val="en-GB" w:eastAsia="en-GB"/>
        </w:rPr>
        <w:t>Modal identification of output-only systems using</w:t>
      </w:r>
      <w:r w:rsidR="00246A09">
        <w:rPr>
          <w:rFonts w:eastAsia="Calibri"/>
          <w:lang w:val="en-GB" w:eastAsia="en-GB"/>
        </w:rPr>
        <w:t xml:space="preserve"> </w:t>
      </w:r>
      <w:r w:rsidR="00246A09" w:rsidRPr="005356CD">
        <w:rPr>
          <w:rFonts w:eastAsia="Calibri"/>
          <w:lang w:val="en-GB" w:eastAsia="en-GB"/>
        </w:rPr>
        <w:t xml:space="preserve">frequency domain decomposition, </w:t>
      </w:r>
      <w:r w:rsidR="00246A09" w:rsidRPr="005356CD">
        <w:rPr>
          <w:rFonts w:eastAsia="Calibri"/>
          <w:i/>
          <w:iCs/>
          <w:lang w:val="en-GB" w:eastAsia="en-GB"/>
        </w:rPr>
        <w:t>Smart Materials</w:t>
      </w:r>
      <w:r w:rsidR="00246A09">
        <w:rPr>
          <w:rFonts w:eastAsia="Calibri"/>
          <w:i/>
          <w:iCs/>
          <w:lang w:val="en-GB" w:eastAsia="en-GB"/>
        </w:rPr>
        <w:t xml:space="preserve"> </w:t>
      </w:r>
      <w:r w:rsidR="00246A09" w:rsidRPr="005356CD">
        <w:rPr>
          <w:rFonts w:eastAsia="Calibri"/>
          <w:i/>
          <w:iCs/>
          <w:lang w:val="en-GB" w:eastAsia="en-GB"/>
        </w:rPr>
        <w:t>and Structures</w:t>
      </w:r>
      <w:r w:rsidR="00246A09" w:rsidRPr="005356CD">
        <w:rPr>
          <w:rFonts w:eastAsia="Calibri"/>
          <w:lang w:val="en-GB" w:eastAsia="en-GB"/>
        </w:rPr>
        <w:t>, 10(3): 441–445.</w:t>
      </w:r>
    </w:p>
    <w:p w:rsidR="00246A09" w:rsidRPr="00246A09" w:rsidRDefault="00246A09" w:rsidP="00246A09">
      <w:pPr>
        <w:pStyle w:val="Referencetext"/>
      </w:pPr>
      <w:proofErr w:type="gramStart"/>
      <w:r w:rsidRPr="00246A09">
        <w:t>Devereux, C.P., T.J. Holden, A.H. Buchanan &amp; S. Pampanin 2011.</w:t>
      </w:r>
      <w:proofErr w:type="gramEnd"/>
      <w:r w:rsidRPr="00246A09">
        <w:t xml:space="preserve"> </w:t>
      </w:r>
      <w:proofErr w:type="gramStart"/>
      <w:r w:rsidRPr="00246A09">
        <w:t>NMIT Arts &amp; Media Building - Damage Mitigation Using Post-tensioned Timber Walls.</w:t>
      </w:r>
      <w:proofErr w:type="gramEnd"/>
      <w:r w:rsidRPr="00246A09">
        <w:t xml:space="preserve"> </w:t>
      </w:r>
      <w:proofErr w:type="gramStart"/>
      <w:r w:rsidRPr="007434F7">
        <w:rPr>
          <w:i/>
        </w:rPr>
        <w:t>Pacific Conference on Earthquake Engineering.</w:t>
      </w:r>
      <w:proofErr w:type="gramEnd"/>
      <w:r w:rsidRPr="00246A09">
        <w:t xml:space="preserve"> Auckland.</w:t>
      </w:r>
    </w:p>
    <w:p w:rsidR="00246A09" w:rsidRPr="00246A09" w:rsidRDefault="00246A09" w:rsidP="00246A09">
      <w:pPr>
        <w:pStyle w:val="Referencetext"/>
      </w:pPr>
      <w:proofErr w:type="gramStart"/>
      <w:r w:rsidRPr="00246A09">
        <w:t>Dynamic Design Solutions 2008.</w:t>
      </w:r>
      <w:proofErr w:type="gramEnd"/>
      <w:r w:rsidRPr="00246A09">
        <w:t xml:space="preserve"> </w:t>
      </w:r>
      <w:proofErr w:type="gramStart"/>
      <w:r w:rsidRPr="00246A09">
        <w:t>FEMtools Model Updating Theoretical Manual.</w:t>
      </w:r>
      <w:proofErr w:type="gramEnd"/>
      <w:r w:rsidRPr="00246A09">
        <w:t xml:space="preserve"> </w:t>
      </w:r>
      <w:proofErr w:type="gramStart"/>
      <w:r w:rsidRPr="00246A09">
        <w:t>Version 3.3.</w:t>
      </w:r>
      <w:proofErr w:type="gramEnd"/>
      <w:r w:rsidRPr="00246A09">
        <w:t xml:space="preserve"> Leuven, Belgium.</w:t>
      </w:r>
    </w:p>
    <w:p w:rsidR="00246A09" w:rsidRPr="00246A09" w:rsidRDefault="00246A09" w:rsidP="00246A09">
      <w:pPr>
        <w:pStyle w:val="Referencetext"/>
      </w:pPr>
      <w:proofErr w:type="gramStart"/>
      <w:r w:rsidRPr="00246A09">
        <w:t>Iqbal, A., S. Pampanin &amp; A.H. Buchanan 2007.</w:t>
      </w:r>
      <w:proofErr w:type="gramEnd"/>
      <w:r w:rsidRPr="00246A09">
        <w:t xml:space="preserve"> </w:t>
      </w:r>
      <w:proofErr w:type="gramStart"/>
      <w:r w:rsidRPr="00246A09">
        <w:t>Improved Seismic Performance of LVL Post-tensioned Walls Coupled with UFP devices.</w:t>
      </w:r>
      <w:proofErr w:type="gramEnd"/>
      <w:r w:rsidRPr="00246A09">
        <w:t xml:space="preserve"> </w:t>
      </w:r>
      <w:proofErr w:type="gramStart"/>
      <w:r w:rsidRPr="007434F7">
        <w:rPr>
          <w:i/>
        </w:rPr>
        <w:t>Pacific Conference on Earthquake Engineering</w:t>
      </w:r>
      <w:r w:rsidRPr="00246A09">
        <w:t>.</w:t>
      </w:r>
      <w:proofErr w:type="gramEnd"/>
      <w:r w:rsidRPr="00246A09">
        <w:t xml:space="preserve"> Singapore.</w:t>
      </w:r>
    </w:p>
    <w:p w:rsidR="00246A09" w:rsidRPr="00246A09" w:rsidRDefault="00246A09" w:rsidP="00246A09">
      <w:pPr>
        <w:pStyle w:val="Referencetext"/>
      </w:pPr>
      <w:bookmarkStart w:id="6" w:name="_ENREF_9"/>
      <w:proofErr w:type="gramStart"/>
      <w:r w:rsidRPr="00246A09">
        <w:t>Omenzetter, P., H. Morris, M.L. Worth, V. Kohli &amp; S.R. Uma.</w:t>
      </w:r>
      <w:proofErr w:type="gramEnd"/>
      <w:r w:rsidRPr="00246A09">
        <w:t xml:space="preserve"> 2011. Long term monitoring and field testing of an innovative multi-storey timber building. In:  </w:t>
      </w:r>
      <w:r w:rsidRPr="007434F7">
        <w:rPr>
          <w:i/>
        </w:rPr>
        <w:t>Proceedings of the SPIE's Smart Structures and Materials/</w:t>
      </w:r>
      <w:proofErr w:type="spellStart"/>
      <w:r w:rsidRPr="007434F7">
        <w:rPr>
          <w:i/>
        </w:rPr>
        <w:t>Nondestructive</w:t>
      </w:r>
      <w:proofErr w:type="spellEnd"/>
      <w:r w:rsidRPr="007434F7">
        <w:rPr>
          <w:i/>
        </w:rPr>
        <w:t xml:space="preserve"> Evaluation and </w:t>
      </w:r>
      <w:proofErr w:type="spellStart"/>
      <w:r w:rsidRPr="007434F7">
        <w:rPr>
          <w:i/>
        </w:rPr>
        <w:t>Healt</w:t>
      </w:r>
      <w:proofErr w:type="spellEnd"/>
      <w:r w:rsidRPr="007434F7">
        <w:rPr>
          <w:i/>
        </w:rPr>
        <w:t xml:space="preserve"> Monitoring</w:t>
      </w:r>
      <w:r w:rsidRPr="00246A09">
        <w:t>, March 6-10 2011 San Diego, USA. (</w:t>
      </w:r>
      <w:proofErr w:type="gramStart"/>
      <w:r w:rsidRPr="00246A09">
        <w:t>in</w:t>
      </w:r>
      <w:proofErr w:type="gramEnd"/>
      <w:r w:rsidRPr="00246A09">
        <w:t xml:space="preserve"> press).</w:t>
      </w:r>
      <w:bookmarkEnd w:id="6"/>
    </w:p>
    <w:p w:rsidR="00246A09" w:rsidRPr="00246A09" w:rsidRDefault="00246A09" w:rsidP="00246A09">
      <w:pPr>
        <w:pStyle w:val="Referencetext"/>
      </w:pPr>
      <w:bookmarkStart w:id="7" w:name="_ENREF_10"/>
      <w:proofErr w:type="gramStart"/>
      <w:r w:rsidRPr="00246A09">
        <w:t xml:space="preserve">Oyarzo-Vera, C.A., </w:t>
      </w:r>
      <w:proofErr w:type="spellStart"/>
      <w:r w:rsidRPr="00246A09">
        <w:t>G.H</w:t>
      </w:r>
      <w:proofErr w:type="spellEnd"/>
      <w:r w:rsidRPr="00246A09">
        <w:t xml:space="preserve">. </w:t>
      </w:r>
      <w:proofErr w:type="spellStart"/>
      <w:r w:rsidRPr="00246A09">
        <w:t>Mc</w:t>
      </w:r>
      <w:r w:rsidR="009D5F84">
        <w:t>V</w:t>
      </w:r>
      <w:r w:rsidRPr="00246A09">
        <w:t>erry</w:t>
      </w:r>
      <w:proofErr w:type="spellEnd"/>
      <w:r w:rsidRPr="00246A09">
        <w:t xml:space="preserve"> &amp; </w:t>
      </w:r>
      <w:proofErr w:type="spellStart"/>
      <w:r w:rsidRPr="00246A09">
        <w:t>J.M</w:t>
      </w:r>
      <w:proofErr w:type="spellEnd"/>
      <w:r w:rsidRPr="00246A09">
        <w:t>. Ingham 2011.</w:t>
      </w:r>
      <w:proofErr w:type="gramEnd"/>
      <w:r w:rsidRPr="00246A09">
        <w:t xml:space="preserve"> </w:t>
      </w:r>
      <w:proofErr w:type="gramStart"/>
      <w:r w:rsidRPr="00246A09">
        <w:t>Seismic Zonation and Default Suite of Ground-Motion Records for Time-History Analysis in the North Island of New Zealand.</w:t>
      </w:r>
      <w:proofErr w:type="gramEnd"/>
      <w:r w:rsidRPr="00246A09">
        <w:t xml:space="preserve"> </w:t>
      </w:r>
      <w:proofErr w:type="gramStart"/>
      <w:r w:rsidRPr="007434F7">
        <w:rPr>
          <w:i/>
        </w:rPr>
        <w:t>NZSEE Conference</w:t>
      </w:r>
      <w:r w:rsidRPr="00246A09">
        <w:t>.</w:t>
      </w:r>
      <w:proofErr w:type="gramEnd"/>
      <w:r w:rsidRPr="00246A09">
        <w:t xml:space="preserve"> Christchurch.</w:t>
      </w:r>
      <w:bookmarkEnd w:id="7"/>
    </w:p>
    <w:p w:rsidR="008C7BF5" w:rsidRDefault="007434F7" w:rsidP="008C7BF5">
      <w:pPr>
        <w:pStyle w:val="Referencetext"/>
        <w:rPr>
          <w:rFonts w:eastAsia="Calibri"/>
          <w:lang w:val="en-GB" w:eastAsia="en-GB"/>
        </w:rPr>
      </w:pPr>
      <w:r w:rsidRPr="005356CD">
        <w:rPr>
          <w:rFonts w:eastAsia="Calibri"/>
          <w:lang w:val="en-GB" w:eastAsia="en-GB"/>
        </w:rPr>
        <w:t>Peeters</w:t>
      </w:r>
      <w:r w:rsidR="008C7BF5" w:rsidRPr="005356CD">
        <w:rPr>
          <w:rFonts w:eastAsia="Calibri"/>
          <w:lang w:val="en-GB" w:eastAsia="en-GB"/>
        </w:rPr>
        <w:t>, B. &amp; D</w:t>
      </w:r>
      <w:r w:rsidR="00C5592D">
        <w:rPr>
          <w:rFonts w:eastAsia="Calibri"/>
          <w:lang w:val="en-GB" w:eastAsia="en-GB"/>
        </w:rPr>
        <w:t>e</w:t>
      </w:r>
      <w:r w:rsidR="008C7BF5" w:rsidRPr="005356CD">
        <w:rPr>
          <w:rFonts w:eastAsia="Calibri"/>
          <w:lang w:val="en-GB" w:eastAsia="en-GB"/>
        </w:rPr>
        <w:t xml:space="preserve"> </w:t>
      </w:r>
      <w:r w:rsidRPr="005356CD">
        <w:rPr>
          <w:rFonts w:eastAsia="Calibri"/>
          <w:lang w:val="en-GB" w:eastAsia="en-GB"/>
        </w:rPr>
        <w:t>Roeck</w:t>
      </w:r>
      <w:r w:rsidR="008C7BF5" w:rsidRPr="005356CD">
        <w:rPr>
          <w:rFonts w:eastAsia="Calibri"/>
          <w:lang w:val="en-GB" w:eastAsia="en-GB"/>
        </w:rPr>
        <w:t>, G. 2001. Stochastic</w:t>
      </w:r>
      <w:r w:rsidR="008C7BF5">
        <w:rPr>
          <w:rFonts w:eastAsia="Calibri"/>
          <w:lang w:val="en-GB" w:eastAsia="en-GB"/>
        </w:rPr>
        <w:t xml:space="preserve"> </w:t>
      </w:r>
      <w:r w:rsidR="008C7BF5" w:rsidRPr="005356CD">
        <w:rPr>
          <w:rFonts w:eastAsia="Calibri"/>
          <w:lang w:val="en-GB" w:eastAsia="en-GB"/>
        </w:rPr>
        <w:t>system identification for operational modal</w:t>
      </w:r>
      <w:r w:rsidR="008C7BF5">
        <w:rPr>
          <w:rFonts w:eastAsia="Calibri"/>
          <w:lang w:val="en-GB" w:eastAsia="en-GB"/>
        </w:rPr>
        <w:t xml:space="preserve"> </w:t>
      </w:r>
      <w:r w:rsidR="008C7BF5" w:rsidRPr="005356CD">
        <w:rPr>
          <w:rFonts w:eastAsia="Calibri"/>
          <w:lang w:val="en-GB" w:eastAsia="en-GB"/>
        </w:rPr>
        <w:t xml:space="preserve">analysis: A review. </w:t>
      </w:r>
      <w:r w:rsidR="008C7BF5" w:rsidRPr="005356CD">
        <w:rPr>
          <w:rFonts w:eastAsia="Calibri"/>
          <w:i/>
          <w:iCs/>
          <w:lang w:val="en-GB" w:eastAsia="en-GB"/>
        </w:rPr>
        <w:t>Journal of Dynamic Systems,</w:t>
      </w:r>
      <w:r w:rsidR="008C7BF5">
        <w:rPr>
          <w:rFonts w:eastAsia="Calibri"/>
          <w:lang w:val="en-GB" w:eastAsia="en-GB"/>
        </w:rPr>
        <w:t xml:space="preserve"> </w:t>
      </w:r>
      <w:r w:rsidR="008C7BF5" w:rsidRPr="005356CD">
        <w:rPr>
          <w:rFonts w:eastAsia="Calibri"/>
          <w:i/>
          <w:iCs/>
          <w:lang w:val="en-GB" w:eastAsia="en-GB"/>
        </w:rPr>
        <w:t>Measurement and Control, Transactions of the</w:t>
      </w:r>
      <w:r w:rsidR="008C7BF5">
        <w:rPr>
          <w:rFonts w:eastAsia="Calibri"/>
          <w:i/>
          <w:iCs/>
          <w:lang w:val="en-GB" w:eastAsia="en-GB"/>
        </w:rPr>
        <w:t xml:space="preserve"> </w:t>
      </w:r>
      <w:r w:rsidR="008C7BF5" w:rsidRPr="005356CD">
        <w:rPr>
          <w:rFonts w:eastAsia="Calibri"/>
          <w:i/>
          <w:iCs/>
          <w:lang w:val="en-GB" w:eastAsia="en-GB"/>
        </w:rPr>
        <w:t>ASME</w:t>
      </w:r>
      <w:r w:rsidR="008C7BF5" w:rsidRPr="005356CD">
        <w:rPr>
          <w:rFonts w:eastAsia="Calibri"/>
          <w:lang w:val="en-GB" w:eastAsia="en-GB"/>
        </w:rPr>
        <w:t>, 123: 659-667.</w:t>
      </w:r>
    </w:p>
    <w:p w:rsidR="00246A09" w:rsidRPr="00246A09" w:rsidRDefault="00246A09" w:rsidP="00246A09">
      <w:pPr>
        <w:pStyle w:val="Referencetext"/>
      </w:pPr>
      <w:bookmarkStart w:id="8" w:name="_ENREF_11"/>
      <w:proofErr w:type="gramStart"/>
      <w:r w:rsidRPr="00246A09">
        <w:t xml:space="preserve">Phillips, </w:t>
      </w:r>
      <w:proofErr w:type="spellStart"/>
      <w:r w:rsidRPr="00246A09">
        <w:t>T.L</w:t>
      </w:r>
      <w:proofErr w:type="spellEnd"/>
      <w:r w:rsidRPr="00246A09">
        <w:t xml:space="preserve">., </w:t>
      </w:r>
      <w:proofErr w:type="spellStart"/>
      <w:r w:rsidRPr="00246A09">
        <w:t>R.Y</w:t>
      </w:r>
      <w:proofErr w:type="spellEnd"/>
      <w:r w:rsidRPr="00246A09">
        <w:t xml:space="preserve">. </w:t>
      </w:r>
      <w:proofErr w:type="spellStart"/>
      <w:r w:rsidRPr="00246A09">
        <w:t>Itani</w:t>
      </w:r>
      <w:proofErr w:type="spellEnd"/>
      <w:r w:rsidRPr="00246A09">
        <w:t xml:space="preserve"> &amp; </w:t>
      </w:r>
      <w:proofErr w:type="spellStart"/>
      <w:r w:rsidRPr="00246A09">
        <w:t>D.I</w:t>
      </w:r>
      <w:proofErr w:type="spellEnd"/>
      <w:r w:rsidRPr="00246A09">
        <w:t>. Mclean 1993.</w:t>
      </w:r>
      <w:proofErr w:type="gramEnd"/>
      <w:r w:rsidRPr="00246A09">
        <w:t xml:space="preserve"> Lateral load sharing by diaphragms in wood-framed buildings. </w:t>
      </w:r>
      <w:r w:rsidRPr="007434F7">
        <w:rPr>
          <w:i/>
        </w:rPr>
        <w:t>Journal of Structural Engineering</w:t>
      </w:r>
      <w:r w:rsidRPr="00246A09">
        <w:t>, 19, 1156-1571.</w:t>
      </w:r>
      <w:bookmarkEnd w:id="8"/>
    </w:p>
    <w:p w:rsidR="00246A09" w:rsidRPr="00246A09" w:rsidRDefault="007434F7" w:rsidP="00246A09">
      <w:pPr>
        <w:pStyle w:val="Referencetext"/>
        <w:rPr>
          <w:rFonts w:eastAsia="Calibri"/>
          <w:lang w:val="en-GB" w:eastAsia="en-GB"/>
        </w:rPr>
      </w:pPr>
      <w:r w:rsidRPr="005356CD">
        <w:rPr>
          <w:rFonts w:eastAsia="Calibri"/>
          <w:lang w:val="en-GB" w:eastAsia="en-GB"/>
        </w:rPr>
        <w:t>Van O</w:t>
      </w:r>
      <w:r>
        <w:rPr>
          <w:rFonts w:eastAsia="Calibri"/>
          <w:lang w:val="en-GB" w:eastAsia="en-GB"/>
        </w:rPr>
        <w:t>.</w:t>
      </w:r>
      <w:r w:rsidR="008C7BF5" w:rsidRPr="005356CD">
        <w:rPr>
          <w:rFonts w:eastAsia="Calibri"/>
          <w:lang w:val="en-GB" w:eastAsia="en-GB"/>
        </w:rPr>
        <w:t>P. &amp; D</w:t>
      </w:r>
      <w:r w:rsidR="00C5592D">
        <w:rPr>
          <w:rFonts w:eastAsia="Calibri"/>
          <w:lang w:val="en-GB" w:eastAsia="en-GB"/>
        </w:rPr>
        <w:t>e</w:t>
      </w:r>
      <w:r w:rsidR="008C7BF5" w:rsidRPr="005356CD">
        <w:rPr>
          <w:rFonts w:eastAsia="Calibri"/>
          <w:lang w:val="en-GB" w:eastAsia="en-GB"/>
        </w:rPr>
        <w:t xml:space="preserve"> </w:t>
      </w:r>
      <w:r w:rsidRPr="005356CD">
        <w:rPr>
          <w:rFonts w:eastAsia="Calibri"/>
          <w:lang w:val="en-GB" w:eastAsia="en-GB"/>
        </w:rPr>
        <w:t xml:space="preserve">Moor </w:t>
      </w:r>
      <w:r w:rsidR="008C7BF5" w:rsidRPr="005356CD">
        <w:rPr>
          <w:rFonts w:eastAsia="Calibri"/>
          <w:lang w:val="en-GB" w:eastAsia="en-GB"/>
        </w:rPr>
        <w:t>B. D. 1996.</w:t>
      </w:r>
      <w:r w:rsidR="008C7BF5">
        <w:rPr>
          <w:rFonts w:eastAsia="Calibri"/>
          <w:lang w:val="en-GB" w:eastAsia="en-GB"/>
        </w:rPr>
        <w:t xml:space="preserve"> </w:t>
      </w:r>
      <w:r w:rsidR="008C7BF5" w:rsidRPr="007434F7">
        <w:rPr>
          <w:rFonts w:eastAsia="Calibri"/>
          <w:iCs/>
          <w:lang w:val="en-GB" w:eastAsia="en-GB"/>
        </w:rPr>
        <w:t>Subspace Identification for Linear Systems</w:t>
      </w:r>
      <w:r w:rsidR="008C7BF5" w:rsidRPr="005356CD">
        <w:rPr>
          <w:rFonts w:eastAsia="Calibri"/>
          <w:lang w:val="en-GB" w:eastAsia="en-GB"/>
        </w:rPr>
        <w:t>,</w:t>
      </w:r>
      <w:r w:rsidR="008C7BF5">
        <w:rPr>
          <w:rFonts w:eastAsia="Calibri"/>
          <w:lang w:val="en-GB" w:eastAsia="en-GB"/>
        </w:rPr>
        <w:t xml:space="preserve"> </w:t>
      </w:r>
      <w:smartTag w:uri="urn:schemas-microsoft-com:office:smarttags" w:element="place">
        <w:smartTag w:uri="urn:schemas-microsoft-com:office:smarttags" w:element="City">
          <w:r w:rsidR="008C7BF5" w:rsidRPr="005356CD">
            <w:rPr>
              <w:rFonts w:eastAsia="Calibri"/>
              <w:lang w:val="en-GB" w:eastAsia="en-GB"/>
            </w:rPr>
            <w:t>Boston</w:t>
          </w:r>
        </w:smartTag>
        <w:r w:rsidR="008C7BF5" w:rsidRPr="005356CD">
          <w:rPr>
            <w:rFonts w:eastAsia="Calibri"/>
            <w:lang w:val="en-GB" w:eastAsia="en-GB"/>
          </w:rPr>
          <w:t xml:space="preserve">, </w:t>
        </w:r>
        <w:smartTag w:uri="urn:schemas-microsoft-com:office:smarttags" w:element="State">
          <w:r w:rsidR="008C7BF5" w:rsidRPr="005356CD">
            <w:rPr>
              <w:rFonts w:eastAsia="Calibri"/>
              <w:lang w:val="en-GB" w:eastAsia="en-GB"/>
            </w:rPr>
            <w:t>MA</w:t>
          </w:r>
        </w:smartTag>
      </w:smartTag>
      <w:r w:rsidR="008C7BF5" w:rsidRPr="005356CD">
        <w:rPr>
          <w:rFonts w:eastAsia="Calibri"/>
          <w:lang w:val="en-GB" w:eastAsia="en-GB"/>
        </w:rPr>
        <w:t>: Kluwer Academic.</w:t>
      </w:r>
      <w:r w:rsidR="0074688E" w:rsidRPr="00246A09">
        <w:fldChar w:fldCharType="begin"/>
      </w:r>
      <w:r w:rsidR="00246A09" w:rsidRPr="00246A09">
        <w:instrText xml:space="preserve"> ADDIN EN.REFLIST </w:instrText>
      </w:r>
      <w:r w:rsidR="0074688E" w:rsidRPr="00246A09">
        <w:fldChar w:fldCharType="separate"/>
      </w:r>
    </w:p>
    <w:p w:rsidR="00246A09" w:rsidRDefault="00246A09" w:rsidP="00246A09">
      <w:pPr>
        <w:pStyle w:val="Referencetext"/>
      </w:pPr>
      <w:bookmarkStart w:id="9" w:name="_ENREF_12"/>
      <w:r w:rsidRPr="00246A09">
        <w:t xml:space="preserve">Worth, M.L. 2011. Ambient and Forced Vibration Testing and Finite Element Model Updating of a Three Storey Post-Tensioned LVL Building. </w:t>
      </w:r>
      <w:r w:rsidRPr="007434F7">
        <w:rPr>
          <w:i/>
        </w:rPr>
        <w:t>ME Thesis</w:t>
      </w:r>
      <w:r w:rsidRPr="00246A09">
        <w:t>, University of Auckland.</w:t>
      </w:r>
      <w:bookmarkEnd w:id="9"/>
      <w:r w:rsidR="0074688E" w:rsidRPr="00246A09">
        <w:fldChar w:fldCharType="end"/>
      </w:r>
    </w:p>
    <w:p w:rsidR="00AA1046" w:rsidRPr="00246A09" w:rsidRDefault="00AA1046" w:rsidP="00246A09">
      <w:pPr>
        <w:pStyle w:val="Referencetext"/>
      </w:pPr>
      <w:r>
        <w:t>Worth</w:t>
      </w:r>
      <w:r w:rsidR="000F7A31">
        <w:t>, M.</w:t>
      </w:r>
      <w:r>
        <w:t>L</w:t>
      </w:r>
      <w:proofErr w:type="gramStart"/>
      <w:r>
        <w:t xml:space="preserve">. </w:t>
      </w:r>
      <w:r w:rsidR="000F7A31">
        <w:t>,</w:t>
      </w:r>
      <w:proofErr w:type="gramEnd"/>
      <w:r w:rsidR="000F7A31">
        <w:t xml:space="preserve"> P. Omenzetter &amp; H. Morris </w:t>
      </w:r>
      <w:r>
        <w:t xml:space="preserve">2012. </w:t>
      </w:r>
      <w:r w:rsidR="000F7A31">
        <w:t xml:space="preserve">Ambient and </w:t>
      </w:r>
      <w:r w:rsidR="000F7A31" w:rsidRPr="00890BA5">
        <w:t>Forced Vibration Testing and Finite Element Model Updating of a Full-scale Post-Tensioned Laminated Veneer Lumber Building</w:t>
      </w:r>
      <w:r w:rsidR="000F7A31">
        <w:t xml:space="preserve">. </w:t>
      </w:r>
      <w:proofErr w:type="gramStart"/>
      <w:r w:rsidR="000F7A31" w:rsidRPr="000F7A31">
        <w:rPr>
          <w:i/>
        </w:rPr>
        <w:t>2012 Annual NZSEE Conference</w:t>
      </w:r>
      <w:r w:rsidR="000F7A31">
        <w:rPr>
          <w:i/>
        </w:rPr>
        <w:t>.</w:t>
      </w:r>
      <w:proofErr w:type="gramEnd"/>
      <w:r w:rsidR="000F7A31">
        <w:rPr>
          <w:i/>
        </w:rPr>
        <w:t xml:space="preserve"> </w:t>
      </w:r>
      <w:r w:rsidR="000F7A31" w:rsidRPr="000F7A31">
        <w:t>Christchurch</w:t>
      </w:r>
      <w:r w:rsidR="000F7A31">
        <w:t>.</w:t>
      </w:r>
      <w:r w:rsidR="000F7A31" w:rsidRPr="000F7A31">
        <w:t xml:space="preserve"> </w:t>
      </w:r>
      <w:r>
        <w:t>(</w:t>
      </w:r>
      <w:proofErr w:type="gramStart"/>
      <w:r>
        <w:t>submitted</w:t>
      </w:r>
      <w:proofErr w:type="gramEnd"/>
      <w:r>
        <w:t>).</w:t>
      </w:r>
    </w:p>
    <w:p w:rsidR="007434F7" w:rsidRPr="007434F7" w:rsidRDefault="007434F7" w:rsidP="007434F7">
      <w:pPr>
        <w:pStyle w:val="Referencetext"/>
        <w:rPr>
          <w:rFonts w:eastAsia="Calibri"/>
          <w:lang w:val="en-GB" w:eastAsia="en-GB"/>
        </w:rPr>
      </w:pPr>
      <w:proofErr w:type="gramStart"/>
      <w:r w:rsidRPr="005356CD">
        <w:rPr>
          <w:rFonts w:eastAsia="Calibri"/>
          <w:lang w:val="en-GB" w:eastAsia="en-GB"/>
        </w:rPr>
        <w:t>Zhang</w:t>
      </w:r>
      <w:r w:rsidR="008C7BF5" w:rsidRPr="005356CD">
        <w:rPr>
          <w:rFonts w:eastAsia="Calibri"/>
          <w:lang w:val="en-GB" w:eastAsia="en-GB"/>
        </w:rPr>
        <w:t xml:space="preserve">, Z. &amp; </w:t>
      </w:r>
      <w:r w:rsidRPr="005356CD">
        <w:rPr>
          <w:rFonts w:eastAsia="Calibri"/>
          <w:lang w:val="en-GB" w:eastAsia="en-GB"/>
        </w:rPr>
        <w:t>Cho</w:t>
      </w:r>
      <w:r w:rsidR="008C7BF5" w:rsidRPr="005356CD">
        <w:rPr>
          <w:rFonts w:eastAsia="Calibri"/>
          <w:lang w:val="en-GB" w:eastAsia="en-GB"/>
        </w:rPr>
        <w:t>, C. 2009, Experimental study on</w:t>
      </w:r>
      <w:r w:rsidR="008C7BF5">
        <w:rPr>
          <w:rFonts w:eastAsia="Calibri"/>
          <w:lang w:val="en-GB" w:eastAsia="en-GB"/>
        </w:rPr>
        <w:t xml:space="preserve"> </w:t>
      </w:r>
      <w:r w:rsidR="008C7BF5" w:rsidRPr="005356CD">
        <w:rPr>
          <w:rFonts w:eastAsia="Calibri"/>
          <w:lang w:val="en-GB" w:eastAsia="en-GB"/>
        </w:rPr>
        <w:t>damping ratios of in-situ buildings.</w:t>
      </w:r>
      <w:proofErr w:type="gramEnd"/>
      <w:r w:rsidR="008C7BF5" w:rsidRPr="005356CD">
        <w:rPr>
          <w:rFonts w:eastAsia="Calibri"/>
          <w:lang w:val="en-GB" w:eastAsia="en-GB"/>
        </w:rPr>
        <w:t xml:space="preserve"> </w:t>
      </w:r>
      <w:r w:rsidR="008C7BF5" w:rsidRPr="005356CD">
        <w:rPr>
          <w:rFonts w:eastAsia="Calibri"/>
          <w:i/>
          <w:iCs/>
          <w:lang w:val="en-GB" w:eastAsia="en-GB"/>
        </w:rPr>
        <w:t>International</w:t>
      </w:r>
      <w:r w:rsidR="008C7BF5">
        <w:rPr>
          <w:rFonts w:eastAsia="Calibri"/>
          <w:i/>
          <w:iCs/>
          <w:lang w:val="en-GB" w:eastAsia="en-GB"/>
        </w:rPr>
        <w:t xml:space="preserve"> </w:t>
      </w:r>
      <w:r w:rsidR="008C7BF5" w:rsidRPr="005356CD">
        <w:rPr>
          <w:rFonts w:eastAsia="Calibri"/>
          <w:i/>
          <w:lang w:val="en-GB" w:eastAsia="en-GB"/>
        </w:rPr>
        <w:t>Journal of Engineering and Applied Sciences</w:t>
      </w:r>
      <w:r w:rsidR="008C7BF5" w:rsidRPr="005356CD">
        <w:rPr>
          <w:rFonts w:eastAsia="Calibri"/>
          <w:lang w:val="en-GB" w:eastAsia="en-GB"/>
        </w:rPr>
        <w:t xml:space="preserve"> 5(4):</w:t>
      </w:r>
      <w:r w:rsidR="008C7BF5">
        <w:rPr>
          <w:rFonts w:eastAsia="Calibri"/>
          <w:lang w:val="en-GB" w:eastAsia="en-GB"/>
        </w:rPr>
        <w:t xml:space="preserve"> </w:t>
      </w:r>
      <w:r w:rsidR="008C7BF5" w:rsidRPr="005356CD">
        <w:rPr>
          <w:rFonts w:eastAsia="Calibri"/>
          <w:lang w:val="en-GB" w:eastAsia="en-GB"/>
        </w:rPr>
        <w:t>264-268.</w:t>
      </w:r>
    </w:p>
    <w:sectPr w:rsidR="007434F7" w:rsidRPr="007434F7" w:rsidSect="00486BA2">
      <w:headerReference w:type="even" r:id="rId21"/>
      <w:headerReference w:type="default" r:id="rId22"/>
      <w:footerReference w:type="even" r:id="rId23"/>
      <w:footerReference w:type="default" r:id="rId24"/>
      <w:headerReference w:type="first" r:id="rId25"/>
      <w:footerReference w:type="first" r:id="rId26"/>
      <w:type w:val="continuous"/>
      <w:pgSz w:w="11907" w:h="16840" w:code="9"/>
      <w:pgMar w:top="1418" w:right="1418" w:bottom="1418" w:left="1418" w:header="0" w:footer="680" w:gutter="0"/>
      <w:cols w:space="284"/>
      <w:formProt w:val="0"/>
      <w:noEndnote/>
      <w:titlePg/>
    </w:sectPr>
  </w:body>
</w:document>
</file>

<file path=word/customizations.xml><?xml version="1.0" encoding="utf-8"?>
<wne:tcg xmlns:r="http://schemas.openxmlformats.org/officeDocument/2006/relationships" xmlns:wne="http://schemas.microsoft.com/office/word/2006/wordml">
  <wne:keymaps>
    <wne:keymap wne:kcmPrimary="0431">
      <wne:acd wne:acdName="acd2"/>
    </wne:keymap>
    <wne:keymap wne:kcmPrimary="0432">
      <wne:acd wne:acdName="acd1"/>
    </wne:keymap>
    <wne:keymap wne:kcmPrimary="0446">
      <wne:acd wne:acdName="acd3"/>
    </wne:keymap>
    <wne:keymap wne:kcmPrimary="044E">
      <wne:acd wne:acdName="acd0"/>
    </wne:keymap>
  </wne:keymaps>
  <wne:toolbars>
    <wne:acdManifest>
      <wne:acdEntry wne:acdName="acd0"/>
      <wne:acdEntry wne:acdName="acd1"/>
      <wne:acdEntry wne:acdName="acd2"/>
      <wne:acdEntry wne:acdName="acd3"/>
    </wne:acdManifest>
  </wne:toolbars>
  <wne:acds>
    <wne:acd wne:argValue="AgBOAG8AcgBtAGEAbAAsAHQAZQB4AHQA" wne:acdName="acd0" wne:fciIndexBasedOn="0065"/>
    <wne:acd wne:argValue="AgBIAGUAYQBkAGkAbgBnACAAMgAsAGgAZQBhAGQAaQBuAGcAIAAyAA==" wne:acdName="acd1" wne:fciIndexBasedOn="0065"/>
    <wne:acd wne:argValue="AgBIAGUAYQBkAGkAbgBnACAAMQAsAGgAZQBhAGQAaQBuAGcAIAAxAA==" wne:acdName="acd2" wne:fciIndexBasedOn="0065"/>
    <wne:acd wne:argValue="AgBGAGkAZwB1AHIAZQAgAGMAYQBwAHQAaQBvAG4A" wne:acdName="acd3" wne:fciIndexBasedOn="0065"/>
  </wne:acds>
</wne:tcg>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057B3" w:rsidRDefault="00D057B3">
      <w:r>
        <w:separator/>
      </w:r>
    </w:p>
  </w:endnote>
  <w:endnote w:type="continuationSeparator" w:id="0">
    <w:p w:rsidR="00D057B3" w:rsidRDefault="00D057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6850" w:rsidRDefault="00074293">
    <w:pPr>
      <w:pStyle w:val="Footer"/>
      <w:ind w:right="360"/>
      <w:jc w:val="center"/>
    </w:pPr>
    <w:r>
      <w:fldChar w:fldCharType="begin"/>
    </w:r>
    <w:r>
      <w:instrText xml:space="preserve"> PAGE </w:instrText>
    </w:r>
    <w:r>
      <w:fldChar w:fldCharType="separate"/>
    </w:r>
    <w:r w:rsidR="00276850">
      <w:rPr>
        <w:noProof/>
      </w:rPr>
      <w:t>2</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6850" w:rsidRDefault="00074293">
    <w:pPr>
      <w:pStyle w:val="Footer"/>
      <w:tabs>
        <w:tab w:val="clear" w:pos="4153"/>
        <w:tab w:val="clear" w:pos="8306"/>
      </w:tabs>
      <w:ind w:right="-1"/>
      <w:jc w:val="center"/>
    </w:pPr>
    <w:r>
      <w:fldChar w:fldCharType="begin"/>
    </w:r>
    <w:r>
      <w:instrText xml:space="preserve"> PAGE </w:instrText>
    </w:r>
    <w:r>
      <w:fldChar w:fldCharType="separate"/>
    </w:r>
    <w:r w:rsidR="00C33937">
      <w:rPr>
        <w:noProof/>
      </w:rPr>
      <w:t>8</w:t>
    </w:r>
    <w:r>
      <w:rPr>
        <w:noProof/>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6850" w:rsidRDefault="00276850">
    <w:pPr>
      <w:pStyle w:val="Footer"/>
      <w:tabs>
        <w:tab w:val="clear" w:pos="4153"/>
        <w:tab w:val="clear" w:pos="8306"/>
      </w:tabs>
      <w:jc w:val="center"/>
    </w:pPr>
    <w:r>
      <w:t>Paper Number 027</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057B3" w:rsidRDefault="00D057B3">
      <w:r>
        <w:separator/>
      </w:r>
    </w:p>
  </w:footnote>
  <w:footnote w:type="continuationSeparator" w:id="0">
    <w:p w:rsidR="00D057B3" w:rsidRDefault="00D057B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6850" w:rsidRDefault="00276850">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6850" w:rsidRDefault="00276850">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76850" w:rsidRDefault="0027685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29ECC450"/>
    <w:lvl w:ilvl="0">
      <w:start w:val="1"/>
      <w:numFmt w:val="decimal"/>
      <w:lvlText w:val="%1."/>
      <w:lvlJc w:val="left"/>
      <w:pPr>
        <w:tabs>
          <w:tab w:val="num" w:pos="1492"/>
        </w:tabs>
        <w:ind w:left="1492" w:hanging="360"/>
      </w:pPr>
    </w:lvl>
  </w:abstractNum>
  <w:abstractNum w:abstractNumId="1">
    <w:nsid w:val="FFFFFF7D"/>
    <w:multiLevelType w:val="singleLevel"/>
    <w:tmpl w:val="BD32BA5E"/>
    <w:lvl w:ilvl="0">
      <w:start w:val="1"/>
      <w:numFmt w:val="decimal"/>
      <w:lvlText w:val="%1."/>
      <w:lvlJc w:val="left"/>
      <w:pPr>
        <w:tabs>
          <w:tab w:val="num" w:pos="1209"/>
        </w:tabs>
        <w:ind w:left="1209" w:hanging="360"/>
      </w:pPr>
    </w:lvl>
  </w:abstractNum>
  <w:abstractNum w:abstractNumId="2">
    <w:nsid w:val="FFFFFF7E"/>
    <w:multiLevelType w:val="singleLevel"/>
    <w:tmpl w:val="0F708058"/>
    <w:lvl w:ilvl="0">
      <w:start w:val="1"/>
      <w:numFmt w:val="decimal"/>
      <w:lvlText w:val="%1."/>
      <w:lvlJc w:val="left"/>
      <w:pPr>
        <w:tabs>
          <w:tab w:val="num" w:pos="926"/>
        </w:tabs>
        <w:ind w:left="926" w:hanging="360"/>
      </w:pPr>
    </w:lvl>
  </w:abstractNum>
  <w:abstractNum w:abstractNumId="3">
    <w:nsid w:val="FFFFFF7F"/>
    <w:multiLevelType w:val="singleLevel"/>
    <w:tmpl w:val="8ECE0D30"/>
    <w:lvl w:ilvl="0">
      <w:start w:val="1"/>
      <w:numFmt w:val="decimal"/>
      <w:lvlText w:val="%1."/>
      <w:lvlJc w:val="left"/>
      <w:pPr>
        <w:tabs>
          <w:tab w:val="num" w:pos="643"/>
        </w:tabs>
        <w:ind w:left="643" w:hanging="360"/>
      </w:pPr>
    </w:lvl>
  </w:abstractNum>
  <w:abstractNum w:abstractNumId="4">
    <w:nsid w:val="FFFFFF80"/>
    <w:multiLevelType w:val="singleLevel"/>
    <w:tmpl w:val="469A0C58"/>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7EEA3514"/>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ADF403A0"/>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745C8CCE"/>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65EA5C9C"/>
    <w:lvl w:ilvl="0">
      <w:start w:val="1"/>
      <w:numFmt w:val="decimal"/>
      <w:lvlText w:val="%1."/>
      <w:lvlJc w:val="left"/>
      <w:pPr>
        <w:tabs>
          <w:tab w:val="num" w:pos="360"/>
        </w:tabs>
        <w:ind w:left="360" w:hanging="360"/>
      </w:pPr>
    </w:lvl>
  </w:abstractNum>
  <w:abstractNum w:abstractNumId="9">
    <w:nsid w:val="FFFFFF89"/>
    <w:multiLevelType w:val="singleLevel"/>
    <w:tmpl w:val="E45063DE"/>
    <w:lvl w:ilvl="0">
      <w:start w:val="1"/>
      <w:numFmt w:val="bullet"/>
      <w:lvlText w:val=""/>
      <w:lvlJc w:val="left"/>
      <w:pPr>
        <w:tabs>
          <w:tab w:val="num" w:pos="360"/>
        </w:tabs>
        <w:ind w:left="360" w:hanging="360"/>
      </w:pPr>
      <w:rPr>
        <w:rFonts w:ascii="Symbol" w:hAnsi="Symbol" w:hint="default"/>
      </w:rPr>
    </w:lvl>
  </w:abstractNum>
  <w:abstractNum w:abstractNumId="10">
    <w:nsid w:val="FFFFFFFB"/>
    <w:multiLevelType w:val="multilevel"/>
    <w:tmpl w:val="34E0BBCC"/>
    <w:lvl w:ilvl="0">
      <w:start w:val="1"/>
      <w:numFmt w:val="decimal"/>
      <w:pStyle w:val="Heading1"/>
      <w:lvlText w:val="%1"/>
      <w:legacy w:legacy="1" w:legacySpace="153" w:legacyIndent="0"/>
      <w:lvlJc w:val="left"/>
      <w:rPr>
        <w:rFonts w:ascii="Times New Roman" w:hAnsi="Times New Roman" w:hint="default"/>
        <w:b w:val="0"/>
        <w:i w:val="0"/>
        <w:sz w:val="22"/>
      </w:rPr>
    </w:lvl>
    <w:lvl w:ilvl="1">
      <w:start w:val="1"/>
      <w:numFmt w:val="decimal"/>
      <w:pStyle w:val="Heading2"/>
      <w:lvlText w:val="%1.%2"/>
      <w:legacy w:legacy="1" w:legacySpace="153" w:legacyIndent="0"/>
      <w:lvlJc w:val="left"/>
      <w:pPr>
        <w:ind w:left="0" w:firstLine="0"/>
      </w:pPr>
      <w:rPr>
        <w:rFonts w:ascii="Times New Roman" w:hAnsi="Times New Roman" w:hint="default"/>
        <w:b w:val="0"/>
        <w:i w:val="0"/>
        <w:sz w:val="22"/>
      </w:rPr>
    </w:lvl>
    <w:lvl w:ilvl="2">
      <w:start w:val="1"/>
      <w:numFmt w:val="decimal"/>
      <w:pStyle w:val="Heading3"/>
      <w:lvlText w:val="%1.%2.%3"/>
      <w:legacy w:legacy="1" w:legacySpace="153" w:legacyIndent="0"/>
      <w:lvlJc w:val="left"/>
      <w:pPr>
        <w:ind w:left="0" w:firstLine="0"/>
      </w:pPr>
      <w:rPr>
        <w:rFonts w:ascii="Times New Roman" w:hAnsi="Times New Roman" w:hint="default"/>
        <w:b w:val="0"/>
        <w:i w:val="0"/>
        <w:sz w:val="22"/>
      </w:rPr>
    </w:lvl>
    <w:lvl w:ilvl="3">
      <w:start w:val="1"/>
      <w:numFmt w:val="decimal"/>
      <w:pStyle w:val="Heading4"/>
      <w:lvlText w:val="%1.%2.%3.%4"/>
      <w:legacy w:legacy="1" w:legacySpace="153" w:legacyIndent="0"/>
      <w:lvlJc w:val="left"/>
      <w:pPr>
        <w:ind w:left="0" w:firstLine="0"/>
      </w:pPr>
      <w:rPr>
        <w:rFonts w:ascii="Times New Roman" w:hAnsi="Times New Roman" w:hint="default"/>
        <w:b w:val="0"/>
        <w:i w:val="0"/>
        <w:sz w:val="22"/>
      </w:rPr>
    </w:lvl>
    <w:lvl w:ilvl="4">
      <w:start w:val="1"/>
      <w:numFmt w:val="decimal"/>
      <w:pStyle w:val="Heading5"/>
      <w:lvlText w:val="(%5)"/>
      <w:legacy w:legacy="1" w:legacySpace="0" w:legacyIndent="708"/>
      <w:lvlJc w:val="left"/>
      <w:pPr>
        <w:ind w:left="708" w:hanging="708"/>
      </w:pPr>
    </w:lvl>
    <w:lvl w:ilvl="5">
      <w:start w:val="1"/>
      <w:numFmt w:val="lowerLetter"/>
      <w:pStyle w:val="Heading6"/>
      <w:lvlText w:val="(%6)"/>
      <w:legacy w:legacy="1" w:legacySpace="0" w:legacyIndent="708"/>
      <w:lvlJc w:val="left"/>
      <w:pPr>
        <w:ind w:left="1416" w:hanging="708"/>
      </w:pPr>
    </w:lvl>
    <w:lvl w:ilvl="6">
      <w:start w:val="1"/>
      <w:numFmt w:val="lowerRoman"/>
      <w:pStyle w:val="Heading7"/>
      <w:lvlText w:val="(%7)"/>
      <w:legacy w:legacy="1" w:legacySpace="0" w:legacyIndent="708"/>
      <w:lvlJc w:val="left"/>
      <w:pPr>
        <w:ind w:left="2124" w:hanging="708"/>
      </w:pPr>
    </w:lvl>
    <w:lvl w:ilvl="7">
      <w:start w:val="1"/>
      <w:numFmt w:val="lowerLetter"/>
      <w:pStyle w:val="Heading8"/>
      <w:lvlText w:val="(%8)"/>
      <w:legacy w:legacy="1" w:legacySpace="0" w:legacyIndent="708"/>
      <w:lvlJc w:val="left"/>
      <w:pPr>
        <w:ind w:left="2832" w:hanging="708"/>
      </w:pPr>
    </w:lvl>
    <w:lvl w:ilvl="8">
      <w:start w:val="1"/>
      <w:numFmt w:val="lowerRoman"/>
      <w:pStyle w:val="Heading9"/>
      <w:lvlText w:val="(%9)"/>
      <w:legacy w:legacy="1" w:legacySpace="0" w:legacyIndent="708"/>
      <w:lvlJc w:val="left"/>
      <w:pPr>
        <w:ind w:left="3540" w:hanging="708"/>
      </w:pPr>
    </w:lvl>
  </w:abstractNum>
  <w:abstractNum w:abstractNumId="11">
    <w:nsid w:val="FFFFFFFE"/>
    <w:multiLevelType w:val="singleLevel"/>
    <w:tmpl w:val="271000F2"/>
    <w:lvl w:ilvl="0">
      <w:numFmt w:val="decimal"/>
      <w:lvlText w:val="*"/>
      <w:lvlJc w:val="left"/>
    </w:lvl>
  </w:abstractNum>
  <w:abstractNum w:abstractNumId="12">
    <w:nsid w:val="1DC4311E"/>
    <w:multiLevelType w:val="hybridMultilevel"/>
    <w:tmpl w:val="37F41D1E"/>
    <w:lvl w:ilvl="0" w:tplc="04090001">
      <w:start w:val="1"/>
      <w:numFmt w:val="bullet"/>
      <w:lvlText w:val=""/>
      <w:lvlJc w:val="left"/>
      <w:pPr>
        <w:tabs>
          <w:tab w:val="num" w:pos="720"/>
        </w:tabs>
        <w:ind w:left="720" w:hanging="360"/>
      </w:pPr>
      <w:rPr>
        <w:rFonts w:ascii="Symbol" w:hAnsi="Symbol" w:hint="default"/>
      </w:rPr>
    </w:lvl>
    <w:lvl w:ilvl="1" w:tplc="04090001">
      <w:start w:val="1"/>
      <w:numFmt w:val="bullet"/>
      <w:lvlText w:val=""/>
      <w:lvlJc w:val="left"/>
      <w:pPr>
        <w:tabs>
          <w:tab w:val="num" w:pos="720"/>
        </w:tabs>
        <w:ind w:left="72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258E6E8D"/>
    <w:multiLevelType w:val="hybridMultilevel"/>
    <w:tmpl w:val="37F41D1E"/>
    <w:lvl w:ilvl="0" w:tplc="04090001">
      <w:start w:val="1"/>
      <w:numFmt w:val="bullet"/>
      <w:lvlText w:val=""/>
      <w:lvlJc w:val="left"/>
      <w:pPr>
        <w:tabs>
          <w:tab w:val="num" w:pos="720"/>
        </w:tabs>
        <w:ind w:left="720" w:hanging="360"/>
      </w:pPr>
      <w:rPr>
        <w:rFonts w:ascii="Symbol" w:hAnsi="Symbol" w:hint="default"/>
      </w:rPr>
    </w:lvl>
    <w:lvl w:ilvl="1" w:tplc="0409000F">
      <w:start w:val="1"/>
      <w:numFmt w:val="decimal"/>
      <w:lvlText w:val="%2."/>
      <w:lvlJc w:val="left"/>
      <w:pPr>
        <w:tabs>
          <w:tab w:val="num" w:pos="720"/>
        </w:tabs>
        <w:ind w:left="720" w:hanging="360"/>
      </w:p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2BC72172"/>
    <w:multiLevelType w:val="hybridMultilevel"/>
    <w:tmpl w:val="1394798C"/>
    <w:lvl w:ilvl="0" w:tplc="0409000F">
      <w:start w:val="1"/>
      <w:numFmt w:val="decimal"/>
      <w:lvlText w:val="%1."/>
      <w:lvlJc w:val="left"/>
      <w:pPr>
        <w:tabs>
          <w:tab w:val="num" w:pos="770"/>
        </w:tabs>
        <w:ind w:left="770" w:hanging="360"/>
      </w:pPr>
    </w:lvl>
    <w:lvl w:ilvl="1" w:tplc="04090003" w:tentative="1">
      <w:start w:val="1"/>
      <w:numFmt w:val="bullet"/>
      <w:lvlText w:val="o"/>
      <w:lvlJc w:val="left"/>
      <w:pPr>
        <w:tabs>
          <w:tab w:val="num" w:pos="1490"/>
        </w:tabs>
        <w:ind w:left="1490" w:hanging="360"/>
      </w:pPr>
      <w:rPr>
        <w:rFonts w:ascii="Courier New" w:hAnsi="Courier New" w:hint="default"/>
      </w:rPr>
    </w:lvl>
    <w:lvl w:ilvl="2" w:tplc="04090005" w:tentative="1">
      <w:start w:val="1"/>
      <w:numFmt w:val="bullet"/>
      <w:lvlText w:val=""/>
      <w:lvlJc w:val="left"/>
      <w:pPr>
        <w:tabs>
          <w:tab w:val="num" w:pos="2210"/>
        </w:tabs>
        <w:ind w:left="2210" w:hanging="360"/>
      </w:pPr>
      <w:rPr>
        <w:rFonts w:ascii="Wingdings" w:hAnsi="Wingdings" w:hint="default"/>
      </w:rPr>
    </w:lvl>
    <w:lvl w:ilvl="3" w:tplc="04090001" w:tentative="1">
      <w:start w:val="1"/>
      <w:numFmt w:val="bullet"/>
      <w:lvlText w:val=""/>
      <w:lvlJc w:val="left"/>
      <w:pPr>
        <w:tabs>
          <w:tab w:val="num" w:pos="2930"/>
        </w:tabs>
        <w:ind w:left="2930" w:hanging="360"/>
      </w:pPr>
      <w:rPr>
        <w:rFonts w:ascii="Symbol" w:hAnsi="Symbol" w:hint="default"/>
      </w:rPr>
    </w:lvl>
    <w:lvl w:ilvl="4" w:tplc="04090003" w:tentative="1">
      <w:start w:val="1"/>
      <w:numFmt w:val="bullet"/>
      <w:lvlText w:val="o"/>
      <w:lvlJc w:val="left"/>
      <w:pPr>
        <w:tabs>
          <w:tab w:val="num" w:pos="3650"/>
        </w:tabs>
        <w:ind w:left="3650" w:hanging="360"/>
      </w:pPr>
      <w:rPr>
        <w:rFonts w:ascii="Courier New" w:hAnsi="Courier New" w:hint="default"/>
      </w:rPr>
    </w:lvl>
    <w:lvl w:ilvl="5" w:tplc="04090005" w:tentative="1">
      <w:start w:val="1"/>
      <w:numFmt w:val="bullet"/>
      <w:lvlText w:val=""/>
      <w:lvlJc w:val="left"/>
      <w:pPr>
        <w:tabs>
          <w:tab w:val="num" w:pos="4370"/>
        </w:tabs>
        <w:ind w:left="4370" w:hanging="360"/>
      </w:pPr>
      <w:rPr>
        <w:rFonts w:ascii="Wingdings" w:hAnsi="Wingdings" w:hint="default"/>
      </w:rPr>
    </w:lvl>
    <w:lvl w:ilvl="6" w:tplc="04090001" w:tentative="1">
      <w:start w:val="1"/>
      <w:numFmt w:val="bullet"/>
      <w:lvlText w:val=""/>
      <w:lvlJc w:val="left"/>
      <w:pPr>
        <w:tabs>
          <w:tab w:val="num" w:pos="5090"/>
        </w:tabs>
        <w:ind w:left="5090" w:hanging="360"/>
      </w:pPr>
      <w:rPr>
        <w:rFonts w:ascii="Symbol" w:hAnsi="Symbol" w:hint="default"/>
      </w:rPr>
    </w:lvl>
    <w:lvl w:ilvl="7" w:tplc="04090003" w:tentative="1">
      <w:start w:val="1"/>
      <w:numFmt w:val="bullet"/>
      <w:lvlText w:val="o"/>
      <w:lvlJc w:val="left"/>
      <w:pPr>
        <w:tabs>
          <w:tab w:val="num" w:pos="5810"/>
        </w:tabs>
        <w:ind w:left="5810" w:hanging="360"/>
      </w:pPr>
      <w:rPr>
        <w:rFonts w:ascii="Courier New" w:hAnsi="Courier New" w:hint="default"/>
      </w:rPr>
    </w:lvl>
    <w:lvl w:ilvl="8" w:tplc="04090005" w:tentative="1">
      <w:start w:val="1"/>
      <w:numFmt w:val="bullet"/>
      <w:lvlText w:val=""/>
      <w:lvlJc w:val="left"/>
      <w:pPr>
        <w:tabs>
          <w:tab w:val="num" w:pos="6530"/>
        </w:tabs>
        <w:ind w:left="6530" w:hanging="360"/>
      </w:pPr>
      <w:rPr>
        <w:rFonts w:ascii="Wingdings" w:hAnsi="Wingdings" w:hint="default"/>
      </w:rPr>
    </w:lvl>
  </w:abstractNum>
  <w:abstractNum w:abstractNumId="15">
    <w:nsid w:val="5949088F"/>
    <w:multiLevelType w:val="hybridMultilevel"/>
    <w:tmpl w:val="1394798C"/>
    <w:lvl w:ilvl="0" w:tplc="04090001">
      <w:start w:val="1"/>
      <w:numFmt w:val="bullet"/>
      <w:lvlText w:val=""/>
      <w:lvlJc w:val="left"/>
      <w:pPr>
        <w:tabs>
          <w:tab w:val="num" w:pos="770"/>
        </w:tabs>
        <w:ind w:left="770" w:hanging="360"/>
      </w:pPr>
      <w:rPr>
        <w:rFonts w:ascii="Symbol" w:hAnsi="Symbol" w:hint="default"/>
      </w:rPr>
    </w:lvl>
    <w:lvl w:ilvl="1" w:tplc="04090003" w:tentative="1">
      <w:start w:val="1"/>
      <w:numFmt w:val="bullet"/>
      <w:lvlText w:val="o"/>
      <w:lvlJc w:val="left"/>
      <w:pPr>
        <w:tabs>
          <w:tab w:val="num" w:pos="1490"/>
        </w:tabs>
        <w:ind w:left="1490" w:hanging="360"/>
      </w:pPr>
      <w:rPr>
        <w:rFonts w:ascii="Courier New" w:hAnsi="Courier New" w:hint="default"/>
      </w:rPr>
    </w:lvl>
    <w:lvl w:ilvl="2" w:tplc="04090005" w:tentative="1">
      <w:start w:val="1"/>
      <w:numFmt w:val="bullet"/>
      <w:lvlText w:val=""/>
      <w:lvlJc w:val="left"/>
      <w:pPr>
        <w:tabs>
          <w:tab w:val="num" w:pos="2210"/>
        </w:tabs>
        <w:ind w:left="2210" w:hanging="360"/>
      </w:pPr>
      <w:rPr>
        <w:rFonts w:ascii="Wingdings" w:hAnsi="Wingdings" w:hint="default"/>
      </w:rPr>
    </w:lvl>
    <w:lvl w:ilvl="3" w:tplc="04090001" w:tentative="1">
      <w:start w:val="1"/>
      <w:numFmt w:val="bullet"/>
      <w:lvlText w:val=""/>
      <w:lvlJc w:val="left"/>
      <w:pPr>
        <w:tabs>
          <w:tab w:val="num" w:pos="2930"/>
        </w:tabs>
        <w:ind w:left="2930" w:hanging="360"/>
      </w:pPr>
      <w:rPr>
        <w:rFonts w:ascii="Symbol" w:hAnsi="Symbol" w:hint="default"/>
      </w:rPr>
    </w:lvl>
    <w:lvl w:ilvl="4" w:tplc="04090003" w:tentative="1">
      <w:start w:val="1"/>
      <w:numFmt w:val="bullet"/>
      <w:lvlText w:val="o"/>
      <w:lvlJc w:val="left"/>
      <w:pPr>
        <w:tabs>
          <w:tab w:val="num" w:pos="3650"/>
        </w:tabs>
        <w:ind w:left="3650" w:hanging="360"/>
      </w:pPr>
      <w:rPr>
        <w:rFonts w:ascii="Courier New" w:hAnsi="Courier New" w:hint="default"/>
      </w:rPr>
    </w:lvl>
    <w:lvl w:ilvl="5" w:tplc="04090005" w:tentative="1">
      <w:start w:val="1"/>
      <w:numFmt w:val="bullet"/>
      <w:lvlText w:val=""/>
      <w:lvlJc w:val="left"/>
      <w:pPr>
        <w:tabs>
          <w:tab w:val="num" w:pos="4370"/>
        </w:tabs>
        <w:ind w:left="4370" w:hanging="360"/>
      </w:pPr>
      <w:rPr>
        <w:rFonts w:ascii="Wingdings" w:hAnsi="Wingdings" w:hint="default"/>
      </w:rPr>
    </w:lvl>
    <w:lvl w:ilvl="6" w:tplc="04090001" w:tentative="1">
      <w:start w:val="1"/>
      <w:numFmt w:val="bullet"/>
      <w:lvlText w:val=""/>
      <w:lvlJc w:val="left"/>
      <w:pPr>
        <w:tabs>
          <w:tab w:val="num" w:pos="5090"/>
        </w:tabs>
        <w:ind w:left="5090" w:hanging="360"/>
      </w:pPr>
      <w:rPr>
        <w:rFonts w:ascii="Symbol" w:hAnsi="Symbol" w:hint="default"/>
      </w:rPr>
    </w:lvl>
    <w:lvl w:ilvl="7" w:tplc="04090003" w:tentative="1">
      <w:start w:val="1"/>
      <w:numFmt w:val="bullet"/>
      <w:lvlText w:val="o"/>
      <w:lvlJc w:val="left"/>
      <w:pPr>
        <w:tabs>
          <w:tab w:val="num" w:pos="5810"/>
        </w:tabs>
        <w:ind w:left="5810" w:hanging="360"/>
      </w:pPr>
      <w:rPr>
        <w:rFonts w:ascii="Courier New" w:hAnsi="Courier New" w:hint="default"/>
      </w:rPr>
    </w:lvl>
    <w:lvl w:ilvl="8" w:tplc="04090005" w:tentative="1">
      <w:start w:val="1"/>
      <w:numFmt w:val="bullet"/>
      <w:lvlText w:val=""/>
      <w:lvlJc w:val="left"/>
      <w:pPr>
        <w:tabs>
          <w:tab w:val="num" w:pos="6530"/>
        </w:tabs>
        <w:ind w:left="6530" w:hanging="360"/>
      </w:pPr>
      <w:rPr>
        <w:rFonts w:ascii="Wingdings" w:hAnsi="Wingdings" w:hint="default"/>
      </w:rPr>
    </w:lvl>
  </w:abstractNum>
  <w:abstractNum w:abstractNumId="16">
    <w:nsid w:val="7A376120"/>
    <w:multiLevelType w:val="hybridMultilevel"/>
    <w:tmpl w:val="85DE053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7B73420D"/>
    <w:multiLevelType w:val="hybridMultilevel"/>
    <w:tmpl w:val="53AE996C"/>
    <w:lvl w:ilvl="0" w:tplc="52CA83C8">
      <w:start w:val="1"/>
      <w:numFmt w:val="bullet"/>
      <w:lvlText w:val=""/>
      <w:lvlJc w:val="left"/>
      <w:pPr>
        <w:tabs>
          <w:tab w:val="num" w:pos="947"/>
        </w:tabs>
        <w:ind w:left="947" w:hanging="360"/>
      </w:pPr>
      <w:rPr>
        <w:rFonts w:ascii="Symbol" w:hAnsi="Symbol" w:hint="default"/>
      </w:rPr>
    </w:lvl>
    <w:lvl w:ilvl="1" w:tplc="107A8F44" w:tentative="1">
      <w:start w:val="1"/>
      <w:numFmt w:val="bullet"/>
      <w:lvlText w:val="o"/>
      <w:lvlJc w:val="left"/>
      <w:pPr>
        <w:tabs>
          <w:tab w:val="num" w:pos="1667"/>
        </w:tabs>
        <w:ind w:left="1667" w:hanging="360"/>
      </w:pPr>
      <w:rPr>
        <w:rFonts w:ascii="Courier New" w:hAnsi="Courier New" w:hint="default"/>
      </w:rPr>
    </w:lvl>
    <w:lvl w:ilvl="2" w:tplc="C220DBFE" w:tentative="1">
      <w:start w:val="1"/>
      <w:numFmt w:val="bullet"/>
      <w:lvlText w:val=""/>
      <w:lvlJc w:val="left"/>
      <w:pPr>
        <w:tabs>
          <w:tab w:val="num" w:pos="2387"/>
        </w:tabs>
        <w:ind w:left="2387" w:hanging="360"/>
      </w:pPr>
      <w:rPr>
        <w:rFonts w:ascii="Wingdings" w:hAnsi="Wingdings" w:hint="default"/>
      </w:rPr>
    </w:lvl>
    <w:lvl w:ilvl="3" w:tplc="50A409AC" w:tentative="1">
      <w:start w:val="1"/>
      <w:numFmt w:val="bullet"/>
      <w:lvlText w:val=""/>
      <w:lvlJc w:val="left"/>
      <w:pPr>
        <w:tabs>
          <w:tab w:val="num" w:pos="3107"/>
        </w:tabs>
        <w:ind w:left="3107" w:hanging="360"/>
      </w:pPr>
      <w:rPr>
        <w:rFonts w:ascii="Symbol" w:hAnsi="Symbol" w:hint="default"/>
      </w:rPr>
    </w:lvl>
    <w:lvl w:ilvl="4" w:tplc="86F04F64" w:tentative="1">
      <w:start w:val="1"/>
      <w:numFmt w:val="bullet"/>
      <w:lvlText w:val="o"/>
      <w:lvlJc w:val="left"/>
      <w:pPr>
        <w:tabs>
          <w:tab w:val="num" w:pos="3827"/>
        </w:tabs>
        <w:ind w:left="3827" w:hanging="360"/>
      </w:pPr>
      <w:rPr>
        <w:rFonts w:ascii="Courier New" w:hAnsi="Courier New" w:hint="default"/>
      </w:rPr>
    </w:lvl>
    <w:lvl w:ilvl="5" w:tplc="42B0B648" w:tentative="1">
      <w:start w:val="1"/>
      <w:numFmt w:val="bullet"/>
      <w:lvlText w:val=""/>
      <w:lvlJc w:val="left"/>
      <w:pPr>
        <w:tabs>
          <w:tab w:val="num" w:pos="4547"/>
        </w:tabs>
        <w:ind w:left="4547" w:hanging="360"/>
      </w:pPr>
      <w:rPr>
        <w:rFonts w:ascii="Wingdings" w:hAnsi="Wingdings" w:hint="default"/>
      </w:rPr>
    </w:lvl>
    <w:lvl w:ilvl="6" w:tplc="7820C74E" w:tentative="1">
      <w:start w:val="1"/>
      <w:numFmt w:val="bullet"/>
      <w:lvlText w:val=""/>
      <w:lvlJc w:val="left"/>
      <w:pPr>
        <w:tabs>
          <w:tab w:val="num" w:pos="5267"/>
        </w:tabs>
        <w:ind w:left="5267" w:hanging="360"/>
      </w:pPr>
      <w:rPr>
        <w:rFonts w:ascii="Symbol" w:hAnsi="Symbol" w:hint="default"/>
      </w:rPr>
    </w:lvl>
    <w:lvl w:ilvl="7" w:tplc="71C065A0" w:tentative="1">
      <w:start w:val="1"/>
      <w:numFmt w:val="bullet"/>
      <w:lvlText w:val="o"/>
      <w:lvlJc w:val="left"/>
      <w:pPr>
        <w:tabs>
          <w:tab w:val="num" w:pos="5987"/>
        </w:tabs>
        <w:ind w:left="5987" w:hanging="360"/>
      </w:pPr>
      <w:rPr>
        <w:rFonts w:ascii="Courier New" w:hAnsi="Courier New" w:hint="default"/>
      </w:rPr>
    </w:lvl>
    <w:lvl w:ilvl="8" w:tplc="41B05948" w:tentative="1">
      <w:start w:val="1"/>
      <w:numFmt w:val="bullet"/>
      <w:lvlText w:val=""/>
      <w:lvlJc w:val="left"/>
      <w:pPr>
        <w:tabs>
          <w:tab w:val="num" w:pos="6707"/>
        </w:tabs>
        <w:ind w:left="6707" w:hanging="360"/>
      </w:pPr>
      <w:rPr>
        <w:rFonts w:ascii="Wingdings" w:hAnsi="Wingdings" w:hint="default"/>
      </w:rPr>
    </w:lvl>
  </w:abstractNum>
  <w:num w:numId="1">
    <w:abstractNumId w:val="10"/>
  </w:num>
  <w:num w:numId="2">
    <w:abstractNumId w:val="11"/>
    <w:lvlOverride w:ilvl="0">
      <w:lvl w:ilvl="0">
        <w:start w:val="1"/>
        <w:numFmt w:val="bullet"/>
        <w:lvlText w:val=""/>
        <w:legacy w:legacy="1" w:legacySpace="0" w:legacyIndent="283"/>
        <w:lvlJc w:val="left"/>
        <w:pPr>
          <w:ind w:left="283" w:hanging="283"/>
        </w:pPr>
        <w:rPr>
          <w:rFonts w:ascii="Symbol" w:hAnsi="Symbol" w:hint="default"/>
        </w:rPr>
      </w:lvl>
    </w:lvlOverride>
  </w:num>
  <w:num w:numId="3">
    <w:abstractNumId w:val="11"/>
    <w:lvlOverride w:ilvl="0">
      <w:lvl w:ilvl="0">
        <w:start w:val="1"/>
        <w:numFmt w:val="bullet"/>
        <w:lvlText w:val=""/>
        <w:legacy w:legacy="1" w:legacySpace="0" w:legacyIndent="230"/>
        <w:lvlJc w:val="left"/>
        <w:pPr>
          <w:ind w:left="230" w:hanging="230"/>
        </w:pPr>
        <w:rPr>
          <w:rFonts w:ascii="Symbol" w:hAnsi="Symbol" w:hint="default"/>
        </w:rPr>
      </w:lvl>
    </w:lvlOverride>
  </w:num>
  <w:num w:numId="4">
    <w:abstractNumId w:val="17"/>
  </w:num>
  <w:num w:numId="5">
    <w:abstractNumId w:val="11"/>
    <w:lvlOverride w:ilvl="0">
      <w:lvl w:ilvl="0">
        <w:start w:val="1"/>
        <w:numFmt w:val="bullet"/>
        <w:lvlText w:val=""/>
        <w:legacy w:legacy="1" w:legacySpace="0" w:legacyIndent="283"/>
        <w:lvlJc w:val="left"/>
        <w:pPr>
          <w:ind w:left="283" w:hanging="283"/>
        </w:pPr>
        <w:rPr>
          <w:rFonts w:ascii="Courier New" w:hAnsi="Courier New" w:hint="default"/>
        </w:rPr>
      </w:lvl>
    </w:lvlOverride>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5"/>
  </w:num>
  <w:num w:numId="8">
    <w:abstractNumId w:val="14"/>
  </w:num>
  <w:num w:numId="9">
    <w:abstractNumId w:val="12"/>
  </w:num>
  <w:num w:numId="10">
    <w:abstractNumId w:val="13"/>
  </w:num>
  <w:num w:numId="11">
    <w:abstractNumId w:val="16"/>
  </w:num>
  <w:num w:numId="12">
    <w:abstractNumId w:val="9"/>
  </w:num>
  <w:num w:numId="13">
    <w:abstractNumId w:val="7"/>
  </w:num>
  <w:num w:numId="14">
    <w:abstractNumId w:val="6"/>
  </w:num>
  <w:num w:numId="15">
    <w:abstractNumId w:val="5"/>
  </w:num>
  <w:num w:numId="16">
    <w:abstractNumId w:val="4"/>
  </w:num>
  <w:num w:numId="17">
    <w:abstractNumId w:val="8"/>
  </w:num>
  <w:num w:numId="18">
    <w:abstractNumId w:val="3"/>
  </w:num>
  <w:num w:numId="19">
    <w:abstractNumId w:val="2"/>
  </w:num>
  <w:num w:numId="20">
    <w:abstractNumId w:val="1"/>
  </w:num>
  <w:num w:numId="21">
    <w:abstractNumId w:val="0"/>
  </w:num>
  <w:num w:numId="2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87"/>
  <w:embedSystemFonts/>
  <w:proofState w:spelling="clean" w:grammar="clean"/>
  <w:attachedTemplate r:id="rId1"/>
  <w:linkStyles/>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stylePaneSortMethod w:val="0000"/>
  <w:defaultTabStop w:val="227"/>
  <w:autoHyphenation/>
  <w:consecutiveHyphenLimit w:val="3"/>
  <w:hyphenationZone w:val="48"/>
  <w:drawingGridHorizontalSpacing w:val="120"/>
  <w:drawingGridVerticalSpacing w:val="12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2"/>
  </w:compat>
  <w:docVars>
    <w:docVar w:name="EN.InstantFormat" w:val="&lt;ENInstantFormat&gt;&lt;Enabled&gt;1&lt;/Enabled&gt;&lt;ScanUnformatted&gt;1&lt;/ScanUnformatted&gt;&lt;ScanChanges&gt;1&lt;/ScanChanges&gt;&lt;Suspended&gt;0&lt;/Suspended&gt;&lt;/ENInstantFormat&gt;"/>
    <w:docVar w:name="EN.Layout" w:val="&lt;ENLayout&gt;&lt;Style&gt;Harvard&lt;/Style&gt;&lt;LeftDelim&gt;{&lt;/LeftDelim&gt;&lt;RightDelim&gt;}&lt;/RightDelim&gt;&lt;FontName&gt;Times New Roman&lt;/FontName&gt;&lt;FontSize&gt;10&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fvwv0zxp69wdpfe92at522rrv5dp9fastvta&quot;&gt;Uni&lt;record-ids&gt;&lt;item&gt;1024&lt;/item&gt;&lt;item&gt;1027&lt;/item&gt;&lt;item&gt;1045&lt;/item&gt;&lt;item&gt;1047&lt;/item&gt;&lt;item&gt;1051&lt;/item&gt;&lt;/record-ids&gt;&lt;/item&gt;&lt;/Libraries&gt;"/>
  </w:docVars>
  <w:rsids>
    <w:rsidRoot w:val="00506B21"/>
    <w:rsid w:val="0001542E"/>
    <w:rsid w:val="00054163"/>
    <w:rsid w:val="00074293"/>
    <w:rsid w:val="00076893"/>
    <w:rsid w:val="00086F3B"/>
    <w:rsid w:val="000D621B"/>
    <w:rsid w:val="000E0ADB"/>
    <w:rsid w:val="000F20BA"/>
    <w:rsid w:val="000F7A31"/>
    <w:rsid w:val="00112536"/>
    <w:rsid w:val="00121464"/>
    <w:rsid w:val="00127978"/>
    <w:rsid w:val="0015156E"/>
    <w:rsid w:val="00157640"/>
    <w:rsid w:val="001778DB"/>
    <w:rsid w:val="00180DBD"/>
    <w:rsid w:val="001F4931"/>
    <w:rsid w:val="001F4F5C"/>
    <w:rsid w:val="0021046A"/>
    <w:rsid w:val="00216A35"/>
    <w:rsid w:val="00246A09"/>
    <w:rsid w:val="00257F6A"/>
    <w:rsid w:val="00260D28"/>
    <w:rsid w:val="00264F00"/>
    <w:rsid w:val="002705A7"/>
    <w:rsid w:val="00276850"/>
    <w:rsid w:val="00292E89"/>
    <w:rsid w:val="002A343D"/>
    <w:rsid w:val="002C2038"/>
    <w:rsid w:val="002E1BCA"/>
    <w:rsid w:val="002E29EF"/>
    <w:rsid w:val="002E43E2"/>
    <w:rsid w:val="002F4EDC"/>
    <w:rsid w:val="00321313"/>
    <w:rsid w:val="00322D05"/>
    <w:rsid w:val="003369EB"/>
    <w:rsid w:val="003565DC"/>
    <w:rsid w:val="00364DFF"/>
    <w:rsid w:val="00377840"/>
    <w:rsid w:val="003A62DD"/>
    <w:rsid w:val="003C0777"/>
    <w:rsid w:val="003F3599"/>
    <w:rsid w:val="003F669B"/>
    <w:rsid w:val="00402C2F"/>
    <w:rsid w:val="0040408B"/>
    <w:rsid w:val="004246ED"/>
    <w:rsid w:val="00425734"/>
    <w:rsid w:val="004302DA"/>
    <w:rsid w:val="0045093F"/>
    <w:rsid w:val="00486BA2"/>
    <w:rsid w:val="004A7C39"/>
    <w:rsid w:val="004B22F4"/>
    <w:rsid w:val="004B52CD"/>
    <w:rsid w:val="004E2061"/>
    <w:rsid w:val="004E4201"/>
    <w:rsid w:val="004F7061"/>
    <w:rsid w:val="00506B21"/>
    <w:rsid w:val="00515886"/>
    <w:rsid w:val="0052456A"/>
    <w:rsid w:val="005278DB"/>
    <w:rsid w:val="00554A60"/>
    <w:rsid w:val="00567D0B"/>
    <w:rsid w:val="005727DA"/>
    <w:rsid w:val="005F6D72"/>
    <w:rsid w:val="006477B3"/>
    <w:rsid w:val="00650E20"/>
    <w:rsid w:val="006578BE"/>
    <w:rsid w:val="00661CE1"/>
    <w:rsid w:val="00671844"/>
    <w:rsid w:val="006750D6"/>
    <w:rsid w:val="00677022"/>
    <w:rsid w:val="006B30B6"/>
    <w:rsid w:val="006D1B8A"/>
    <w:rsid w:val="00726CF1"/>
    <w:rsid w:val="007434F7"/>
    <w:rsid w:val="0074688E"/>
    <w:rsid w:val="00750176"/>
    <w:rsid w:val="00755032"/>
    <w:rsid w:val="007705BF"/>
    <w:rsid w:val="0077441D"/>
    <w:rsid w:val="00793958"/>
    <w:rsid w:val="007B7EBA"/>
    <w:rsid w:val="007F100F"/>
    <w:rsid w:val="00801300"/>
    <w:rsid w:val="008110CA"/>
    <w:rsid w:val="00830203"/>
    <w:rsid w:val="00834E18"/>
    <w:rsid w:val="0083535E"/>
    <w:rsid w:val="008457CF"/>
    <w:rsid w:val="00870560"/>
    <w:rsid w:val="008722FF"/>
    <w:rsid w:val="00872A29"/>
    <w:rsid w:val="00896D1E"/>
    <w:rsid w:val="00896FDC"/>
    <w:rsid w:val="008B7EB3"/>
    <w:rsid w:val="008C7BF5"/>
    <w:rsid w:val="008D3FF2"/>
    <w:rsid w:val="008D577E"/>
    <w:rsid w:val="008D7C49"/>
    <w:rsid w:val="009001A8"/>
    <w:rsid w:val="009012A7"/>
    <w:rsid w:val="0091786B"/>
    <w:rsid w:val="009215E6"/>
    <w:rsid w:val="009260EE"/>
    <w:rsid w:val="00930CC9"/>
    <w:rsid w:val="009633DC"/>
    <w:rsid w:val="009A3A46"/>
    <w:rsid w:val="009B2875"/>
    <w:rsid w:val="009D5F84"/>
    <w:rsid w:val="009F1CC0"/>
    <w:rsid w:val="00A01A06"/>
    <w:rsid w:val="00A06C4E"/>
    <w:rsid w:val="00A12889"/>
    <w:rsid w:val="00A83E74"/>
    <w:rsid w:val="00A83E9F"/>
    <w:rsid w:val="00AA1046"/>
    <w:rsid w:val="00AA17B7"/>
    <w:rsid w:val="00AB5B03"/>
    <w:rsid w:val="00AB64A5"/>
    <w:rsid w:val="00AC534D"/>
    <w:rsid w:val="00B05B85"/>
    <w:rsid w:val="00B15549"/>
    <w:rsid w:val="00B65955"/>
    <w:rsid w:val="00B71F9C"/>
    <w:rsid w:val="00B76C4E"/>
    <w:rsid w:val="00B807C0"/>
    <w:rsid w:val="00B92248"/>
    <w:rsid w:val="00BB2C36"/>
    <w:rsid w:val="00BB3D3B"/>
    <w:rsid w:val="00BB5002"/>
    <w:rsid w:val="00BE0A64"/>
    <w:rsid w:val="00C1101B"/>
    <w:rsid w:val="00C16137"/>
    <w:rsid w:val="00C33937"/>
    <w:rsid w:val="00C50BCD"/>
    <w:rsid w:val="00C5592D"/>
    <w:rsid w:val="00C67ED9"/>
    <w:rsid w:val="00C771FB"/>
    <w:rsid w:val="00C95DE9"/>
    <w:rsid w:val="00CC6962"/>
    <w:rsid w:val="00CD3671"/>
    <w:rsid w:val="00CE6E6D"/>
    <w:rsid w:val="00CF1FDA"/>
    <w:rsid w:val="00D057B3"/>
    <w:rsid w:val="00D077B6"/>
    <w:rsid w:val="00D13F26"/>
    <w:rsid w:val="00D21866"/>
    <w:rsid w:val="00D22AC1"/>
    <w:rsid w:val="00D22AF3"/>
    <w:rsid w:val="00D522EC"/>
    <w:rsid w:val="00D93665"/>
    <w:rsid w:val="00D97EC9"/>
    <w:rsid w:val="00DA5555"/>
    <w:rsid w:val="00DE0312"/>
    <w:rsid w:val="00DE2220"/>
    <w:rsid w:val="00DE2D26"/>
    <w:rsid w:val="00DF021C"/>
    <w:rsid w:val="00E00A5C"/>
    <w:rsid w:val="00E4318B"/>
    <w:rsid w:val="00E455D4"/>
    <w:rsid w:val="00E56BBF"/>
    <w:rsid w:val="00EB03EE"/>
    <w:rsid w:val="00ED4BAA"/>
    <w:rsid w:val="00EE4DB6"/>
    <w:rsid w:val="00EE68C7"/>
    <w:rsid w:val="00F0363A"/>
    <w:rsid w:val="00F06A6F"/>
    <w:rsid w:val="00F3108C"/>
    <w:rsid w:val="00F50FEB"/>
    <w:rsid w:val="00F76831"/>
    <w:rsid w:val="00F76DDF"/>
    <w:rsid w:val="00F804EA"/>
    <w:rsid w:val="00FB1A79"/>
    <w:rsid w:val="00FB5096"/>
    <w:rsid w:val="00FD3A38"/>
    <w:rsid w:val="00FE294B"/>
    <w:rsid w:val="00FF11A4"/>
    <w:rsid w:val="00FF1211"/>
  </w:rsids>
  <m:mathPr>
    <m:mathFont m:val="Cambria Math"/>
    <m:brkBin m:val="before"/>
    <m:brkBinSub m:val="--"/>
    <m:smallFrac m:val="0"/>
    <m:dispDef/>
    <m:lMargin m:val="0"/>
    <m:rMargin m:val="0"/>
    <m:defJc m:val="centerGroup"/>
    <m:wrapIndent m:val="1440"/>
    <m:intLim m:val="subSup"/>
    <m:naryLim m:val="undOvr"/>
  </m:mathPr>
  <w:themeFontLang w:val="en-NZ"/>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State"/>
  <w:smartTagType w:namespaceuri="urn:schemas-microsoft-com:office:smarttags" w:name="City"/>
  <w:shapeDefaults>
    <o:shapedefaults v:ext="edit" spidmax="1038"/>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NZ" w:eastAsia="en-NZ"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HTML Preformatted"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8C7BF5"/>
    <w:pPr>
      <w:widowControl w:val="0"/>
      <w:suppressAutoHyphens/>
      <w:overflowPunct w:val="0"/>
      <w:autoSpaceDE w:val="0"/>
      <w:autoSpaceDN w:val="0"/>
      <w:adjustRightInd w:val="0"/>
      <w:spacing w:before="120" w:line="240" w:lineRule="atLeast"/>
      <w:jc w:val="both"/>
      <w:textAlignment w:val="baseline"/>
    </w:pPr>
    <w:rPr>
      <w:sz w:val="22"/>
      <w:lang w:eastAsia="en-US"/>
    </w:rPr>
  </w:style>
  <w:style w:type="paragraph" w:styleId="Heading1">
    <w:name w:val="heading 1"/>
    <w:basedOn w:val="Normal"/>
    <w:next w:val="Normal"/>
    <w:qFormat/>
    <w:rsid w:val="00486BA2"/>
    <w:pPr>
      <w:keepNext/>
      <w:keepLines/>
      <w:numPr>
        <w:numId w:val="1"/>
      </w:numPr>
      <w:spacing w:before="360" w:after="120"/>
      <w:jc w:val="left"/>
      <w:outlineLvl w:val="0"/>
    </w:pPr>
    <w:rPr>
      <w:b/>
      <w:caps/>
    </w:rPr>
  </w:style>
  <w:style w:type="paragraph" w:styleId="Heading2">
    <w:name w:val="heading 2"/>
    <w:basedOn w:val="Normal"/>
    <w:next w:val="Normal"/>
    <w:qFormat/>
    <w:rsid w:val="00486BA2"/>
    <w:pPr>
      <w:keepNext/>
      <w:keepLines/>
      <w:numPr>
        <w:ilvl w:val="1"/>
        <w:numId w:val="1"/>
      </w:numPr>
      <w:spacing w:before="240" w:after="120"/>
      <w:jc w:val="left"/>
      <w:outlineLvl w:val="1"/>
    </w:pPr>
    <w:rPr>
      <w:i/>
    </w:rPr>
  </w:style>
  <w:style w:type="paragraph" w:styleId="Heading3">
    <w:name w:val="heading 3"/>
    <w:basedOn w:val="Normal"/>
    <w:next w:val="Normal"/>
    <w:qFormat/>
    <w:rsid w:val="00486BA2"/>
    <w:pPr>
      <w:keepNext/>
      <w:keepLines/>
      <w:numPr>
        <w:ilvl w:val="2"/>
        <w:numId w:val="1"/>
      </w:numPr>
      <w:spacing w:before="240"/>
      <w:jc w:val="left"/>
      <w:outlineLvl w:val="2"/>
    </w:pPr>
    <w:rPr>
      <w:i/>
    </w:rPr>
  </w:style>
  <w:style w:type="paragraph" w:styleId="Heading4">
    <w:name w:val="heading 4"/>
    <w:basedOn w:val="Normal"/>
    <w:next w:val="Normal"/>
    <w:qFormat/>
    <w:rsid w:val="00486BA2"/>
    <w:pPr>
      <w:keepNext/>
      <w:numPr>
        <w:ilvl w:val="3"/>
        <w:numId w:val="1"/>
      </w:numPr>
      <w:spacing w:before="240"/>
      <w:outlineLvl w:val="3"/>
    </w:pPr>
  </w:style>
  <w:style w:type="paragraph" w:styleId="Heading5">
    <w:name w:val="heading 5"/>
    <w:basedOn w:val="Normal"/>
    <w:next w:val="Normal"/>
    <w:qFormat/>
    <w:rsid w:val="00486BA2"/>
    <w:pPr>
      <w:numPr>
        <w:ilvl w:val="4"/>
        <w:numId w:val="1"/>
      </w:numPr>
      <w:spacing w:before="240" w:after="60"/>
      <w:outlineLvl w:val="4"/>
    </w:pPr>
    <w:rPr>
      <w:rFonts w:ascii="Arial" w:hAnsi="Arial"/>
    </w:rPr>
  </w:style>
  <w:style w:type="paragraph" w:styleId="Heading6">
    <w:name w:val="heading 6"/>
    <w:basedOn w:val="Normal"/>
    <w:next w:val="Normal"/>
    <w:qFormat/>
    <w:rsid w:val="00486BA2"/>
    <w:pPr>
      <w:numPr>
        <w:ilvl w:val="5"/>
        <w:numId w:val="1"/>
      </w:numPr>
      <w:spacing w:before="240" w:after="60"/>
      <w:outlineLvl w:val="5"/>
    </w:pPr>
    <w:rPr>
      <w:rFonts w:ascii="Arial" w:hAnsi="Arial"/>
      <w:i/>
    </w:rPr>
  </w:style>
  <w:style w:type="paragraph" w:styleId="Heading7">
    <w:name w:val="heading 7"/>
    <w:basedOn w:val="Normal"/>
    <w:next w:val="Normal"/>
    <w:qFormat/>
    <w:rsid w:val="00486BA2"/>
    <w:pPr>
      <w:numPr>
        <w:ilvl w:val="6"/>
        <w:numId w:val="1"/>
      </w:numPr>
      <w:spacing w:before="240" w:after="60"/>
      <w:outlineLvl w:val="6"/>
    </w:pPr>
    <w:rPr>
      <w:rFonts w:ascii="Arial" w:hAnsi="Arial"/>
      <w:sz w:val="20"/>
    </w:rPr>
  </w:style>
  <w:style w:type="paragraph" w:styleId="Heading8">
    <w:name w:val="heading 8"/>
    <w:basedOn w:val="Normal"/>
    <w:next w:val="Normal"/>
    <w:qFormat/>
    <w:rsid w:val="00486BA2"/>
    <w:pPr>
      <w:numPr>
        <w:ilvl w:val="7"/>
        <w:numId w:val="1"/>
      </w:numPr>
      <w:spacing w:before="240" w:after="60"/>
      <w:outlineLvl w:val="7"/>
    </w:pPr>
    <w:rPr>
      <w:rFonts w:ascii="Arial" w:hAnsi="Arial"/>
      <w:i/>
      <w:sz w:val="20"/>
    </w:rPr>
  </w:style>
  <w:style w:type="paragraph" w:styleId="Heading9">
    <w:name w:val="heading 9"/>
    <w:basedOn w:val="Normal"/>
    <w:next w:val="Normal"/>
    <w:qFormat/>
    <w:rsid w:val="00486BA2"/>
    <w:pPr>
      <w:numPr>
        <w:ilvl w:val="8"/>
        <w:numId w:val="1"/>
      </w:numPr>
      <w:spacing w:before="240" w:after="60"/>
      <w:outlineLvl w:val="8"/>
    </w:pPr>
    <w:rPr>
      <w:rFonts w:ascii="Arial" w:hAnsi="Arial"/>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pertitle">
    <w:name w:val="Paper title"/>
    <w:basedOn w:val="Normal"/>
    <w:next w:val="Normal"/>
    <w:rsid w:val="00FF11A4"/>
    <w:pPr>
      <w:spacing w:before="40" w:after="240" w:line="240" w:lineRule="auto"/>
      <w:jc w:val="left"/>
    </w:pPr>
    <w:rPr>
      <w:sz w:val="32"/>
    </w:rPr>
  </w:style>
  <w:style w:type="paragraph" w:customStyle="1" w:styleId="Tableheading">
    <w:name w:val="Table heading"/>
    <w:basedOn w:val="Tabletext"/>
    <w:rsid w:val="00486BA2"/>
    <w:pPr>
      <w:spacing w:before="40" w:after="40"/>
      <w:jc w:val="center"/>
    </w:pPr>
    <w:rPr>
      <w:b/>
      <w:bCs/>
    </w:rPr>
  </w:style>
  <w:style w:type="paragraph" w:customStyle="1" w:styleId="Tabletext">
    <w:name w:val="Table text"/>
    <w:basedOn w:val="Normal"/>
    <w:rsid w:val="00486BA2"/>
    <w:pPr>
      <w:jc w:val="left"/>
    </w:pPr>
  </w:style>
  <w:style w:type="paragraph" w:customStyle="1" w:styleId="Headingwithoutnumber">
    <w:name w:val="Heading without number"/>
    <w:basedOn w:val="Normal"/>
    <w:next w:val="Referencetext"/>
    <w:rsid w:val="00486BA2"/>
    <w:pPr>
      <w:keepNext/>
      <w:spacing w:before="360" w:after="120"/>
      <w:jc w:val="left"/>
    </w:pPr>
    <w:rPr>
      <w:caps/>
    </w:rPr>
  </w:style>
  <w:style w:type="paragraph" w:customStyle="1" w:styleId="Referencetext">
    <w:name w:val="Reference text"/>
    <w:basedOn w:val="Normal"/>
    <w:rsid w:val="00486BA2"/>
    <w:pPr>
      <w:spacing w:line="220" w:lineRule="exact"/>
      <w:ind w:left="230" w:hanging="230"/>
    </w:pPr>
    <w:rPr>
      <w:sz w:val="20"/>
    </w:rPr>
  </w:style>
  <w:style w:type="paragraph" w:customStyle="1" w:styleId="Author">
    <w:name w:val="Author"/>
    <w:basedOn w:val="Normal"/>
    <w:next w:val="Affiliation"/>
    <w:rsid w:val="00486BA2"/>
    <w:pPr>
      <w:tabs>
        <w:tab w:val="left" w:pos="4706"/>
      </w:tabs>
      <w:spacing w:line="280" w:lineRule="exact"/>
      <w:ind w:left="567" w:right="567"/>
    </w:pPr>
    <w:rPr>
      <w:sz w:val="24"/>
    </w:rPr>
  </w:style>
  <w:style w:type="paragraph" w:customStyle="1" w:styleId="Affiliation">
    <w:name w:val="Affiliation"/>
    <w:basedOn w:val="Author"/>
    <w:next w:val="Author"/>
    <w:rsid w:val="00486BA2"/>
    <w:pPr>
      <w:spacing w:after="120" w:line="220" w:lineRule="exact"/>
    </w:pPr>
    <w:rPr>
      <w:i/>
      <w:sz w:val="20"/>
    </w:rPr>
  </w:style>
  <w:style w:type="paragraph" w:customStyle="1" w:styleId="Figurecaption">
    <w:name w:val="Figure caption"/>
    <w:basedOn w:val="Normal"/>
    <w:next w:val="Normal"/>
    <w:rsid w:val="00486BA2"/>
    <w:pPr>
      <w:spacing w:after="120" w:line="220" w:lineRule="exact"/>
      <w:jc w:val="left"/>
    </w:pPr>
    <w:rPr>
      <w:sz w:val="20"/>
    </w:rPr>
  </w:style>
  <w:style w:type="paragraph" w:customStyle="1" w:styleId="Equation">
    <w:name w:val="Equation"/>
    <w:basedOn w:val="Normal"/>
    <w:next w:val="Normal"/>
    <w:rsid w:val="00486BA2"/>
    <w:pPr>
      <w:tabs>
        <w:tab w:val="right" w:pos="8505"/>
      </w:tabs>
      <w:spacing w:before="100" w:after="100" w:line="240" w:lineRule="auto"/>
      <w:ind w:left="680"/>
      <w:jc w:val="left"/>
    </w:pPr>
  </w:style>
  <w:style w:type="paragraph" w:customStyle="1" w:styleId="Tablecaption">
    <w:name w:val="Table caption"/>
    <w:basedOn w:val="Normal"/>
    <w:next w:val="Normal"/>
    <w:rsid w:val="00486BA2"/>
    <w:pPr>
      <w:keepNext/>
      <w:spacing w:before="240" w:after="120" w:line="220" w:lineRule="exact"/>
      <w:jc w:val="center"/>
    </w:pPr>
    <w:rPr>
      <w:b/>
      <w:bCs/>
      <w:sz w:val="20"/>
    </w:rPr>
  </w:style>
  <w:style w:type="paragraph" w:customStyle="1" w:styleId="Figurephoto">
    <w:name w:val="Figure/photo"/>
    <w:basedOn w:val="Normal"/>
    <w:next w:val="Figurecaption"/>
    <w:rsid w:val="00486BA2"/>
    <w:pPr>
      <w:widowControl/>
      <w:spacing w:before="0" w:line="240" w:lineRule="auto"/>
      <w:jc w:val="center"/>
    </w:pPr>
  </w:style>
  <w:style w:type="paragraph" w:styleId="Footer">
    <w:name w:val="footer"/>
    <w:basedOn w:val="Normal"/>
    <w:rsid w:val="00486BA2"/>
    <w:pPr>
      <w:tabs>
        <w:tab w:val="center" w:pos="4153"/>
        <w:tab w:val="right" w:pos="8306"/>
      </w:tabs>
    </w:pPr>
  </w:style>
  <w:style w:type="paragraph" w:styleId="Header">
    <w:name w:val="header"/>
    <w:basedOn w:val="Normal"/>
    <w:rsid w:val="00486BA2"/>
    <w:pPr>
      <w:tabs>
        <w:tab w:val="center" w:pos="4320"/>
        <w:tab w:val="right" w:pos="8640"/>
      </w:tabs>
    </w:pPr>
  </w:style>
  <w:style w:type="paragraph" w:customStyle="1" w:styleId="Year">
    <w:name w:val="Year"/>
    <w:basedOn w:val="Normal"/>
    <w:rsid w:val="00755032"/>
    <w:pPr>
      <w:jc w:val="center"/>
    </w:pPr>
    <w:rPr>
      <w:rFonts w:ascii="Arial Narrow" w:hAnsi="Arial Narrow"/>
      <w:b/>
      <w:sz w:val="20"/>
    </w:rPr>
  </w:style>
  <w:style w:type="paragraph" w:customStyle="1" w:styleId="Abstract">
    <w:name w:val="Abstract"/>
    <w:basedOn w:val="Normal"/>
    <w:rsid w:val="00486BA2"/>
    <w:pPr>
      <w:spacing w:before="240"/>
      <w:ind w:left="567" w:right="566"/>
    </w:pPr>
  </w:style>
  <w:style w:type="character" w:styleId="Hyperlink">
    <w:name w:val="Hyperlink"/>
    <w:rsid w:val="00DA5555"/>
    <w:rPr>
      <w:color w:val="0000FF"/>
      <w:u w:val="single"/>
    </w:rPr>
  </w:style>
  <w:style w:type="paragraph" w:styleId="HTMLPreformatted">
    <w:name w:val="HTML Preformatted"/>
    <w:basedOn w:val="Normal"/>
    <w:link w:val="HTMLPreformattedChar"/>
    <w:uiPriority w:val="99"/>
    <w:unhideWhenUsed/>
    <w:rsid w:val="003565DC"/>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spacing w:before="0" w:line="240" w:lineRule="auto"/>
      <w:jc w:val="left"/>
      <w:textAlignment w:val="auto"/>
    </w:pPr>
    <w:rPr>
      <w:rFonts w:ascii="Courier New" w:hAnsi="Courier New"/>
      <w:sz w:val="20"/>
    </w:rPr>
  </w:style>
  <w:style w:type="character" w:customStyle="1" w:styleId="HTMLPreformattedChar">
    <w:name w:val="HTML Preformatted Char"/>
    <w:link w:val="HTMLPreformatted"/>
    <w:uiPriority w:val="99"/>
    <w:rsid w:val="003565DC"/>
    <w:rPr>
      <w:rFonts w:ascii="Courier New" w:hAnsi="Courier New" w:cs="Courier New"/>
    </w:rPr>
  </w:style>
  <w:style w:type="table" w:styleId="TableGrid">
    <w:name w:val="Table Grid"/>
    <w:basedOn w:val="TableNormal"/>
    <w:uiPriority w:val="59"/>
    <w:rsid w:val="009F1CC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Bullet">
    <w:name w:val="List Bullet"/>
    <w:basedOn w:val="Normal"/>
    <w:rsid w:val="009F1CC0"/>
    <w:pPr>
      <w:widowControl/>
      <w:tabs>
        <w:tab w:val="num" w:pos="360"/>
      </w:tabs>
      <w:suppressAutoHyphens w:val="0"/>
      <w:overflowPunct/>
      <w:autoSpaceDE/>
      <w:autoSpaceDN/>
      <w:adjustRightInd/>
      <w:spacing w:before="0" w:line="240" w:lineRule="auto"/>
      <w:ind w:left="357" w:right="45" w:hanging="357"/>
      <w:contextualSpacing/>
      <w:textAlignment w:val="auto"/>
    </w:pPr>
    <w:rPr>
      <w:sz w:val="20"/>
    </w:rPr>
  </w:style>
  <w:style w:type="paragraph" w:styleId="NoSpacing">
    <w:name w:val="No Spacing"/>
    <w:uiPriority w:val="1"/>
    <w:qFormat/>
    <w:rsid w:val="009F1CC0"/>
    <w:pPr>
      <w:jc w:val="both"/>
    </w:pPr>
    <w:rPr>
      <w:lang w:eastAsia="en-US"/>
    </w:rPr>
  </w:style>
  <w:style w:type="paragraph" w:styleId="DocumentMap">
    <w:name w:val="Document Map"/>
    <w:basedOn w:val="Normal"/>
    <w:link w:val="DocumentMapChar"/>
    <w:rsid w:val="009F1CC0"/>
    <w:rPr>
      <w:rFonts w:ascii="Tahoma" w:hAnsi="Tahoma"/>
      <w:sz w:val="16"/>
      <w:szCs w:val="16"/>
    </w:rPr>
  </w:style>
  <w:style w:type="character" w:customStyle="1" w:styleId="DocumentMapChar">
    <w:name w:val="Document Map Char"/>
    <w:link w:val="DocumentMap"/>
    <w:rsid w:val="009F1CC0"/>
    <w:rPr>
      <w:rFonts w:ascii="Tahoma" w:hAnsi="Tahoma"/>
      <w:sz w:val="16"/>
      <w:szCs w:val="16"/>
      <w:lang w:eastAsia="en-US"/>
    </w:rPr>
  </w:style>
  <w:style w:type="paragraph" w:styleId="BalloonText">
    <w:name w:val="Balloon Text"/>
    <w:basedOn w:val="Normal"/>
    <w:link w:val="BalloonTextChar"/>
    <w:rsid w:val="008D577E"/>
    <w:pPr>
      <w:spacing w:before="0" w:line="240" w:lineRule="auto"/>
    </w:pPr>
    <w:rPr>
      <w:rFonts w:ascii="Tahoma" w:hAnsi="Tahoma" w:cs="Tahoma"/>
      <w:sz w:val="16"/>
      <w:szCs w:val="16"/>
    </w:rPr>
  </w:style>
  <w:style w:type="character" w:customStyle="1" w:styleId="BalloonTextChar">
    <w:name w:val="Balloon Text Char"/>
    <w:basedOn w:val="DefaultParagraphFont"/>
    <w:link w:val="BalloonText"/>
    <w:rsid w:val="008D577E"/>
    <w:rPr>
      <w:rFonts w:ascii="Tahoma" w:hAnsi="Tahoma" w:cs="Tahoma"/>
      <w:sz w:val="16"/>
      <w:szCs w:val="16"/>
      <w:lang w:eastAsia="en-US"/>
    </w:rPr>
  </w:style>
  <w:style w:type="character" w:styleId="PlaceholderText">
    <w:name w:val="Placeholder Text"/>
    <w:basedOn w:val="DefaultParagraphFont"/>
    <w:uiPriority w:val="99"/>
    <w:semiHidden/>
    <w:rsid w:val="008D577E"/>
    <w:rPr>
      <w:color w:val="808080"/>
    </w:rPr>
  </w:style>
  <w:style w:type="paragraph" w:styleId="Caption">
    <w:name w:val="caption"/>
    <w:basedOn w:val="Normal"/>
    <w:next w:val="Normal"/>
    <w:unhideWhenUsed/>
    <w:qFormat/>
    <w:rsid w:val="009001A8"/>
    <w:pPr>
      <w:spacing w:before="0" w:after="200" w:line="240" w:lineRule="auto"/>
    </w:pPr>
    <w:rPr>
      <w:b/>
      <w:bCs/>
      <w:color w:val="4F81BD" w:themeColor="accent1"/>
      <w:sz w:val="18"/>
      <w:szCs w:val="18"/>
    </w:rPr>
  </w:style>
  <w:style w:type="character" w:styleId="CommentReference">
    <w:name w:val="annotation reference"/>
    <w:basedOn w:val="DefaultParagraphFont"/>
    <w:rsid w:val="00BB5002"/>
    <w:rPr>
      <w:sz w:val="16"/>
      <w:szCs w:val="16"/>
    </w:rPr>
  </w:style>
  <w:style w:type="paragraph" w:styleId="CommentText">
    <w:name w:val="annotation text"/>
    <w:basedOn w:val="Normal"/>
    <w:link w:val="CommentTextChar"/>
    <w:rsid w:val="00BB5002"/>
    <w:pPr>
      <w:spacing w:line="240" w:lineRule="auto"/>
    </w:pPr>
    <w:rPr>
      <w:sz w:val="20"/>
    </w:rPr>
  </w:style>
  <w:style w:type="character" w:customStyle="1" w:styleId="CommentTextChar">
    <w:name w:val="Comment Text Char"/>
    <w:basedOn w:val="DefaultParagraphFont"/>
    <w:link w:val="CommentText"/>
    <w:rsid w:val="00BB5002"/>
    <w:rPr>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NZ" w:eastAsia="en-NZ"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HTML Preformatted"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8C7BF5"/>
    <w:pPr>
      <w:widowControl w:val="0"/>
      <w:suppressAutoHyphens/>
      <w:overflowPunct w:val="0"/>
      <w:autoSpaceDE w:val="0"/>
      <w:autoSpaceDN w:val="0"/>
      <w:adjustRightInd w:val="0"/>
      <w:spacing w:before="120" w:line="240" w:lineRule="atLeast"/>
      <w:jc w:val="both"/>
      <w:textAlignment w:val="baseline"/>
    </w:pPr>
    <w:rPr>
      <w:sz w:val="22"/>
      <w:lang w:eastAsia="en-US"/>
    </w:rPr>
  </w:style>
  <w:style w:type="paragraph" w:styleId="Heading1">
    <w:name w:val="heading 1"/>
    <w:basedOn w:val="Normal"/>
    <w:next w:val="Normal"/>
    <w:qFormat/>
    <w:pPr>
      <w:keepNext/>
      <w:keepLines/>
      <w:numPr>
        <w:numId w:val="1"/>
      </w:numPr>
      <w:spacing w:before="360" w:after="120"/>
      <w:jc w:val="left"/>
      <w:outlineLvl w:val="0"/>
    </w:pPr>
    <w:rPr>
      <w:b/>
      <w:caps/>
    </w:rPr>
  </w:style>
  <w:style w:type="paragraph" w:styleId="Heading2">
    <w:name w:val="heading 2"/>
    <w:basedOn w:val="Normal"/>
    <w:next w:val="Normal"/>
    <w:qFormat/>
    <w:pPr>
      <w:keepNext/>
      <w:keepLines/>
      <w:numPr>
        <w:ilvl w:val="1"/>
        <w:numId w:val="1"/>
      </w:numPr>
      <w:spacing w:before="240" w:after="120"/>
      <w:jc w:val="left"/>
      <w:outlineLvl w:val="1"/>
    </w:pPr>
    <w:rPr>
      <w:i/>
    </w:rPr>
  </w:style>
  <w:style w:type="paragraph" w:styleId="Heading3">
    <w:name w:val="heading 3"/>
    <w:basedOn w:val="Normal"/>
    <w:next w:val="Normal"/>
    <w:qFormat/>
    <w:pPr>
      <w:keepNext/>
      <w:keepLines/>
      <w:numPr>
        <w:ilvl w:val="2"/>
        <w:numId w:val="1"/>
      </w:numPr>
      <w:spacing w:before="240"/>
      <w:jc w:val="left"/>
      <w:outlineLvl w:val="2"/>
    </w:pPr>
    <w:rPr>
      <w:i/>
    </w:rPr>
  </w:style>
  <w:style w:type="paragraph" w:styleId="Heading4">
    <w:name w:val="heading 4"/>
    <w:basedOn w:val="Normal"/>
    <w:next w:val="Normal"/>
    <w:qFormat/>
    <w:pPr>
      <w:keepNext/>
      <w:numPr>
        <w:ilvl w:val="3"/>
        <w:numId w:val="1"/>
      </w:numPr>
      <w:spacing w:before="240"/>
      <w:outlineLvl w:val="3"/>
    </w:pPr>
  </w:style>
  <w:style w:type="paragraph" w:styleId="Heading5">
    <w:name w:val="heading 5"/>
    <w:basedOn w:val="Normal"/>
    <w:next w:val="Normal"/>
    <w:qFormat/>
    <w:pPr>
      <w:numPr>
        <w:ilvl w:val="4"/>
        <w:numId w:val="1"/>
      </w:numPr>
      <w:spacing w:before="240" w:after="60"/>
      <w:outlineLvl w:val="4"/>
    </w:pPr>
    <w:rPr>
      <w:rFonts w:ascii="Arial" w:hAnsi="Arial"/>
    </w:rPr>
  </w:style>
  <w:style w:type="paragraph" w:styleId="Heading6">
    <w:name w:val="heading 6"/>
    <w:basedOn w:val="Normal"/>
    <w:next w:val="Normal"/>
    <w:qFormat/>
    <w:pPr>
      <w:numPr>
        <w:ilvl w:val="5"/>
        <w:numId w:val="1"/>
      </w:numPr>
      <w:spacing w:before="240" w:after="60"/>
      <w:outlineLvl w:val="5"/>
    </w:pPr>
    <w:rPr>
      <w:rFonts w:ascii="Arial" w:hAnsi="Arial"/>
      <w:i/>
    </w:rPr>
  </w:style>
  <w:style w:type="paragraph" w:styleId="Heading7">
    <w:name w:val="heading 7"/>
    <w:basedOn w:val="Normal"/>
    <w:next w:val="Normal"/>
    <w:qFormat/>
    <w:pPr>
      <w:numPr>
        <w:ilvl w:val="6"/>
        <w:numId w:val="1"/>
      </w:numPr>
      <w:spacing w:before="240" w:after="60"/>
      <w:outlineLvl w:val="6"/>
    </w:pPr>
    <w:rPr>
      <w:rFonts w:ascii="Arial" w:hAnsi="Arial"/>
      <w:sz w:val="20"/>
    </w:rPr>
  </w:style>
  <w:style w:type="paragraph" w:styleId="Heading8">
    <w:name w:val="heading 8"/>
    <w:basedOn w:val="Normal"/>
    <w:next w:val="Normal"/>
    <w:qFormat/>
    <w:pPr>
      <w:numPr>
        <w:ilvl w:val="7"/>
        <w:numId w:val="1"/>
      </w:numPr>
      <w:spacing w:before="240" w:after="60"/>
      <w:outlineLvl w:val="7"/>
    </w:pPr>
    <w:rPr>
      <w:rFonts w:ascii="Arial" w:hAnsi="Arial"/>
      <w:i/>
      <w:sz w:val="20"/>
    </w:rPr>
  </w:style>
  <w:style w:type="paragraph" w:styleId="Heading9">
    <w:name w:val="heading 9"/>
    <w:basedOn w:val="Normal"/>
    <w:next w:val="Normal"/>
    <w:qFormat/>
    <w:pPr>
      <w:numPr>
        <w:ilvl w:val="8"/>
        <w:numId w:val="1"/>
      </w:numPr>
      <w:spacing w:before="240" w:after="60"/>
      <w:outlineLvl w:val="8"/>
    </w:pPr>
    <w:rPr>
      <w:rFonts w:ascii="Arial" w:hAnsi="Arial"/>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pertitle">
    <w:name w:val="Paper title"/>
    <w:basedOn w:val="Normal"/>
    <w:next w:val="Normal"/>
    <w:rsid w:val="00FF11A4"/>
    <w:pPr>
      <w:spacing w:before="40" w:after="240" w:line="240" w:lineRule="auto"/>
      <w:jc w:val="left"/>
    </w:pPr>
    <w:rPr>
      <w:sz w:val="32"/>
    </w:rPr>
  </w:style>
  <w:style w:type="paragraph" w:customStyle="1" w:styleId="Tableheading">
    <w:name w:val="Table heading"/>
    <w:basedOn w:val="Tabletext"/>
    <w:pPr>
      <w:spacing w:before="40" w:after="40"/>
      <w:jc w:val="center"/>
    </w:pPr>
    <w:rPr>
      <w:b/>
      <w:bCs/>
    </w:rPr>
  </w:style>
  <w:style w:type="paragraph" w:customStyle="1" w:styleId="Tabletext">
    <w:name w:val="Table text"/>
    <w:basedOn w:val="Normal"/>
    <w:pPr>
      <w:jc w:val="left"/>
    </w:pPr>
  </w:style>
  <w:style w:type="paragraph" w:customStyle="1" w:styleId="Headingwithoutnumber">
    <w:name w:val="Heading without number"/>
    <w:basedOn w:val="Normal"/>
    <w:next w:val="Referencetext"/>
    <w:pPr>
      <w:keepNext/>
      <w:spacing w:before="360" w:after="120"/>
      <w:jc w:val="left"/>
    </w:pPr>
    <w:rPr>
      <w:caps/>
    </w:rPr>
  </w:style>
  <w:style w:type="paragraph" w:customStyle="1" w:styleId="Referencetext">
    <w:name w:val="Reference text"/>
    <w:basedOn w:val="Normal"/>
    <w:pPr>
      <w:spacing w:line="220" w:lineRule="exact"/>
      <w:ind w:left="230" w:hanging="230"/>
    </w:pPr>
    <w:rPr>
      <w:sz w:val="20"/>
    </w:rPr>
  </w:style>
  <w:style w:type="paragraph" w:customStyle="1" w:styleId="Author">
    <w:name w:val="Author"/>
    <w:basedOn w:val="Normal"/>
    <w:next w:val="Affiliation"/>
    <w:pPr>
      <w:tabs>
        <w:tab w:val="left" w:pos="4706"/>
      </w:tabs>
      <w:spacing w:line="280" w:lineRule="exact"/>
      <w:ind w:left="567" w:right="567"/>
    </w:pPr>
    <w:rPr>
      <w:sz w:val="24"/>
    </w:rPr>
  </w:style>
  <w:style w:type="paragraph" w:customStyle="1" w:styleId="Affiliation">
    <w:name w:val="Affiliation"/>
    <w:basedOn w:val="Author"/>
    <w:next w:val="Author"/>
    <w:pPr>
      <w:spacing w:after="120" w:line="220" w:lineRule="exact"/>
    </w:pPr>
    <w:rPr>
      <w:i/>
      <w:sz w:val="20"/>
    </w:rPr>
  </w:style>
  <w:style w:type="paragraph" w:customStyle="1" w:styleId="Figurecaption">
    <w:name w:val="Figure caption"/>
    <w:basedOn w:val="Normal"/>
    <w:next w:val="Normal"/>
    <w:pPr>
      <w:spacing w:after="120" w:line="220" w:lineRule="exact"/>
      <w:jc w:val="left"/>
    </w:pPr>
    <w:rPr>
      <w:sz w:val="20"/>
    </w:rPr>
  </w:style>
  <w:style w:type="paragraph" w:customStyle="1" w:styleId="Equation">
    <w:name w:val="Equation"/>
    <w:basedOn w:val="Normal"/>
    <w:next w:val="Normal"/>
    <w:pPr>
      <w:tabs>
        <w:tab w:val="right" w:pos="8505"/>
      </w:tabs>
      <w:spacing w:before="100" w:after="100" w:line="240" w:lineRule="auto"/>
      <w:ind w:left="680"/>
      <w:jc w:val="left"/>
    </w:pPr>
  </w:style>
  <w:style w:type="paragraph" w:customStyle="1" w:styleId="Tablecaption">
    <w:name w:val="Table caption"/>
    <w:basedOn w:val="Normal"/>
    <w:next w:val="Normal"/>
    <w:pPr>
      <w:keepNext/>
      <w:spacing w:before="240" w:after="120" w:line="220" w:lineRule="exact"/>
      <w:jc w:val="center"/>
    </w:pPr>
    <w:rPr>
      <w:b/>
      <w:bCs/>
      <w:sz w:val="20"/>
    </w:rPr>
  </w:style>
  <w:style w:type="paragraph" w:customStyle="1" w:styleId="Figurephoto">
    <w:name w:val="Figure/photo"/>
    <w:basedOn w:val="Normal"/>
    <w:next w:val="Figurecaption"/>
    <w:pPr>
      <w:widowControl/>
      <w:spacing w:before="0" w:line="240" w:lineRule="auto"/>
      <w:jc w:val="center"/>
    </w:pPr>
  </w:style>
  <w:style w:type="paragraph" w:styleId="Footer">
    <w:name w:val="footer"/>
    <w:basedOn w:val="Normal"/>
    <w:pPr>
      <w:tabs>
        <w:tab w:val="center" w:pos="4153"/>
        <w:tab w:val="right" w:pos="8306"/>
      </w:tabs>
    </w:pPr>
  </w:style>
  <w:style w:type="paragraph" w:styleId="Header">
    <w:name w:val="header"/>
    <w:basedOn w:val="Normal"/>
    <w:pPr>
      <w:tabs>
        <w:tab w:val="center" w:pos="4320"/>
        <w:tab w:val="right" w:pos="8640"/>
      </w:tabs>
    </w:pPr>
  </w:style>
  <w:style w:type="paragraph" w:customStyle="1" w:styleId="Year">
    <w:name w:val="Year"/>
    <w:basedOn w:val="Normal"/>
    <w:rsid w:val="00755032"/>
    <w:pPr>
      <w:jc w:val="center"/>
    </w:pPr>
    <w:rPr>
      <w:rFonts w:ascii="Arial Narrow" w:hAnsi="Arial Narrow"/>
      <w:b/>
      <w:sz w:val="20"/>
    </w:rPr>
  </w:style>
  <w:style w:type="paragraph" w:customStyle="1" w:styleId="Abstract">
    <w:name w:val="Abstract"/>
    <w:basedOn w:val="Normal"/>
    <w:pPr>
      <w:spacing w:before="240"/>
      <w:ind w:left="567" w:right="566"/>
    </w:pPr>
  </w:style>
  <w:style w:type="character" w:styleId="Hyperlink">
    <w:name w:val="Hyperlink"/>
    <w:rsid w:val="00DA5555"/>
    <w:rPr>
      <w:color w:val="0000FF"/>
      <w:u w:val="single"/>
    </w:rPr>
  </w:style>
  <w:style w:type="paragraph" w:styleId="HTMLPreformatted">
    <w:name w:val="HTML Preformatted"/>
    <w:basedOn w:val="Normal"/>
    <w:link w:val="HTMLPreformattedChar"/>
    <w:uiPriority w:val="99"/>
    <w:unhideWhenUsed/>
    <w:rsid w:val="003565DC"/>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overflowPunct/>
      <w:autoSpaceDE/>
      <w:autoSpaceDN/>
      <w:adjustRightInd/>
      <w:spacing w:before="0" w:line="240" w:lineRule="auto"/>
      <w:jc w:val="left"/>
      <w:textAlignment w:val="auto"/>
    </w:pPr>
    <w:rPr>
      <w:rFonts w:ascii="Courier New" w:hAnsi="Courier New"/>
      <w:sz w:val="20"/>
    </w:rPr>
  </w:style>
  <w:style w:type="character" w:customStyle="1" w:styleId="HTMLPreformattedChar">
    <w:name w:val="HTML Preformatted Char"/>
    <w:link w:val="HTMLPreformatted"/>
    <w:uiPriority w:val="99"/>
    <w:rsid w:val="003565DC"/>
    <w:rPr>
      <w:rFonts w:ascii="Courier New" w:hAnsi="Courier New" w:cs="Courier New"/>
    </w:rPr>
  </w:style>
  <w:style w:type="table" w:styleId="TableGrid">
    <w:name w:val="Table Grid"/>
    <w:basedOn w:val="TableNormal"/>
    <w:uiPriority w:val="59"/>
    <w:rsid w:val="009F1CC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Bullet">
    <w:name w:val="List Bullet"/>
    <w:basedOn w:val="Normal"/>
    <w:rsid w:val="009F1CC0"/>
    <w:pPr>
      <w:widowControl/>
      <w:tabs>
        <w:tab w:val="num" w:pos="360"/>
      </w:tabs>
      <w:suppressAutoHyphens w:val="0"/>
      <w:overflowPunct/>
      <w:autoSpaceDE/>
      <w:autoSpaceDN/>
      <w:adjustRightInd/>
      <w:spacing w:before="0" w:line="240" w:lineRule="auto"/>
      <w:ind w:left="357" w:right="45" w:hanging="357"/>
      <w:contextualSpacing/>
      <w:textAlignment w:val="auto"/>
    </w:pPr>
    <w:rPr>
      <w:sz w:val="20"/>
    </w:rPr>
  </w:style>
  <w:style w:type="paragraph" w:styleId="NoSpacing">
    <w:name w:val="No Spacing"/>
    <w:uiPriority w:val="1"/>
    <w:qFormat/>
    <w:rsid w:val="009F1CC0"/>
    <w:pPr>
      <w:jc w:val="both"/>
    </w:pPr>
    <w:rPr>
      <w:lang w:eastAsia="en-US"/>
    </w:rPr>
  </w:style>
  <w:style w:type="paragraph" w:styleId="DocumentMap">
    <w:name w:val="Document Map"/>
    <w:basedOn w:val="Normal"/>
    <w:link w:val="DocumentMapChar"/>
    <w:rsid w:val="009F1CC0"/>
    <w:rPr>
      <w:rFonts w:ascii="Tahoma" w:hAnsi="Tahoma"/>
      <w:sz w:val="16"/>
      <w:szCs w:val="16"/>
    </w:rPr>
  </w:style>
  <w:style w:type="character" w:customStyle="1" w:styleId="DocumentMapChar">
    <w:name w:val="Document Map Char"/>
    <w:link w:val="DocumentMap"/>
    <w:rsid w:val="009F1CC0"/>
    <w:rPr>
      <w:rFonts w:ascii="Tahoma" w:hAnsi="Tahoma"/>
      <w:sz w:val="16"/>
      <w:szCs w:val="16"/>
      <w:lang w:eastAsia="en-US"/>
    </w:rPr>
  </w:style>
  <w:style w:type="paragraph" w:styleId="BalloonText">
    <w:name w:val="Balloon Text"/>
    <w:basedOn w:val="Normal"/>
    <w:link w:val="BalloonTextChar"/>
    <w:rsid w:val="008D577E"/>
    <w:pPr>
      <w:spacing w:before="0" w:line="240" w:lineRule="auto"/>
    </w:pPr>
    <w:rPr>
      <w:rFonts w:ascii="Tahoma" w:hAnsi="Tahoma" w:cs="Tahoma"/>
      <w:sz w:val="16"/>
      <w:szCs w:val="16"/>
    </w:rPr>
  </w:style>
  <w:style w:type="character" w:customStyle="1" w:styleId="BalloonTextChar">
    <w:name w:val="Balloon Text Char"/>
    <w:basedOn w:val="DefaultParagraphFont"/>
    <w:link w:val="BalloonText"/>
    <w:rsid w:val="008D577E"/>
    <w:rPr>
      <w:rFonts w:ascii="Tahoma" w:hAnsi="Tahoma" w:cs="Tahoma"/>
      <w:sz w:val="16"/>
      <w:szCs w:val="16"/>
      <w:lang w:eastAsia="en-US"/>
    </w:rPr>
  </w:style>
  <w:style w:type="character" w:styleId="PlaceholderText">
    <w:name w:val="Placeholder Text"/>
    <w:basedOn w:val="DefaultParagraphFont"/>
    <w:uiPriority w:val="99"/>
    <w:semiHidden/>
    <w:rsid w:val="008D577E"/>
    <w:rPr>
      <w:color w:val="808080"/>
    </w:rPr>
  </w:style>
  <w:style w:type="paragraph" w:styleId="Caption">
    <w:name w:val="caption"/>
    <w:basedOn w:val="Normal"/>
    <w:next w:val="Normal"/>
    <w:unhideWhenUsed/>
    <w:qFormat/>
    <w:rsid w:val="009001A8"/>
    <w:pPr>
      <w:spacing w:before="0" w:after="200" w:line="240" w:lineRule="auto"/>
    </w:pPr>
    <w:rPr>
      <w:b/>
      <w:bCs/>
      <w:color w:val="4F81BD" w:themeColor="accent1"/>
      <w:sz w:val="18"/>
      <w:szCs w:val="18"/>
    </w:rPr>
  </w:style>
  <w:style w:type="character" w:styleId="CommentReference">
    <w:name w:val="annotation reference"/>
    <w:basedOn w:val="DefaultParagraphFont"/>
    <w:rsid w:val="00BB5002"/>
    <w:rPr>
      <w:sz w:val="16"/>
      <w:szCs w:val="16"/>
    </w:rPr>
  </w:style>
  <w:style w:type="paragraph" w:styleId="CommentText">
    <w:name w:val="annotation text"/>
    <w:basedOn w:val="Normal"/>
    <w:link w:val="CommentTextChar"/>
    <w:rsid w:val="00BB5002"/>
    <w:pPr>
      <w:spacing w:line="240" w:lineRule="auto"/>
    </w:pPr>
    <w:rPr>
      <w:sz w:val="20"/>
    </w:rPr>
  </w:style>
  <w:style w:type="character" w:customStyle="1" w:styleId="CommentTextChar">
    <w:name w:val="Comment Text Char"/>
    <w:basedOn w:val="DefaultParagraphFont"/>
    <w:link w:val="CommentText"/>
    <w:rsid w:val="00BB5002"/>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6220874">
      <w:bodyDiv w:val="1"/>
      <w:marLeft w:val="0"/>
      <w:marRight w:val="0"/>
      <w:marTop w:val="0"/>
      <w:marBottom w:val="0"/>
      <w:divBdr>
        <w:top w:val="none" w:sz="0" w:space="0" w:color="auto"/>
        <w:left w:val="none" w:sz="0" w:space="0" w:color="auto"/>
        <w:bottom w:val="none" w:sz="0" w:space="0" w:color="auto"/>
        <w:right w:val="none" w:sz="0" w:space="0" w:color="auto"/>
      </w:divBdr>
    </w:div>
    <w:div w:id="237137566">
      <w:bodyDiv w:val="1"/>
      <w:marLeft w:val="0"/>
      <w:marRight w:val="0"/>
      <w:marTop w:val="0"/>
      <w:marBottom w:val="0"/>
      <w:divBdr>
        <w:top w:val="none" w:sz="0" w:space="0" w:color="auto"/>
        <w:left w:val="none" w:sz="0" w:space="0" w:color="auto"/>
        <w:bottom w:val="none" w:sz="0" w:space="0" w:color="auto"/>
        <w:right w:val="none" w:sz="0" w:space="0" w:color="auto"/>
      </w:divBdr>
    </w:div>
    <w:div w:id="496188971">
      <w:bodyDiv w:val="1"/>
      <w:marLeft w:val="0"/>
      <w:marRight w:val="0"/>
      <w:marTop w:val="0"/>
      <w:marBottom w:val="0"/>
      <w:divBdr>
        <w:top w:val="none" w:sz="0" w:space="0" w:color="auto"/>
        <w:left w:val="none" w:sz="0" w:space="0" w:color="auto"/>
        <w:bottom w:val="none" w:sz="0" w:space="0" w:color="auto"/>
        <w:right w:val="none" w:sz="0" w:space="0" w:color="auto"/>
      </w:divBdr>
    </w:div>
    <w:div w:id="1006589398">
      <w:bodyDiv w:val="1"/>
      <w:marLeft w:val="0"/>
      <w:marRight w:val="0"/>
      <w:marTop w:val="0"/>
      <w:marBottom w:val="0"/>
      <w:divBdr>
        <w:top w:val="none" w:sz="0" w:space="0" w:color="auto"/>
        <w:left w:val="none" w:sz="0" w:space="0" w:color="auto"/>
        <w:bottom w:val="none" w:sz="0" w:space="0" w:color="auto"/>
        <w:right w:val="none" w:sz="0" w:space="0" w:color="auto"/>
      </w:divBdr>
    </w:div>
    <w:div w:id="1115561505">
      <w:bodyDiv w:val="1"/>
      <w:marLeft w:val="0"/>
      <w:marRight w:val="0"/>
      <w:marTop w:val="0"/>
      <w:marBottom w:val="0"/>
      <w:divBdr>
        <w:top w:val="none" w:sz="0" w:space="0" w:color="auto"/>
        <w:left w:val="none" w:sz="0" w:space="0" w:color="auto"/>
        <w:bottom w:val="none" w:sz="0" w:space="0" w:color="auto"/>
        <w:right w:val="none" w:sz="0" w:space="0" w:color="auto"/>
      </w:divBdr>
    </w:div>
    <w:div w:id="1126461912">
      <w:bodyDiv w:val="1"/>
      <w:marLeft w:val="0"/>
      <w:marRight w:val="0"/>
      <w:marTop w:val="0"/>
      <w:marBottom w:val="0"/>
      <w:divBdr>
        <w:top w:val="none" w:sz="0" w:space="0" w:color="auto"/>
        <w:left w:val="none" w:sz="0" w:space="0" w:color="auto"/>
        <w:bottom w:val="none" w:sz="0" w:space="0" w:color="auto"/>
        <w:right w:val="none" w:sz="0" w:space="0" w:color="auto"/>
      </w:divBdr>
    </w:div>
    <w:div w:id="1220747780">
      <w:bodyDiv w:val="1"/>
      <w:marLeft w:val="0"/>
      <w:marRight w:val="0"/>
      <w:marTop w:val="0"/>
      <w:marBottom w:val="0"/>
      <w:divBdr>
        <w:top w:val="none" w:sz="0" w:space="0" w:color="auto"/>
        <w:left w:val="none" w:sz="0" w:space="0" w:color="auto"/>
        <w:bottom w:val="none" w:sz="0" w:space="0" w:color="auto"/>
        <w:right w:val="none" w:sz="0" w:space="0" w:color="auto"/>
      </w:divBdr>
    </w:div>
    <w:div w:id="13057706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wmf"/><Relationship Id="rId18" Type="http://schemas.openxmlformats.org/officeDocument/2006/relationships/oleObject" Target="embeddings/oleObject3.bin"/><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7.wmf"/><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oleObject" Target="embeddings/oleObject2.bin"/><Relationship Id="rId20" Type="http://schemas.openxmlformats.org/officeDocument/2006/relationships/oleObject" Target="embeddings/oleObject4.bin"/><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image" Target="media/image6.wmf"/><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image" Target="media/image2.emf"/><Relationship Id="rId19" Type="http://schemas.openxmlformats.org/officeDocument/2006/relationships/image" Target="media/image8.wmf"/><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oleObject" Target="embeddings/oleObject1.bin"/><Relationship Id="rId22" Type="http://schemas.openxmlformats.org/officeDocument/2006/relationships/header" Target="header2.xml"/><Relationship Id="rId27"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ABK\NZNSEE\Pubs\NZSEE_Conf00_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NZSEE_Conf00_Template.dot</Template>
  <TotalTime>0</TotalTime>
  <Pages>8</Pages>
  <Words>4692</Words>
  <Characters>26748</Characters>
  <Application>Microsoft Office Word</Application>
  <DocSecurity>0</DocSecurity>
  <Lines>222</Lines>
  <Paragraphs>62</Paragraphs>
  <ScaleCrop>false</ScaleCrop>
  <HeadingPairs>
    <vt:vector size="2" baseType="variant">
      <vt:variant>
        <vt:lpstr>Title</vt:lpstr>
      </vt:variant>
      <vt:variant>
        <vt:i4>1</vt:i4>
      </vt:variant>
    </vt:vector>
  </HeadingPairs>
  <TitlesOfParts>
    <vt:vector size="1" baseType="lpstr">
      <vt:lpstr>2012 NZSEE Paper Template</vt:lpstr>
    </vt:vector>
  </TitlesOfParts>
  <Company>Hewlett-Packard</Company>
  <LinksUpToDate>false</LinksUpToDate>
  <CharactersWithSpaces>31378</CharactersWithSpaces>
  <SharedDoc>false</SharedDoc>
  <HLinks>
    <vt:vector size="60" baseType="variant">
      <vt:variant>
        <vt:i4>4653067</vt:i4>
      </vt:variant>
      <vt:variant>
        <vt:i4>65</vt:i4>
      </vt:variant>
      <vt:variant>
        <vt:i4>0</vt:i4>
      </vt:variant>
      <vt:variant>
        <vt:i4>5</vt:i4>
      </vt:variant>
      <vt:variant>
        <vt:lpwstr/>
      </vt:variant>
      <vt:variant>
        <vt:lpwstr>_ENREF_6</vt:lpwstr>
      </vt:variant>
      <vt:variant>
        <vt:i4>4653067</vt:i4>
      </vt:variant>
      <vt:variant>
        <vt:i4>59</vt:i4>
      </vt:variant>
      <vt:variant>
        <vt:i4>0</vt:i4>
      </vt:variant>
      <vt:variant>
        <vt:i4>5</vt:i4>
      </vt:variant>
      <vt:variant>
        <vt:lpwstr/>
      </vt:variant>
      <vt:variant>
        <vt:lpwstr>_ENREF_6</vt:lpwstr>
      </vt:variant>
      <vt:variant>
        <vt:i4>4521995</vt:i4>
      </vt:variant>
      <vt:variant>
        <vt:i4>47</vt:i4>
      </vt:variant>
      <vt:variant>
        <vt:i4>0</vt:i4>
      </vt:variant>
      <vt:variant>
        <vt:i4>5</vt:i4>
      </vt:variant>
      <vt:variant>
        <vt:lpwstr/>
      </vt:variant>
      <vt:variant>
        <vt:lpwstr>_ENREF_4</vt:lpwstr>
      </vt:variant>
      <vt:variant>
        <vt:i4>4587531</vt:i4>
      </vt:variant>
      <vt:variant>
        <vt:i4>41</vt:i4>
      </vt:variant>
      <vt:variant>
        <vt:i4>0</vt:i4>
      </vt:variant>
      <vt:variant>
        <vt:i4>5</vt:i4>
      </vt:variant>
      <vt:variant>
        <vt:lpwstr/>
      </vt:variant>
      <vt:variant>
        <vt:lpwstr>_ENREF_7</vt:lpwstr>
      </vt:variant>
      <vt:variant>
        <vt:i4>4784139</vt:i4>
      </vt:variant>
      <vt:variant>
        <vt:i4>35</vt:i4>
      </vt:variant>
      <vt:variant>
        <vt:i4>0</vt:i4>
      </vt:variant>
      <vt:variant>
        <vt:i4>5</vt:i4>
      </vt:variant>
      <vt:variant>
        <vt:lpwstr/>
      </vt:variant>
      <vt:variant>
        <vt:lpwstr>_ENREF_8</vt:lpwstr>
      </vt:variant>
      <vt:variant>
        <vt:i4>4456459</vt:i4>
      </vt:variant>
      <vt:variant>
        <vt:i4>29</vt:i4>
      </vt:variant>
      <vt:variant>
        <vt:i4>0</vt:i4>
      </vt:variant>
      <vt:variant>
        <vt:i4>5</vt:i4>
      </vt:variant>
      <vt:variant>
        <vt:lpwstr/>
      </vt:variant>
      <vt:variant>
        <vt:lpwstr>_ENREF_5</vt:lpwstr>
      </vt:variant>
      <vt:variant>
        <vt:i4>4194315</vt:i4>
      </vt:variant>
      <vt:variant>
        <vt:i4>23</vt:i4>
      </vt:variant>
      <vt:variant>
        <vt:i4>0</vt:i4>
      </vt:variant>
      <vt:variant>
        <vt:i4>5</vt:i4>
      </vt:variant>
      <vt:variant>
        <vt:lpwstr/>
      </vt:variant>
      <vt:variant>
        <vt:lpwstr>_ENREF_1</vt:lpwstr>
      </vt:variant>
      <vt:variant>
        <vt:i4>4784139</vt:i4>
      </vt:variant>
      <vt:variant>
        <vt:i4>17</vt:i4>
      </vt:variant>
      <vt:variant>
        <vt:i4>0</vt:i4>
      </vt:variant>
      <vt:variant>
        <vt:i4>5</vt:i4>
      </vt:variant>
      <vt:variant>
        <vt:lpwstr/>
      </vt:variant>
      <vt:variant>
        <vt:lpwstr>_ENREF_8</vt:lpwstr>
      </vt:variant>
      <vt:variant>
        <vt:i4>4325387</vt:i4>
      </vt:variant>
      <vt:variant>
        <vt:i4>11</vt:i4>
      </vt:variant>
      <vt:variant>
        <vt:i4>0</vt:i4>
      </vt:variant>
      <vt:variant>
        <vt:i4>5</vt:i4>
      </vt:variant>
      <vt:variant>
        <vt:lpwstr/>
      </vt:variant>
      <vt:variant>
        <vt:lpwstr>_ENREF_3</vt:lpwstr>
      </vt:variant>
      <vt:variant>
        <vt:i4>4390923</vt:i4>
      </vt:variant>
      <vt:variant>
        <vt:i4>2</vt:i4>
      </vt:variant>
      <vt:variant>
        <vt:i4>0</vt:i4>
      </vt:variant>
      <vt:variant>
        <vt:i4>5</vt:i4>
      </vt:variant>
      <vt:variant>
        <vt:lpwstr/>
      </vt:variant>
      <vt:variant>
        <vt:lpwstr>_ENREF_2</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2012 NZSEE Paper Template</dc:title>
  <dc:creator>Dr Bruce L Deam</dc:creator>
  <cp:lastModifiedBy>s01po3</cp:lastModifiedBy>
  <cp:revision>2</cp:revision>
  <cp:lastPrinted>2012-02-13T07:11:00Z</cp:lastPrinted>
  <dcterms:created xsi:type="dcterms:W3CDTF">2015-05-07T06:35:00Z</dcterms:created>
  <dcterms:modified xsi:type="dcterms:W3CDTF">2015-05-07T06:35:00Z</dcterms:modified>
</cp:coreProperties>
</file>