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7B5" w:rsidRPr="00C41C12" w:rsidRDefault="007834C9">
      <w:pPr>
        <w:pStyle w:val="Papertitle"/>
      </w:pPr>
      <w:r w:rsidRPr="00C41C12">
        <w:t>Evaluation of variation in dynamic response of two instrumented buildings under seismic excitation</w:t>
      </w:r>
      <w:r w:rsidR="00F8048A">
        <w:t>s</w:t>
      </w:r>
    </w:p>
    <w:p w:rsidR="004337B5" w:rsidRPr="00C41C12" w:rsidRDefault="007834C9">
      <w:pPr>
        <w:pStyle w:val="Author"/>
      </w:pPr>
      <w:r w:rsidRPr="00C41C12">
        <w:t>F.</w:t>
      </w:r>
      <w:r w:rsidR="00FD57BD" w:rsidRPr="00C41C12">
        <w:t xml:space="preserve"> </w:t>
      </w:r>
      <w:r w:rsidRPr="00C41C12">
        <w:t>Butt</w:t>
      </w:r>
      <w:r w:rsidR="004337B5" w:rsidRPr="00C41C12">
        <w:t xml:space="preserve"> &amp; </w:t>
      </w:r>
      <w:r w:rsidRPr="00C41C12">
        <w:t>P.</w:t>
      </w:r>
      <w:r w:rsidR="00FD57BD" w:rsidRPr="00C41C12">
        <w:t xml:space="preserve"> </w:t>
      </w:r>
      <w:r w:rsidRPr="00C41C12">
        <w:t>Omenzetter</w:t>
      </w:r>
    </w:p>
    <w:p w:rsidR="004337B5" w:rsidRPr="00C41C12" w:rsidRDefault="007834C9">
      <w:pPr>
        <w:pStyle w:val="Affiliation"/>
      </w:pPr>
      <w:r w:rsidRPr="00C41C12">
        <w:t xml:space="preserve">Department of </w:t>
      </w:r>
      <w:r w:rsidR="00AF492E" w:rsidRPr="00C41C12">
        <w:t>C</w:t>
      </w:r>
      <w:r w:rsidRPr="00C41C12">
        <w:t>ivil &amp; Environmental Engineering, The University of Auckland, Auckland, New Zealand.</w:t>
      </w:r>
    </w:p>
    <w:p w:rsidR="004337B5" w:rsidRPr="00C41C12" w:rsidRDefault="004337B5" w:rsidP="00211586">
      <w:pPr>
        <w:pStyle w:val="Abstract"/>
        <w:ind w:right="567"/>
      </w:pPr>
      <w:r w:rsidRPr="00C41C12">
        <w:rPr>
          <w:b/>
          <w:bCs/>
        </w:rPr>
        <w:t>ABSTRACT:</w:t>
      </w:r>
      <w:r w:rsidRPr="00C41C12">
        <w:t xml:space="preserve"> </w:t>
      </w:r>
      <w:r w:rsidR="00211586" w:rsidRPr="00C41C12">
        <w:t xml:space="preserve">Natural frequencies and damping ratios are very important parameters characterizing the dynamic response of buildings. These dynamic characteristics of building structures are observed to vary during different earthquake excitations. To evaluate this variation, two instrumented buildings were studied. </w:t>
      </w:r>
      <w:r w:rsidR="007950CD" w:rsidRPr="00C41C12">
        <w:t xml:space="preserve">One of the buildings is a </w:t>
      </w:r>
      <w:r w:rsidR="0027351C">
        <w:t>three</w:t>
      </w:r>
      <w:r w:rsidR="007950CD" w:rsidRPr="00C41C12">
        <w:t xml:space="preserve"> storey reinforced concrete (RC) frame building with </w:t>
      </w:r>
      <w:r w:rsidR="0002264F">
        <w:t xml:space="preserve">a </w:t>
      </w:r>
      <w:r w:rsidR="007950CD" w:rsidRPr="00C41C12">
        <w:t>shear core</w:t>
      </w:r>
      <w:r w:rsidR="00CD2C5C" w:rsidRPr="00C41C12">
        <w:t>,</w:t>
      </w:r>
      <w:r w:rsidR="0002264F">
        <w:t xml:space="preserve"> while the other is a three</w:t>
      </w:r>
      <w:r w:rsidR="007950CD" w:rsidRPr="00C41C12">
        <w:t xml:space="preserve"> storey RC frame building without shear core. </w:t>
      </w:r>
      <w:r w:rsidR="00211586" w:rsidRPr="00C41C12">
        <w:t xml:space="preserve">Both the </w:t>
      </w:r>
      <w:r w:rsidR="00AF492E" w:rsidRPr="00C41C12">
        <w:t>buildings</w:t>
      </w:r>
      <w:r w:rsidR="00211586" w:rsidRPr="00C41C12">
        <w:t xml:space="preserve"> are part of </w:t>
      </w:r>
      <w:r w:rsidR="00CD2C5C" w:rsidRPr="00C41C12">
        <w:t>the same</w:t>
      </w:r>
      <w:r w:rsidR="00211586" w:rsidRPr="00C41C12">
        <w:t xml:space="preserve"> large complex</w:t>
      </w:r>
      <w:r w:rsidR="00CD2C5C" w:rsidRPr="00C41C12">
        <w:t xml:space="preserve"> but are seismically separated</w:t>
      </w:r>
      <w:r w:rsidR="00211586" w:rsidRPr="00C41C12">
        <w:t xml:space="preserve">. One of them is instrumented with five and the other with four tri-axial accelerometers. The dynamic properties of the buildings were ascertained using a time domain state-space </w:t>
      </w:r>
      <w:r w:rsidR="00505268" w:rsidRPr="00C41C12">
        <w:t xml:space="preserve">subspace </w:t>
      </w:r>
      <w:r w:rsidR="00211586" w:rsidRPr="00C41C12">
        <w:t>system identification technique considering 50 recorded earthquake responses. Relationships between identified natural frequencies and damping ratios, and the peak ground acceleration (PGA) at the base level and peak response acceleration (PRA) at the roof level were developed. It was found that response of the buildings strongly depended on the excitation level of the earthquakes. A general trend of decreasing fundamental frequencies and increasing damping ratios was observed with increased level of shaking and response. It is concluded from the investigation that knowledge of variation of dynamic characteristics of buildings is necessary to better understand their response during earthquakes.</w:t>
      </w:r>
    </w:p>
    <w:p w:rsidR="004337B5" w:rsidRPr="00C41C12" w:rsidRDefault="004337B5">
      <w:pPr>
        <w:pStyle w:val="Heading1"/>
      </w:pPr>
      <w:r w:rsidRPr="00C41C12">
        <w:t>INTRODUCTION</w:t>
      </w:r>
    </w:p>
    <w:p w:rsidR="00550A5E" w:rsidRPr="00C41C12" w:rsidRDefault="00550A5E" w:rsidP="004248BA">
      <w:r w:rsidRPr="00C41C12">
        <w:t>The characterization and prediction of the response of civil structures under extreme loading events such as earthquakes is a cha</w:t>
      </w:r>
      <w:r w:rsidR="00E023E4">
        <w:t>lle</w:t>
      </w:r>
      <w:r w:rsidRPr="00C41C12">
        <w:t xml:space="preserve">nging problem and has gained increasing attention in recent years. The challenges associated with the civil structures such as buildings, bridges and dams include </w:t>
      </w:r>
      <w:r w:rsidR="00CD2C5C" w:rsidRPr="00C41C12">
        <w:t xml:space="preserve">modelling </w:t>
      </w:r>
      <w:r w:rsidRPr="00C41C12">
        <w:t xml:space="preserve">their complicated interaction with the surrounding ground, varying environmental and loading conditions, and complex material and structural behaviour which preclude the study of a complete system in a laboratory setting. An approach to tackle these issues is to use the recorded responses from instrumented structures and extract the dynamic characteristics using a process known as system identification </w:t>
      </w:r>
      <w:r w:rsidR="00ED0C79" w:rsidRPr="00C41C12">
        <w:t xml:space="preserve">(Hart </w:t>
      </w:r>
      <w:r w:rsidR="00CF3861" w:rsidRPr="00C41C12">
        <w:t>&amp;</w:t>
      </w:r>
      <w:r w:rsidR="00ED0C79" w:rsidRPr="00C41C12">
        <w:t xml:space="preserve"> Yao 1976; Saito </w:t>
      </w:r>
      <w:r w:rsidR="00CF3861" w:rsidRPr="00C41C12">
        <w:t>&amp;</w:t>
      </w:r>
      <w:r w:rsidR="00ED0C79" w:rsidRPr="00C41C12">
        <w:t xml:space="preserve"> Yokota 1996)</w:t>
      </w:r>
      <w:r w:rsidRPr="00C41C12">
        <w:t>. The in-situ measured responses include all the real physical properties of the structure and can be useful for structural health monitoring and model updating studies</w:t>
      </w:r>
      <w:r w:rsidR="00ED0C79" w:rsidRPr="00C41C12">
        <w:t xml:space="preserve"> (Brownjohn </w:t>
      </w:r>
      <w:r w:rsidR="00CF3861" w:rsidRPr="00C41C12">
        <w:t>&amp;</w:t>
      </w:r>
      <w:r w:rsidR="00ED0C79" w:rsidRPr="00C41C12">
        <w:t xml:space="preserve"> Xia 2000; Farrar et al</w:t>
      </w:r>
      <w:r w:rsidR="00A87455" w:rsidRPr="00C41C12">
        <w:t>.</w:t>
      </w:r>
      <w:r w:rsidR="00ED0C79" w:rsidRPr="00C41C12">
        <w:t xml:space="preserve"> 2000).</w:t>
      </w:r>
      <w:r w:rsidRPr="00C41C12">
        <w:t xml:space="preserve"> </w:t>
      </w:r>
    </w:p>
    <w:p w:rsidR="00E56E19" w:rsidRPr="00C41C12" w:rsidRDefault="004C17F6" w:rsidP="004248BA">
      <w:r w:rsidRPr="00C41C12">
        <w:t xml:space="preserve">In characterizing the dynamic response of buildings, natural frequencies and damping ratios are very important parameters. </w:t>
      </w:r>
      <w:r w:rsidR="00CF3861" w:rsidRPr="00C41C12">
        <w:t xml:space="preserve">Permanent instrumentation of buildings makes possible the studying of these parameters under different earthquakes excitation. </w:t>
      </w:r>
      <w:r w:rsidR="00707C69" w:rsidRPr="00C41C12">
        <w:t>Studies have shown that the</w:t>
      </w:r>
      <w:r w:rsidRPr="00C41C12">
        <w:t xml:space="preserve"> dynamic characteristics tend to vary with vibration amplitude </w:t>
      </w:r>
      <w:r w:rsidR="00CF3861" w:rsidRPr="00C41C12">
        <w:t>(Celebi 2006; Satake &amp; Yokota 1996; Trifunac et al. 2001)</w:t>
      </w:r>
      <w:r w:rsidRPr="00C41C12">
        <w:t xml:space="preserve">. </w:t>
      </w:r>
      <w:r w:rsidR="002461D0" w:rsidRPr="00C41C12">
        <w:t>It is</w:t>
      </w:r>
      <w:r w:rsidR="00CD2C5C" w:rsidRPr="00C41C12">
        <w:t>,</w:t>
      </w:r>
      <w:r w:rsidR="002461D0" w:rsidRPr="00C41C12">
        <w:t xml:space="preserve"> therefore, important to see the behaviour of buildings under different excitation scenarios. The trends of variation of dynamic characteristics like modal frequencies </w:t>
      </w:r>
      <w:r w:rsidR="00A91F52" w:rsidRPr="00C41C12">
        <w:t xml:space="preserve">and damping ratios </w:t>
      </w:r>
      <w:r w:rsidR="002461D0" w:rsidRPr="00C41C12">
        <w:t xml:space="preserve">thus developed will provide </w:t>
      </w:r>
      <w:r w:rsidR="00CE156A" w:rsidRPr="00C41C12">
        <w:t>quantitative data for the variations in the behaviour of buildings</w:t>
      </w:r>
      <w:r w:rsidR="002361B9" w:rsidRPr="00C41C12">
        <w:t>.</w:t>
      </w:r>
      <w:r w:rsidR="007B4B28" w:rsidRPr="00C41C12">
        <w:t xml:space="preserve"> </w:t>
      </w:r>
      <w:r w:rsidR="002361B9" w:rsidRPr="00C41C12">
        <w:t xml:space="preserve">Moreover, </w:t>
      </w:r>
      <w:r w:rsidR="00E56E19" w:rsidRPr="00C41C12">
        <w:t>such studies</w:t>
      </w:r>
      <w:r w:rsidR="00CE156A" w:rsidRPr="00C41C12">
        <w:t xml:space="preserve"> </w:t>
      </w:r>
      <w:r w:rsidR="007B4B28" w:rsidRPr="00C41C12">
        <w:t xml:space="preserve">will </w:t>
      </w:r>
      <w:r w:rsidR="00E56E19" w:rsidRPr="00C41C12">
        <w:t xml:space="preserve">provide </w:t>
      </w:r>
      <w:r w:rsidR="002461D0" w:rsidRPr="00C41C12">
        <w:t xml:space="preserve">invaluable information for </w:t>
      </w:r>
      <w:r w:rsidR="003A25BE" w:rsidRPr="00C41C12">
        <w:t>the development and calibration of realistic models for the prediction of seismic response of structures in model updating and structural health monitoring studies.</w:t>
      </w:r>
    </w:p>
    <w:p w:rsidR="004248BA" w:rsidRPr="00C41C12" w:rsidRDefault="00E56E19" w:rsidP="00E56E19">
      <w:r w:rsidRPr="00C41C12">
        <w:t xml:space="preserve">New Zealand is situated in a region where earthquakes are a common occurrence. Past earthquakes in the region have caused major losses </w:t>
      </w:r>
      <w:r w:rsidR="003C78E4" w:rsidRPr="00C41C12">
        <w:t>(Comerio et al. 2010; Dowrick 1994; Dowrick 1998)</w:t>
      </w:r>
      <w:r w:rsidRPr="00C41C12">
        <w:t xml:space="preserve">. The seismic </w:t>
      </w:r>
      <w:r w:rsidRPr="00C41C12">
        <w:lastRenderedPageBreak/>
        <w:t xml:space="preserve">response of structures therefore, is a major concern to the society. For measurement and understanding of the dynamic behaviour of structures during earthquakes, several structures across New Zealand are instrumented under the banner of </w:t>
      </w:r>
      <w:r w:rsidR="00CD2C5C" w:rsidRPr="00C41C12">
        <w:t xml:space="preserve">the </w:t>
      </w:r>
      <w:r w:rsidRPr="00C41C12">
        <w:t xml:space="preserve">GeoNet project </w:t>
      </w:r>
      <w:r w:rsidR="001D7096" w:rsidRPr="00C41C12">
        <w:fldChar w:fldCharType="begin"/>
      </w:r>
      <w:r w:rsidRPr="00C41C12">
        <w:instrText xml:space="preserve"> ADDIN EN.CITE &lt;EndNote&gt;&lt;Cite&gt;&lt;Author&gt;Deam&lt;/Author&gt;&lt;Year&gt;2002&lt;/Year&gt;&lt;RecNum&gt;582&lt;/RecNum&gt;&lt;record&gt;&lt;rec-number&gt;582&lt;/rec-number&gt;&lt;foreign-keys&gt;&lt;key app="EN" db-id="svxfdfstlxwz04eep2cx5sdbv5p5esfxvdtd"&gt;582&lt;/key&gt;&lt;/foreign-keys&gt;&lt;ref-type name="Conference Paper"&gt;47&lt;/ref-type&gt;&lt;contributors&gt;&lt;authors&gt;&lt;author&gt;Deam, B.L.&lt;/author&gt;&lt;author&gt;Cousins, W.J.&lt;/author&gt;&lt;/authors&gt;&lt;/contributors&gt;&lt;titles&gt;&lt;title&gt;Strong-motion instrumentation of buildings in New Zealand&lt;/title&gt;&lt;secondary-title&gt;Proceedings of New Zealand Society for Earthquake Engineering Conference&lt;/secondary-title&gt;&lt;/titles&gt;&lt;dates&gt;&lt;year&gt;2002&lt;/year&gt;&lt;pub-dates&gt;&lt;date&gt;15-17 March 2002&lt;/date&gt;&lt;/pub-dates&gt;&lt;/dates&gt;&lt;pub-location&gt;Napier, New Zealand&lt;/pub-location&gt;&lt;urls&gt;&lt;/urls&gt;&lt;/record&gt;&lt;/Cite&gt;&lt;Cite&gt;&lt;Author&gt;www.geonet.org.nz&lt;/Author&gt;&lt;RecNum&gt;625&lt;/RecNum&gt;&lt;record&gt;&lt;rec-number&gt;625&lt;/rec-number&gt;&lt;foreign-keys&gt;&lt;key app="EN" db-id="svxfdfstlxwz04eep2cx5sdbv5p5esfxvdtd"&gt;625&lt;/key&gt;&lt;/foreign-keys&gt;&lt;ref-type name="Web Page"&gt;12&lt;/ref-type&gt;&lt;contributors&gt;&lt;authors&gt;&lt;author&gt;www.geonet.org.nz&lt;/author&gt;&lt;/authors&gt;&lt;/contributors&gt;&lt;titles&gt;&lt;/titles&gt;&lt;dates&gt;&lt;/dates&gt;&lt;pub-location&gt;Lower Hutt, New Zealand&lt;/pub-location&gt;&lt;publisher&gt;GeoNet&lt;/publisher&gt;&lt;urls&gt;&lt;related-urls&gt;&lt;url&gt;www.geonet.org.nz&lt;/url&gt;&lt;/related-urls&gt;&lt;/urls&gt;&lt;/record&gt;&lt;/Cite&gt;&lt;/EndNote&gt;</w:instrText>
      </w:r>
      <w:r w:rsidR="001D7096" w:rsidRPr="00C41C12">
        <w:fldChar w:fldCharType="separate"/>
      </w:r>
      <w:r w:rsidRPr="00C41C12">
        <w:t>(Deam and Cousins 2002; www.geonet.org.nz)</w:t>
      </w:r>
      <w:r w:rsidR="001D7096" w:rsidRPr="00C41C12">
        <w:fldChar w:fldCharType="end"/>
      </w:r>
      <w:r w:rsidRPr="00C41C12">
        <w:t xml:space="preserve">. </w:t>
      </w:r>
      <w:r w:rsidR="007F4E0C" w:rsidRPr="00C41C12">
        <w:rPr>
          <w:color w:val="000000"/>
          <w:szCs w:val="24"/>
        </w:rPr>
        <w:t>The building</w:t>
      </w:r>
      <w:r w:rsidR="00F16094" w:rsidRPr="00C41C12">
        <w:rPr>
          <w:color w:val="000000"/>
          <w:szCs w:val="24"/>
        </w:rPr>
        <w:t>s</w:t>
      </w:r>
      <w:r w:rsidR="007F4E0C" w:rsidRPr="00C41C12">
        <w:rPr>
          <w:color w:val="000000"/>
          <w:szCs w:val="24"/>
        </w:rPr>
        <w:t xml:space="preserve"> stud</w:t>
      </w:r>
      <w:r w:rsidR="00CD2C5C" w:rsidRPr="00C41C12">
        <w:rPr>
          <w:color w:val="000000"/>
          <w:szCs w:val="24"/>
        </w:rPr>
        <w:t>ied in this paper</w:t>
      </w:r>
      <w:r w:rsidR="007F4E0C" w:rsidRPr="00C41C12">
        <w:rPr>
          <w:color w:val="000000"/>
          <w:szCs w:val="24"/>
        </w:rPr>
        <w:t xml:space="preserve"> </w:t>
      </w:r>
      <w:r w:rsidR="005E623D" w:rsidRPr="00C41C12">
        <w:rPr>
          <w:color w:val="000000"/>
          <w:szCs w:val="24"/>
        </w:rPr>
        <w:t>were</w:t>
      </w:r>
      <w:r w:rsidR="007F4E0C" w:rsidRPr="00C41C12">
        <w:rPr>
          <w:color w:val="000000"/>
          <w:szCs w:val="24"/>
        </w:rPr>
        <w:t xml:space="preserve"> instrumented as part of </w:t>
      </w:r>
      <w:r w:rsidR="00CD2C5C" w:rsidRPr="00C41C12">
        <w:rPr>
          <w:color w:val="000000"/>
          <w:szCs w:val="24"/>
        </w:rPr>
        <w:t xml:space="preserve">the </w:t>
      </w:r>
      <w:r w:rsidR="00CD2C5C" w:rsidRPr="00C41C12">
        <w:t>GeoNet project</w:t>
      </w:r>
      <w:r w:rsidR="007F4E0C" w:rsidRPr="00C41C12">
        <w:rPr>
          <w:color w:val="000000"/>
          <w:szCs w:val="24"/>
        </w:rPr>
        <w:t xml:space="preserve">. </w:t>
      </w:r>
      <w:r w:rsidR="0002264F">
        <w:t>Many</w:t>
      </w:r>
      <w:r w:rsidR="007F4E0C" w:rsidRPr="00C41C12">
        <w:t xml:space="preserve"> structures have already been instrumented in the Wellington and Canterbury regions and for </w:t>
      </w:r>
      <w:r w:rsidR="005611FA" w:rsidRPr="00C41C12">
        <w:t xml:space="preserve">more structures across New Zealand </w:t>
      </w:r>
      <w:r w:rsidR="007F4E0C" w:rsidRPr="00C41C12">
        <w:t>the process is in progress (</w:t>
      </w:r>
      <w:r w:rsidR="007625A4">
        <w:t>Uma et al. 2011</w:t>
      </w:r>
      <w:r w:rsidR="007F4E0C" w:rsidRPr="00C41C12">
        <w:t>).</w:t>
      </w:r>
    </w:p>
    <w:p w:rsidR="004248BA" w:rsidRPr="00C41C12" w:rsidRDefault="006E5ED4" w:rsidP="004248BA">
      <w:pPr>
        <w:rPr>
          <w:color w:val="000000"/>
          <w:szCs w:val="24"/>
        </w:rPr>
      </w:pPr>
      <w:r w:rsidRPr="00C41C12">
        <w:rPr>
          <w:color w:val="000000"/>
          <w:szCs w:val="24"/>
        </w:rPr>
        <w:t>The main objective of this paper is to evaluate the variation in dynamic response using 50 recorded earthquakes on two instrumented buildings. State-space subspace system identification technique will be used to</w:t>
      </w:r>
      <w:r w:rsidR="004248BA" w:rsidRPr="00C41C12">
        <w:t xml:space="preserve"> estimate the frequencies and damping ratios</w:t>
      </w:r>
      <w:r w:rsidRPr="00C41C12">
        <w:t xml:space="preserve"> of both buildings</w:t>
      </w:r>
      <w:r w:rsidR="004248BA" w:rsidRPr="00C41C12">
        <w:t xml:space="preserve">. For natural input modal analysis, this technique is considered to be the most powerful </w:t>
      </w:r>
      <w:r w:rsidR="004248BA" w:rsidRPr="00C41C12">
        <w:rPr>
          <w:color w:val="000000"/>
          <w:szCs w:val="24"/>
        </w:rPr>
        <w:t>class of the known system identification techniques in the time domain (</w:t>
      </w:r>
      <w:r w:rsidR="003A25BE" w:rsidRPr="00C41C12">
        <w:rPr>
          <w:color w:val="000000"/>
          <w:szCs w:val="24"/>
        </w:rPr>
        <w:t xml:space="preserve">Van </w:t>
      </w:r>
      <w:r w:rsidR="004248BA" w:rsidRPr="00C41C12">
        <w:rPr>
          <w:color w:val="000000"/>
          <w:szCs w:val="24"/>
        </w:rPr>
        <w:t xml:space="preserve">Overschee &amp; </w:t>
      </w:r>
      <w:r w:rsidR="003A25BE" w:rsidRPr="00C41C12">
        <w:rPr>
          <w:color w:val="000000"/>
          <w:szCs w:val="24"/>
        </w:rPr>
        <w:t xml:space="preserve">De </w:t>
      </w:r>
      <w:r w:rsidR="004248BA" w:rsidRPr="00C41C12">
        <w:rPr>
          <w:color w:val="000000"/>
          <w:szCs w:val="24"/>
        </w:rPr>
        <w:t>Moor 1994). Relations between peak ground acceleration (PGA) at the base level of the building</w:t>
      </w:r>
      <w:r w:rsidRPr="00C41C12">
        <w:rPr>
          <w:color w:val="000000"/>
          <w:szCs w:val="24"/>
        </w:rPr>
        <w:t>s</w:t>
      </w:r>
      <w:r w:rsidR="004248BA" w:rsidRPr="00C41C12">
        <w:rPr>
          <w:color w:val="000000"/>
          <w:szCs w:val="24"/>
        </w:rPr>
        <w:t xml:space="preserve"> and peak response acceleration (PRA) at the roof level are developed with the estimated frequencies and damping ratios. The variation in frequencies and damping ratios in each mode is evaluated. The outcome of this study is expected to further the understanding of dynamic </w:t>
      </w:r>
      <w:r w:rsidR="003E5FDC" w:rsidRPr="00C41C12">
        <w:rPr>
          <w:color w:val="000000"/>
          <w:szCs w:val="24"/>
        </w:rPr>
        <w:t>behaviour</w:t>
      </w:r>
      <w:r w:rsidR="004248BA" w:rsidRPr="00C41C12">
        <w:rPr>
          <w:color w:val="000000"/>
          <w:szCs w:val="24"/>
        </w:rPr>
        <w:t xml:space="preserve"> of buildings</w:t>
      </w:r>
      <w:r w:rsidR="004F10E6" w:rsidRPr="00C41C12">
        <w:rPr>
          <w:color w:val="000000"/>
          <w:szCs w:val="24"/>
        </w:rPr>
        <w:t xml:space="preserve"> during earthquakes</w:t>
      </w:r>
      <w:r w:rsidR="004248BA" w:rsidRPr="00C41C12">
        <w:rPr>
          <w:color w:val="000000"/>
          <w:szCs w:val="24"/>
        </w:rPr>
        <w:t xml:space="preserve"> and provide new quantitative data</w:t>
      </w:r>
      <w:r w:rsidR="008E1157" w:rsidRPr="00C41C12">
        <w:rPr>
          <w:color w:val="000000"/>
          <w:szCs w:val="24"/>
        </w:rPr>
        <w:t xml:space="preserve"> for structural health monitoring and model updating studies</w:t>
      </w:r>
      <w:r w:rsidR="004248BA" w:rsidRPr="00C41C12">
        <w:rPr>
          <w:color w:val="000000"/>
          <w:szCs w:val="24"/>
        </w:rPr>
        <w:t xml:space="preserve">. </w:t>
      </w:r>
    </w:p>
    <w:p w:rsidR="004337B5" w:rsidRPr="00C41C12" w:rsidRDefault="00FD57BD" w:rsidP="00365DE2">
      <w:pPr>
        <w:pStyle w:val="Heading1"/>
      </w:pPr>
      <w:r w:rsidRPr="00C41C12">
        <w:t xml:space="preserve">description </w:t>
      </w:r>
      <w:r w:rsidR="00DD5BB8" w:rsidRPr="00C41C12">
        <w:t xml:space="preserve">of the buildings, instrumentation </w:t>
      </w:r>
      <w:r w:rsidRPr="00C41C12">
        <w:t xml:space="preserve">and </w:t>
      </w:r>
      <w:r w:rsidR="00DD5BB8" w:rsidRPr="00C41C12">
        <w:t>strong motion data</w:t>
      </w:r>
    </w:p>
    <w:p w:rsidR="00CB2794" w:rsidRPr="00C41C12" w:rsidRDefault="00877630" w:rsidP="00CB2794">
      <w:r w:rsidRPr="00C41C12">
        <w:t>The building</w:t>
      </w:r>
      <w:r w:rsidR="00033A87" w:rsidRPr="00C41C12">
        <w:t xml:space="preserve">s </w:t>
      </w:r>
      <w:r w:rsidR="004D7A86" w:rsidRPr="00C41C12">
        <w:t xml:space="preserve">under </w:t>
      </w:r>
      <w:r w:rsidR="00033A87" w:rsidRPr="00C41C12">
        <w:t>stud</w:t>
      </w:r>
      <w:r w:rsidR="004D7A86" w:rsidRPr="00C41C12">
        <w:t xml:space="preserve">y </w:t>
      </w:r>
      <w:r w:rsidR="00033A87" w:rsidRPr="00C41C12">
        <w:t>are</w:t>
      </w:r>
      <w:r w:rsidRPr="00C41C12">
        <w:t xml:space="preserve"> </w:t>
      </w:r>
      <w:r w:rsidR="00033A87" w:rsidRPr="00C41C12">
        <w:t xml:space="preserve">two </w:t>
      </w:r>
      <w:r w:rsidRPr="00C41C12">
        <w:t>block</w:t>
      </w:r>
      <w:r w:rsidR="00033A87" w:rsidRPr="00C41C12">
        <w:t>s</w:t>
      </w:r>
      <w:r w:rsidRPr="00C41C12">
        <w:t xml:space="preserve"> of the GNS Science building</w:t>
      </w:r>
      <w:r w:rsidR="00033A87" w:rsidRPr="00C41C12">
        <w:t xml:space="preserve"> complex at Avalon (Lower Hutt) </w:t>
      </w:r>
      <w:r w:rsidR="004D7A86" w:rsidRPr="00C41C12">
        <w:t xml:space="preserve">situated </w:t>
      </w:r>
      <w:r w:rsidRPr="00C41C12">
        <w:t>approx</w:t>
      </w:r>
      <w:r w:rsidR="004D7A86" w:rsidRPr="00C41C12">
        <w:t>imately</w:t>
      </w:r>
      <w:r w:rsidRPr="00C41C12">
        <w:t xml:space="preserve"> 20km north-east of Wellington. Th</w:t>
      </w:r>
      <w:r w:rsidR="00033A87" w:rsidRPr="00C41C12">
        <w:t>e</w:t>
      </w:r>
      <w:r w:rsidRPr="00C41C12">
        <w:t xml:space="preserve"> building complex com</w:t>
      </w:r>
      <w:r w:rsidR="00033A87" w:rsidRPr="00C41C12">
        <w:t>prises five major blocks (Fig.</w:t>
      </w:r>
      <w:r w:rsidRPr="00C41C12">
        <w:t xml:space="preserve"> 1) which </w:t>
      </w:r>
      <w:r w:rsidR="008D4165" w:rsidRPr="00C41C12">
        <w:t xml:space="preserve">are </w:t>
      </w:r>
      <w:r w:rsidR="00033A87" w:rsidRPr="00C41C12">
        <w:t xml:space="preserve">structurally </w:t>
      </w:r>
      <w:r w:rsidR="008D4165" w:rsidRPr="00C41C12">
        <w:t xml:space="preserve">separated </w:t>
      </w:r>
      <w:r w:rsidR="00033A87" w:rsidRPr="00C41C12">
        <w:t>by expansion joints. Buildings A and B</w:t>
      </w:r>
      <w:r w:rsidR="008D4165" w:rsidRPr="00C41C12">
        <w:t xml:space="preserve"> are instrumented with nine tri-axial accelerometers. There is a free-field tri-axial accelerometer as well mo</w:t>
      </w:r>
      <w:r w:rsidR="00312813" w:rsidRPr="00C41C12">
        <w:t xml:space="preserve">unted at the ground surface and located at 3.94m from the south end of </w:t>
      </w:r>
      <w:r w:rsidR="00425831" w:rsidRPr="00C41C12">
        <w:t xml:space="preserve">building </w:t>
      </w:r>
      <w:r w:rsidR="0014083A" w:rsidRPr="00C41C12">
        <w:t xml:space="preserve">A </w:t>
      </w:r>
      <w:r w:rsidR="00425831" w:rsidRPr="00C41C12">
        <w:t>as shown in Fig</w:t>
      </w:r>
      <w:r w:rsidR="00311879" w:rsidRPr="00C41C12">
        <w:t>.</w:t>
      </w:r>
      <w:r w:rsidR="00425831" w:rsidRPr="00C41C12">
        <w:t xml:space="preserve"> 1</w:t>
      </w:r>
      <w:r w:rsidR="00312813" w:rsidRPr="00C41C12">
        <w:t>.</w:t>
      </w:r>
      <w:r w:rsidR="004D7A86" w:rsidRPr="00C41C12">
        <w:t xml:space="preserve"> </w:t>
      </w:r>
      <w:r w:rsidR="00897893" w:rsidRPr="00C41C12">
        <w:t xml:space="preserve">All the data is stored to a central </w:t>
      </w:r>
      <w:r w:rsidR="002E3BAA" w:rsidRPr="00C41C12">
        <w:t>recording unit and is available</w:t>
      </w:r>
      <w:r w:rsidR="00CB2794" w:rsidRPr="00C41C12">
        <w:t xml:space="preserve"> onlin</w:t>
      </w:r>
      <w:r w:rsidR="00A90B01" w:rsidRPr="00C41C12">
        <w:t>e (</w:t>
      </w:r>
      <w:hyperlink r:id="rId8" w:history="1">
        <w:r w:rsidR="00A90B01" w:rsidRPr="00C41C12">
          <w:t>www.geonet.org.nz</w:t>
        </w:r>
      </w:hyperlink>
      <w:r w:rsidR="00A90B01" w:rsidRPr="00C41C12">
        <w:t>). The detail of the structural systems and sensor arrays of the buildings are discussed in the following sections.</w:t>
      </w:r>
      <w:r w:rsidR="002E3BAA" w:rsidRPr="00C41C12">
        <w:t xml:space="preserve"> </w:t>
      </w:r>
    </w:p>
    <w:p w:rsidR="00CB2794" w:rsidRPr="00C41C12" w:rsidRDefault="00CB2794" w:rsidP="00CB2794">
      <w:pPr>
        <w:pStyle w:val="Figurephoto"/>
      </w:pPr>
    </w:p>
    <w:p w:rsidR="00926E43" w:rsidRPr="00C41C12" w:rsidRDefault="008200E4" w:rsidP="00CB2794">
      <w:pPr>
        <w:pStyle w:val="Figurephoto"/>
      </w:pPr>
      <w:r>
        <w:rPr>
          <w:noProof/>
          <w:lang w:eastAsia="en-NZ"/>
        </w:rPr>
        <w:drawing>
          <wp:inline distT="0" distB="0" distL="0" distR="0">
            <wp:extent cx="3657600" cy="292798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lum bright="-18000" contrast="36000"/>
                    </a:blip>
                    <a:srcRect l="14085" t="24101" r="22234" b="10667"/>
                    <a:stretch>
                      <a:fillRect/>
                    </a:stretch>
                  </pic:blipFill>
                  <pic:spPr bwMode="auto">
                    <a:xfrm>
                      <a:off x="0" y="0"/>
                      <a:ext cx="3657600" cy="2927985"/>
                    </a:xfrm>
                    <a:prstGeom prst="rect">
                      <a:avLst/>
                    </a:prstGeom>
                    <a:noFill/>
                    <a:ln w="9525">
                      <a:noFill/>
                      <a:miter lim="800000"/>
                      <a:headEnd/>
                      <a:tailEnd/>
                    </a:ln>
                  </pic:spPr>
                </pic:pic>
              </a:graphicData>
            </a:graphic>
          </wp:inline>
        </w:drawing>
      </w:r>
    </w:p>
    <w:p w:rsidR="00FD57BD" w:rsidRPr="00C41C12" w:rsidRDefault="00877630" w:rsidP="00877630">
      <w:pPr>
        <w:pStyle w:val="Figurecaption"/>
      </w:pPr>
      <w:r w:rsidRPr="00C41C12">
        <w:t>Figure 1. Layout of GNS Science building complex at Avalon. Red dots show the approximate locations of sensors. Sensors in buildings show the location as seen in plan view irrespective of the floor level.</w:t>
      </w:r>
    </w:p>
    <w:p w:rsidR="00D51483" w:rsidRPr="00C41C12" w:rsidRDefault="00D51483" w:rsidP="00D51483">
      <w:pPr>
        <w:pStyle w:val="Heading2"/>
      </w:pPr>
      <w:r w:rsidRPr="00C41C12">
        <w:t>Building A</w:t>
      </w:r>
    </w:p>
    <w:p w:rsidR="00307278" w:rsidRPr="00C41C12" w:rsidRDefault="00311879" w:rsidP="00D51483">
      <w:pPr>
        <w:rPr>
          <w:rFonts w:eastAsia="Calibri"/>
        </w:rPr>
      </w:pPr>
      <w:r w:rsidRPr="00C41C12">
        <w:rPr>
          <w:rFonts w:eastAsia="Calibri"/>
        </w:rPr>
        <w:t>B</w:t>
      </w:r>
      <w:r w:rsidR="00CB53A1" w:rsidRPr="00C41C12">
        <w:rPr>
          <w:rFonts w:eastAsia="Calibri"/>
        </w:rPr>
        <w:t>uilding A</w:t>
      </w:r>
      <w:r w:rsidR="00D51483" w:rsidRPr="00C41C12">
        <w:rPr>
          <w:rFonts w:eastAsia="Calibri"/>
        </w:rPr>
        <w:t xml:space="preserve"> is a </w:t>
      </w:r>
      <w:r w:rsidR="0027351C">
        <w:rPr>
          <w:rFonts w:eastAsia="Calibri"/>
        </w:rPr>
        <w:t>three</w:t>
      </w:r>
      <w:r w:rsidR="00D51483" w:rsidRPr="00C41C12">
        <w:rPr>
          <w:rFonts w:eastAsia="Calibri"/>
        </w:rPr>
        <w:t xml:space="preserve"> storey reinforced concrete </w:t>
      </w:r>
      <w:r w:rsidR="0072477F" w:rsidRPr="00C41C12">
        <w:rPr>
          <w:rFonts w:eastAsia="Calibri"/>
        </w:rPr>
        <w:t xml:space="preserve">(RC) </w:t>
      </w:r>
      <w:r w:rsidR="00D51483" w:rsidRPr="00C41C12">
        <w:rPr>
          <w:rFonts w:eastAsia="Calibri"/>
        </w:rPr>
        <w:t xml:space="preserve">structure with a basement. The structural system consists of beam-column frames </w:t>
      </w:r>
      <w:r w:rsidR="00604792" w:rsidRPr="00C41C12">
        <w:rPr>
          <w:rFonts w:eastAsia="Calibri"/>
        </w:rPr>
        <w:t>and a 229</w:t>
      </w:r>
      <w:r w:rsidR="00D51483" w:rsidRPr="00C41C12">
        <w:rPr>
          <w:rFonts w:eastAsia="Calibri"/>
        </w:rPr>
        <w:t>mm thick reinforced concrete shear core</w:t>
      </w:r>
      <w:r w:rsidR="00604792" w:rsidRPr="00C41C12">
        <w:rPr>
          <w:rFonts w:eastAsia="Calibri"/>
        </w:rPr>
        <w:t>,</w:t>
      </w:r>
      <w:r w:rsidR="00D51483" w:rsidRPr="00C41C12">
        <w:rPr>
          <w:rFonts w:eastAsia="Calibri"/>
        </w:rPr>
        <w:t xml:space="preserve"> which houses an elevator. The plan</w:t>
      </w:r>
      <w:r w:rsidR="00FD40E9" w:rsidRPr="00C41C12">
        <w:rPr>
          <w:rFonts w:eastAsia="Calibri"/>
        </w:rPr>
        <w:t xml:space="preserve"> of the building is rectangular</w:t>
      </w:r>
      <w:r w:rsidR="00334FBA" w:rsidRPr="00C41C12">
        <w:rPr>
          <w:rFonts w:eastAsia="Calibri"/>
        </w:rPr>
        <w:t xml:space="preserve"> but the beams along the longitudinal direction inside </w:t>
      </w:r>
      <w:r w:rsidR="00334FBA" w:rsidRPr="00C41C12">
        <w:rPr>
          <w:rFonts w:eastAsia="Calibri"/>
        </w:rPr>
        <w:lastRenderedPageBreak/>
        <w:t>the perimeter beams and shear core make it unsymmetrical in terms of stiffness distribution</w:t>
      </w:r>
      <w:r w:rsidR="00751301">
        <w:rPr>
          <w:rFonts w:eastAsia="Calibri"/>
        </w:rPr>
        <w:t xml:space="preserve"> (Fig. 2(a))</w:t>
      </w:r>
      <w:r w:rsidR="00D51483" w:rsidRPr="00C41C12">
        <w:rPr>
          <w:rFonts w:eastAsia="Calibri"/>
        </w:rPr>
        <w:t xml:space="preserve">. </w:t>
      </w:r>
      <w:r w:rsidR="003E3366">
        <w:rPr>
          <w:rFonts w:eastAsia="Calibri"/>
        </w:rPr>
        <w:t xml:space="preserve">All the beams and columns are of rectangular cross-section. </w:t>
      </w:r>
      <w:r w:rsidR="00A401EA">
        <w:rPr>
          <w:rFonts w:eastAsia="Calibri"/>
        </w:rPr>
        <w:t>T</w:t>
      </w:r>
      <w:r w:rsidR="00D51483" w:rsidRPr="00C41C12">
        <w:rPr>
          <w:rFonts w:eastAsia="Calibri"/>
        </w:rPr>
        <w:t>he exterior beams are</w:t>
      </w:r>
      <w:r w:rsidR="00CB53A1" w:rsidRPr="00C41C12">
        <w:rPr>
          <w:rFonts w:eastAsia="Calibri"/>
        </w:rPr>
        <w:t xml:space="preserve"> </w:t>
      </w:r>
      <w:r w:rsidR="00604792" w:rsidRPr="00C41C12">
        <w:rPr>
          <w:rFonts w:eastAsia="Calibri"/>
        </w:rPr>
        <w:t>762×356</w:t>
      </w:r>
      <w:r w:rsidR="00D51483" w:rsidRPr="00C41C12">
        <w:rPr>
          <w:rFonts w:eastAsia="Calibri"/>
        </w:rPr>
        <w:t>mm except at roof leve</w:t>
      </w:r>
      <w:r w:rsidR="00CB53A1" w:rsidRPr="00C41C12">
        <w:rPr>
          <w:rFonts w:eastAsia="Calibri"/>
        </w:rPr>
        <w:t>l where these are</w:t>
      </w:r>
      <w:r w:rsidR="00604792" w:rsidRPr="00C41C12">
        <w:rPr>
          <w:rFonts w:eastAsia="Calibri"/>
        </w:rPr>
        <w:t xml:space="preserve"> 1067×</w:t>
      </w:r>
      <w:r w:rsidR="00CB53A1" w:rsidRPr="00C41C12">
        <w:rPr>
          <w:rFonts w:eastAsia="Calibri"/>
        </w:rPr>
        <w:t>356mm</w:t>
      </w:r>
      <w:r w:rsidR="00D51483" w:rsidRPr="00C41C12">
        <w:rPr>
          <w:rFonts w:eastAsia="Calibri"/>
        </w:rPr>
        <w:t>. All the interior bea</w:t>
      </w:r>
      <w:r w:rsidR="00604792" w:rsidRPr="00C41C12">
        <w:rPr>
          <w:rFonts w:eastAsia="Calibri"/>
        </w:rPr>
        <w:t>ms and columns are 610×610</w:t>
      </w:r>
      <w:r w:rsidR="00CB53A1" w:rsidRPr="00C41C12">
        <w:rPr>
          <w:rFonts w:eastAsia="Calibri"/>
        </w:rPr>
        <w:t>mm</w:t>
      </w:r>
      <w:r w:rsidR="00604792" w:rsidRPr="00C41C12">
        <w:rPr>
          <w:rFonts w:eastAsia="Calibri"/>
        </w:rPr>
        <w:t>. Floors are 127</w:t>
      </w:r>
      <w:r w:rsidR="00D51483" w:rsidRPr="00C41C12">
        <w:rPr>
          <w:rFonts w:eastAsia="Calibri"/>
        </w:rPr>
        <w:t xml:space="preserve">mm thick reinforced concrete slabs except a small portion of ground floor </w:t>
      </w:r>
      <w:r w:rsidR="00604792" w:rsidRPr="00C41C12">
        <w:rPr>
          <w:rFonts w:eastAsia="Calibri"/>
        </w:rPr>
        <w:t>near the stairs where it is 203</w:t>
      </w:r>
      <w:r w:rsidR="00D51483" w:rsidRPr="00C41C12">
        <w:rPr>
          <w:rFonts w:eastAsia="Calibri"/>
        </w:rPr>
        <w:t>mm thick. The roof comprises corrugated steel sheets over timber planks supported by steel trusses. The building is resting on separate pad type footings o</w:t>
      </w:r>
      <w:r w:rsidR="00D51483" w:rsidRPr="00C41C12">
        <w:rPr>
          <w:rFonts w:eastAsia="Calibri"/>
          <w:szCs w:val="22"/>
        </w:rPr>
        <w:t xml:space="preserve">f </w:t>
      </w:r>
      <w:r w:rsidR="00D51483" w:rsidRPr="00C41C12">
        <w:rPr>
          <w:szCs w:val="22"/>
        </w:rPr>
        <w:t>base dimensions 2.29</w:t>
      </w:r>
      <w:r w:rsidR="00604792" w:rsidRPr="00C41C12">
        <w:rPr>
          <w:rFonts w:eastAsia="Calibri"/>
        </w:rPr>
        <w:t>×</w:t>
      </w:r>
      <w:r w:rsidR="00604792" w:rsidRPr="00C41C12">
        <w:rPr>
          <w:szCs w:val="22"/>
        </w:rPr>
        <w:t>2.29</w:t>
      </w:r>
      <w:r w:rsidR="00D51483" w:rsidRPr="00C41C12">
        <w:rPr>
          <w:szCs w:val="22"/>
        </w:rPr>
        <w:t>m at the perimeter and 2.74</w:t>
      </w:r>
      <w:r w:rsidR="00604792" w:rsidRPr="00C41C12">
        <w:rPr>
          <w:rFonts w:eastAsia="Calibri"/>
        </w:rPr>
        <w:t>×</w:t>
      </w:r>
      <w:r w:rsidR="00D51483" w:rsidRPr="00C41C12">
        <w:rPr>
          <w:szCs w:val="22"/>
        </w:rPr>
        <w:t xml:space="preserve">2.74m inside the perimeter </w:t>
      </w:r>
      <w:r w:rsidR="00604792" w:rsidRPr="00C41C12">
        <w:rPr>
          <w:rFonts w:eastAsia="Calibri"/>
        </w:rPr>
        <w:t>and 610×356</w:t>
      </w:r>
      <w:r w:rsidR="00D51483" w:rsidRPr="00C41C12">
        <w:rPr>
          <w:rFonts w:eastAsia="Calibri"/>
        </w:rPr>
        <w:t>mm tie beams</w:t>
      </w:r>
      <w:r w:rsidR="00D51483" w:rsidRPr="00C41C12">
        <w:t xml:space="preserve"> </w:t>
      </w:r>
      <w:r w:rsidR="00D51483" w:rsidRPr="00C41C12">
        <w:rPr>
          <w:rFonts w:eastAsia="Calibri"/>
        </w:rPr>
        <w:t xml:space="preserve">are provided to join all the footings together. </w:t>
      </w:r>
      <w:r w:rsidR="000A79B5" w:rsidRPr="00C41C12">
        <w:rPr>
          <w:rFonts w:eastAsia="Calibri"/>
        </w:rPr>
        <w:t>This building</w:t>
      </w:r>
      <w:r w:rsidR="00D51483" w:rsidRPr="00C41C12">
        <w:rPr>
          <w:rFonts w:eastAsia="Calibri"/>
        </w:rPr>
        <w:t xml:space="preserve"> is instrumented with five tri-axial accelerometers. Two accelerometers are fixed at the base level, two at the roof level and one</w:t>
      </w:r>
      <w:r w:rsidR="00D51483" w:rsidRPr="00C41C12">
        <w:t xml:space="preserve"> </w:t>
      </w:r>
      <w:r w:rsidR="00D51483" w:rsidRPr="00C41C12">
        <w:rPr>
          <w:rFonts w:eastAsia="Calibri"/>
        </w:rPr>
        <w:t>underneath the first floor slab as shown in Fig</w:t>
      </w:r>
      <w:r w:rsidR="00DC382C" w:rsidRPr="00C41C12">
        <w:rPr>
          <w:rFonts w:eastAsia="Calibri"/>
        </w:rPr>
        <w:t>.</w:t>
      </w:r>
      <w:r w:rsidR="00D51483" w:rsidRPr="00C41C12">
        <w:rPr>
          <w:rFonts w:eastAsia="Calibri"/>
        </w:rPr>
        <w:t xml:space="preserve"> </w:t>
      </w:r>
      <w:r w:rsidR="00CB53A1" w:rsidRPr="00C41C12">
        <w:rPr>
          <w:rFonts w:eastAsia="Calibri"/>
        </w:rPr>
        <w:t>2(b)</w:t>
      </w:r>
      <w:r w:rsidR="00D51483" w:rsidRPr="00C41C12">
        <w:rPr>
          <w:rFonts w:eastAsia="Calibri"/>
        </w:rPr>
        <w:t>.</w:t>
      </w:r>
    </w:p>
    <w:tbl>
      <w:tblPr>
        <w:tblpPr w:leftFromText="180" w:rightFromText="180" w:vertAnchor="text" w:horzAnchor="margin" w:tblpY="136"/>
        <w:tblW w:w="0" w:type="auto"/>
        <w:tblLook w:val="04A0"/>
      </w:tblPr>
      <w:tblGrid>
        <w:gridCol w:w="4643"/>
        <w:gridCol w:w="4644"/>
      </w:tblGrid>
      <w:tr w:rsidR="00446CBD" w:rsidRPr="00C41C12" w:rsidTr="00DC382C">
        <w:trPr>
          <w:trHeight w:val="2601"/>
        </w:trPr>
        <w:tc>
          <w:tcPr>
            <w:tcW w:w="4643" w:type="dxa"/>
            <w:vAlign w:val="bottom"/>
          </w:tcPr>
          <w:p w:rsidR="00446CBD" w:rsidRPr="00C41C12" w:rsidRDefault="008200E4" w:rsidP="00446CBD">
            <w:pPr>
              <w:pStyle w:val="Figurephoto"/>
              <w:rPr>
                <w:rFonts w:eastAsia="Calibri"/>
              </w:rPr>
            </w:pPr>
            <w:r>
              <w:rPr>
                <w:noProof/>
                <w:lang w:eastAsia="en-NZ"/>
              </w:rPr>
              <w:drawing>
                <wp:anchor distT="0" distB="0" distL="114300" distR="114300" simplePos="0" relativeHeight="251655168" behindDoc="0" locked="0" layoutInCell="1" allowOverlap="1">
                  <wp:simplePos x="0" y="0"/>
                  <wp:positionH relativeFrom="column">
                    <wp:posOffset>26035</wp:posOffset>
                  </wp:positionH>
                  <wp:positionV relativeFrom="paragraph">
                    <wp:posOffset>288290</wp:posOffset>
                  </wp:positionV>
                  <wp:extent cx="2752090" cy="1027430"/>
                  <wp:effectExtent l="19050" t="0" r="0" b="0"/>
                  <wp:wrapNone/>
                  <wp:docPr id="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lum bright="-6000" contrast="20000"/>
                          </a:blip>
                          <a:srcRect l="3629" t="29665" r="9995" b="29346"/>
                          <a:stretch>
                            <a:fillRect/>
                          </a:stretch>
                        </pic:blipFill>
                        <pic:spPr bwMode="auto">
                          <a:xfrm>
                            <a:off x="0" y="0"/>
                            <a:ext cx="2752090" cy="1027430"/>
                          </a:xfrm>
                          <a:prstGeom prst="rect">
                            <a:avLst/>
                          </a:prstGeom>
                          <a:noFill/>
                          <a:ln w="9525">
                            <a:noFill/>
                            <a:miter lim="800000"/>
                            <a:headEnd/>
                            <a:tailEnd/>
                          </a:ln>
                        </pic:spPr>
                      </pic:pic>
                    </a:graphicData>
                  </a:graphic>
                </wp:anchor>
              </w:drawing>
            </w:r>
            <w:r w:rsidR="001D7096">
              <w:rPr>
                <w:rFonts w:eastAsia="Calibri"/>
                <w:lang w:eastAsia="en-NZ"/>
              </w:rPr>
              <w:pict>
                <v:rect id="_x0000_s1076" style="position:absolute;left:0;text-align:left;margin-left:189.95pt;margin-top:93.35pt;width:28.8pt;height:29.75pt;z-index:251654144;mso-position-horizontal-relative:text;mso-position-vertical-relative:text" stroked="f">
                  <v:fill opacity="0"/>
                  <v:textbox>
                    <w:txbxContent>
                      <w:p w:rsidR="00446CBD" w:rsidRDefault="00446CBD" w:rsidP="00446CBD">
                        <w:r>
                          <w:t>(a)</w:t>
                        </w:r>
                      </w:p>
                    </w:txbxContent>
                  </v:textbox>
                </v:rect>
              </w:pict>
            </w:r>
          </w:p>
        </w:tc>
        <w:tc>
          <w:tcPr>
            <w:tcW w:w="4644" w:type="dxa"/>
          </w:tcPr>
          <w:p w:rsidR="00446CBD" w:rsidRPr="00C41C12" w:rsidRDefault="001D7096" w:rsidP="00446CBD">
            <w:pPr>
              <w:pStyle w:val="Figurephoto"/>
              <w:rPr>
                <w:rFonts w:eastAsia="Calibri"/>
              </w:rPr>
            </w:pPr>
            <w:r>
              <w:rPr>
                <w:rFonts w:eastAsia="Calibri"/>
                <w:lang w:eastAsia="en-NZ"/>
              </w:rPr>
              <w:pict>
                <v:rect id="_x0000_s1078" style="position:absolute;left:0;text-align:left;margin-left:192.7pt;margin-top:93.35pt;width:28.8pt;height:29.75pt;z-index:251656192;mso-position-horizontal-relative:text;mso-position-vertical-relative:text" stroked="f">
                  <v:fill opacity="0"/>
                  <v:textbox>
                    <w:txbxContent>
                      <w:p w:rsidR="00446CBD" w:rsidRDefault="00446CBD" w:rsidP="00446CBD">
                        <w:r>
                          <w:t>(b)</w:t>
                        </w:r>
                      </w:p>
                    </w:txbxContent>
                  </v:textbox>
                </v:rect>
              </w:pict>
            </w:r>
            <w:r w:rsidR="008200E4">
              <w:rPr>
                <w:rFonts w:eastAsia="Calibri"/>
                <w:noProof/>
                <w:lang w:eastAsia="en-NZ"/>
              </w:rPr>
              <w:drawing>
                <wp:inline distT="0" distB="0" distL="0" distR="0">
                  <wp:extent cx="2391410" cy="1538605"/>
                  <wp:effectExtent l="19050" t="0" r="8890" b="0"/>
                  <wp:docPr id="2"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4"/>
                          <pic:cNvPicPr>
                            <a:picLocks noChangeAspect="1" noChangeArrowheads="1"/>
                          </pic:cNvPicPr>
                        </pic:nvPicPr>
                        <pic:blipFill>
                          <a:blip r:embed="rId11" cstate="print">
                            <a:lum bright="-6000" contrast="20000"/>
                          </a:blip>
                          <a:srcRect l="15785" t="24797" r="6763" b="14177"/>
                          <a:stretch>
                            <a:fillRect/>
                          </a:stretch>
                        </pic:blipFill>
                        <pic:spPr bwMode="auto">
                          <a:xfrm>
                            <a:off x="0" y="0"/>
                            <a:ext cx="2391410" cy="1538605"/>
                          </a:xfrm>
                          <a:prstGeom prst="rect">
                            <a:avLst/>
                          </a:prstGeom>
                          <a:noFill/>
                          <a:ln w="9525">
                            <a:noFill/>
                            <a:miter lim="800000"/>
                            <a:headEnd/>
                            <a:tailEnd/>
                          </a:ln>
                        </pic:spPr>
                      </pic:pic>
                    </a:graphicData>
                  </a:graphic>
                </wp:inline>
              </w:drawing>
            </w:r>
          </w:p>
        </w:tc>
      </w:tr>
      <w:tr w:rsidR="00446CBD" w:rsidRPr="00C41C12" w:rsidTr="00446CBD">
        <w:tc>
          <w:tcPr>
            <w:tcW w:w="9287" w:type="dxa"/>
            <w:gridSpan w:val="2"/>
          </w:tcPr>
          <w:p w:rsidR="00446CBD" w:rsidRPr="00C41C12" w:rsidRDefault="00446CBD" w:rsidP="00446CBD">
            <w:pPr>
              <w:pStyle w:val="Figurecaption"/>
              <w:rPr>
                <w:rFonts w:eastAsia="Calibri"/>
              </w:rPr>
            </w:pPr>
            <w:r w:rsidRPr="00C41C12">
              <w:t>Figure 2. Building A</w:t>
            </w:r>
            <w:r w:rsidR="00DC382C" w:rsidRPr="00C41C12">
              <w:t>:</w:t>
            </w:r>
            <w:r w:rsidRPr="00C41C12">
              <w:t xml:space="preserve"> (a) Typical floor plan showing location of stairs and elevator shaft</w:t>
            </w:r>
            <w:r w:rsidR="00DC382C" w:rsidRPr="00C41C12">
              <w:t>, and</w:t>
            </w:r>
            <w:r w:rsidRPr="00C41C12">
              <w:rPr>
                <w:rFonts w:eastAsia="Calibri"/>
              </w:rPr>
              <w:t xml:space="preserve"> (b) Sensor array</w:t>
            </w:r>
          </w:p>
        </w:tc>
      </w:tr>
    </w:tbl>
    <w:p w:rsidR="00D51483" w:rsidRPr="00C41C12" w:rsidRDefault="00D51483" w:rsidP="00D51483">
      <w:pPr>
        <w:pStyle w:val="Heading2"/>
      </w:pPr>
      <w:r w:rsidRPr="00C41C12">
        <w:t>Building B</w:t>
      </w:r>
    </w:p>
    <w:tbl>
      <w:tblPr>
        <w:tblpPr w:leftFromText="180" w:rightFromText="180" w:vertAnchor="text" w:horzAnchor="margin" w:tblpY="2117"/>
        <w:tblW w:w="0" w:type="auto"/>
        <w:tblLook w:val="04A0"/>
      </w:tblPr>
      <w:tblGrid>
        <w:gridCol w:w="4643"/>
        <w:gridCol w:w="4644"/>
      </w:tblGrid>
      <w:tr w:rsidR="00A401EA" w:rsidRPr="00C41C12" w:rsidTr="00A401EA">
        <w:tc>
          <w:tcPr>
            <w:tcW w:w="4643" w:type="dxa"/>
            <w:vAlign w:val="bottom"/>
          </w:tcPr>
          <w:p w:rsidR="00A401EA" w:rsidRPr="00C41C12" w:rsidRDefault="00A401EA" w:rsidP="00A401EA">
            <w:pPr>
              <w:pStyle w:val="Figurephoto"/>
            </w:pPr>
            <w:r>
              <w:rPr>
                <w:noProof/>
                <w:lang w:eastAsia="en-NZ"/>
              </w:rPr>
              <w:drawing>
                <wp:anchor distT="0" distB="0" distL="114300" distR="114300" simplePos="0" relativeHeight="251667456" behindDoc="1" locked="0" layoutInCell="1" allowOverlap="1">
                  <wp:simplePos x="0" y="0"/>
                  <wp:positionH relativeFrom="column">
                    <wp:posOffset>4445</wp:posOffset>
                  </wp:positionH>
                  <wp:positionV relativeFrom="paragraph">
                    <wp:posOffset>-1440180</wp:posOffset>
                  </wp:positionV>
                  <wp:extent cx="2769235" cy="1428115"/>
                  <wp:effectExtent l="19050" t="0" r="0" b="0"/>
                  <wp:wrapTight wrapText="bothSides">
                    <wp:wrapPolygon edited="0">
                      <wp:start x="-149" y="0"/>
                      <wp:lineTo x="-149" y="21321"/>
                      <wp:lineTo x="21546" y="21321"/>
                      <wp:lineTo x="21546" y="0"/>
                      <wp:lineTo x="-149" y="0"/>
                    </wp:wrapPolygon>
                  </wp:wrapTight>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lum bright="-6000" contrast="20000"/>
                          </a:blip>
                          <a:srcRect l="6349" t="24213" r="4488" b="11737"/>
                          <a:stretch>
                            <a:fillRect/>
                          </a:stretch>
                        </pic:blipFill>
                        <pic:spPr bwMode="auto">
                          <a:xfrm>
                            <a:off x="0" y="0"/>
                            <a:ext cx="2769235" cy="1428115"/>
                          </a:xfrm>
                          <a:prstGeom prst="rect">
                            <a:avLst/>
                          </a:prstGeom>
                          <a:noFill/>
                          <a:ln w="9525">
                            <a:noFill/>
                            <a:miter lim="800000"/>
                            <a:headEnd/>
                            <a:tailEnd/>
                          </a:ln>
                        </pic:spPr>
                      </pic:pic>
                    </a:graphicData>
                  </a:graphic>
                </wp:anchor>
              </w:drawing>
            </w:r>
            <w:r>
              <w:rPr>
                <w:lang w:eastAsia="en-NZ"/>
              </w:rPr>
              <w:pict>
                <v:rect id="_x0000_s1094" style="position:absolute;left:0;text-align:left;margin-left:185pt;margin-top:-23.35pt;width:28.8pt;height:29.75pt;z-index:251666432;mso-position-horizontal-relative:text;mso-position-vertical-relative:text" stroked="f">
                  <v:fill opacity="0"/>
                  <v:textbox style="mso-next-textbox:#_x0000_s1094">
                    <w:txbxContent>
                      <w:p w:rsidR="00A401EA" w:rsidRDefault="00A401EA" w:rsidP="00A401EA">
                        <w:r>
                          <w:t>(a)</w:t>
                        </w:r>
                      </w:p>
                    </w:txbxContent>
                  </v:textbox>
                </v:rect>
              </w:pict>
            </w:r>
          </w:p>
        </w:tc>
        <w:tc>
          <w:tcPr>
            <w:tcW w:w="4644" w:type="dxa"/>
          </w:tcPr>
          <w:p w:rsidR="00A401EA" w:rsidRPr="00C41C12" w:rsidRDefault="00A401EA" w:rsidP="00A401EA">
            <w:pPr>
              <w:pStyle w:val="Figurephoto"/>
            </w:pPr>
            <w:r>
              <w:rPr>
                <w:lang w:eastAsia="en-NZ"/>
              </w:rPr>
              <w:pict>
                <v:rect id="_x0000_s1095" style="position:absolute;left:0;text-align:left;margin-left:192.7pt;margin-top:92.8pt;width:28.8pt;height:29.75pt;z-index:251668480;mso-position-horizontal-relative:text;mso-position-vertical-relative:text" stroked="f">
                  <v:fill opacity="0"/>
                  <v:textbox style="mso-next-textbox:#_x0000_s1095">
                    <w:txbxContent>
                      <w:p w:rsidR="00A401EA" w:rsidRDefault="00A401EA" w:rsidP="00A401EA">
                        <w:r>
                          <w:t>(b)</w:t>
                        </w:r>
                      </w:p>
                    </w:txbxContent>
                  </v:textbox>
                </v:rect>
              </w:pict>
            </w:r>
            <w:r>
              <w:rPr>
                <w:noProof/>
                <w:lang w:eastAsia="en-NZ"/>
              </w:rPr>
              <w:drawing>
                <wp:inline distT="0" distB="0" distL="0" distR="0">
                  <wp:extent cx="2461895" cy="153860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lum bright="-6000" contrast="20000"/>
                          </a:blip>
                          <a:srcRect l="3088" t="19485" r="6912" b="10110"/>
                          <a:stretch>
                            <a:fillRect/>
                          </a:stretch>
                        </pic:blipFill>
                        <pic:spPr bwMode="auto">
                          <a:xfrm>
                            <a:off x="0" y="0"/>
                            <a:ext cx="2461895" cy="1538605"/>
                          </a:xfrm>
                          <a:prstGeom prst="rect">
                            <a:avLst/>
                          </a:prstGeom>
                          <a:noFill/>
                          <a:ln w="9525">
                            <a:noFill/>
                            <a:miter lim="800000"/>
                            <a:headEnd/>
                            <a:tailEnd/>
                          </a:ln>
                        </pic:spPr>
                      </pic:pic>
                    </a:graphicData>
                  </a:graphic>
                </wp:inline>
              </w:drawing>
            </w:r>
          </w:p>
        </w:tc>
      </w:tr>
      <w:tr w:rsidR="00A401EA" w:rsidRPr="00C41C12" w:rsidTr="00A401EA">
        <w:tc>
          <w:tcPr>
            <w:tcW w:w="9287" w:type="dxa"/>
            <w:gridSpan w:val="2"/>
          </w:tcPr>
          <w:p w:rsidR="00A401EA" w:rsidRPr="00C41C12" w:rsidRDefault="00A401EA" w:rsidP="00A401EA">
            <w:pPr>
              <w:pStyle w:val="Figurecaption"/>
            </w:pPr>
            <w:r w:rsidRPr="00C41C12">
              <w:t>Figure 3. Building B: (a) Typical floor plan showing location of stairs, and (b) Sensor array</w:t>
            </w:r>
          </w:p>
        </w:tc>
      </w:tr>
    </w:tbl>
    <w:p w:rsidR="00D51483" w:rsidRPr="00C41C12" w:rsidRDefault="006F09A4" w:rsidP="00D51483">
      <w:r w:rsidRPr="00C41C12">
        <w:t>B</w:t>
      </w:r>
      <w:r w:rsidR="00872EFE" w:rsidRPr="00C41C12">
        <w:t>uilding B</w:t>
      </w:r>
      <w:r w:rsidR="00D51483" w:rsidRPr="00C41C12">
        <w:t xml:space="preserve"> is a </w:t>
      </w:r>
      <w:r w:rsidR="00751301">
        <w:t>three</w:t>
      </w:r>
      <w:r w:rsidR="00D51483" w:rsidRPr="00C41C12">
        <w:t xml:space="preserve"> storey RC building with a basement. </w:t>
      </w:r>
      <w:r w:rsidRPr="00C41C12">
        <w:t>The f</w:t>
      </w:r>
      <w:r w:rsidR="00D51483" w:rsidRPr="00C41C12">
        <w:t xml:space="preserve">loor plan is rectangular and structural system consists of beam-column frames. Floor heights, </w:t>
      </w:r>
      <w:r w:rsidRPr="00C41C12">
        <w:t>frame</w:t>
      </w:r>
      <w:r w:rsidR="00334FBA" w:rsidRPr="00C41C12">
        <w:t xml:space="preserve"> pattern, </w:t>
      </w:r>
      <w:r w:rsidR="00D51483" w:rsidRPr="00C41C12">
        <w:t>the sizes of beams, columns, slabs, tie beams</w:t>
      </w:r>
      <w:r w:rsidRPr="00C41C12">
        <w:t>, roof</w:t>
      </w:r>
      <w:r w:rsidR="00D51483" w:rsidRPr="00C41C12">
        <w:t xml:space="preserve"> and foundat</w:t>
      </w:r>
      <w:r w:rsidR="00872EFE" w:rsidRPr="00C41C12">
        <w:t>ions are the same as that of</w:t>
      </w:r>
      <w:r w:rsidR="00D51483" w:rsidRPr="00C41C12">
        <w:t xml:space="preserve"> building </w:t>
      </w:r>
      <w:r w:rsidR="00872EFE" w:rsidRPr="00C41C12">
        <w:t xml:space="preserve">A </w:t>
      </w:r>
      <w:r w:rsidR="00D51483" w:rsidRPr="00C41C12">
        <w:t>but there are more frames in longitudinal direction</w:t>
      </w:r>
      <w:r w:rsidR="0072477F" w:rsidRPr="00C41C12">
        <w:t xml:space="preserve"> </w:t>
      </w:r>
      <w:r w:rsidR="00D51483" w:rsidRPr="00C41C12">
        <w:t>(Fig</w:t>
      </w:r>
      <w:r w:rsidR="00872EFE" w:rsidRPr="00C41C12">
        <w:t>. 3(a)</w:t>
      </w:r>
      <w:r w:rsidR="00D51483" w:rsidRPr="00C41C12">
        <w:t xml:space="preserve">). </w:t>
      </w:r>
      <w:r w:rsidRPr="00C41C12">
        <w:t>The</w:t>
      </w:r>
      <w:r w:rsidR="00D51483" w:rsidRPr="00C41C12">
        <w:t xml:space="preserve"> longitudinal direction is 56m in comparison to 44m of building</w:t>
      </w:r>
      <w:r w:rsidR="00872EFE" w:rsidRPr="00C41C12">
        <w:t xml:space="preserve"> A</w:t>
      </w:r>
      <w:r w:rsidR="00D51483" w:rsidRPr="00C41C12">
        <w:t xml:space="preserve">. Contrary to </w:t>
      </w:r>
      <w:r w:rsidR="00872EFE" w:rsidRPr="00C41C12">
        <w:t>building A</w:t>
      </w:r>
      <w:r w:rsidR="00D51483" w:rsidRPr="00C41C12">
        <w:t xml:space="preserve">, there is no shear core present in </w:t>
      </w:r>
      <w:r w:rsidR="0072477F" w:rsidRPr="00C41C12">
        <w:t>th</w:t>
      </w:r>
      <w:r w:rsidR="00897893" w:rsidRPr="00C41C12">
        <w:t>is</w:t>
      </w:r>
      <w:r w:rsidR="0072477F" w:rsidRPr="00C41C12">
        <w:t xml:space="preserve"> </w:t>
      </w:r>
      <w:r w:rsidR="00872EFE" w:rsidRPr="00C41C12">
        <w:t>building</w:t>
      </w:r>
      <w:r w:rsidR="00D51483" w:rsidRPr="00C41C12">
        <w:t>. It is instrumented with four tri-axial accelerometers. Two of which are fixed at the roof level and two at the base level. Figure 3</w:t>
      </w:r>
      <w:r w:rsidR="00872EFE" w:rsidRPr="00C41C12">
        <w:t>(b)</w:t>
      </w:r>
      <w:r w:rsidR="00D51483" w:rsidRPr="00C41C12">
        <w:t xml:space="preserve"> show</w:t>
      </w:r>
      <w:r w:rsidRPr="00C41C12">
        <w:t>s</w:t>
      </w:r>
      <w:r w:rsidR="00D51483" w:rsidRPr="00C41C12">
        <w:t xml:space="preserve"> the sensor locations and their sensitive axes directions.</w:t>
      </w:r>
    </w:p>
    <w:p w:rsidR="003C4245" w:rsidRPr="00C41C12" w:rsidRDefault="003C4245" w:rsidP="003C4245">
      <w:pPr>
        <w:pStyle w:val="Heading2"/>
      </w:pPr>
      <w:r w:rsidRPr="00C41C12">
        <w:t xml:space="preserve">Earthquake </w:t>
      </w:r>
      <w:r w:rsidR="003E5FDC" w:rsidRPr="00C41C12">
        <w:t>selection criteria</w:t>
      </w:r>
    </w:p>
    <w:p w:rsidR="00197B3D" w:rsidRPr="00C41C12" w:rsidRDefault="003C4245" w:rsidP="003C4245">
      <w:r w:rsidRPr="00C41C12">
        <w:t>For this study, 50 earthquakes recorded on the building</w:t>
      </w:r>
      <w:r w:rsidR="00197B3D" w:rsidRPr="00C41C12">
        <w:t>s</w:t>
      </w:r>
      <w:r w:rsidRPr="00C41C12">
        <w:t xml:space="preserve"> </w:t>
      </w:r>
      <w:r w:rsidR="006F09A4" w:rsidRPr="00C41C12">
        <w:t xml:space="preserve">and </w:t>
      </w:r>
      <w:r w:rsidRPr="00C41C12">
        <w:t>which had epicentres within 200km from the building</w:t>
      </w:r>
      <w:r w:rsidR="00197B3D" w:rsidRPr="00C41C12">
        <w:t>s</w:t>
      </w:r>
      <w:r w:rsidR="006F09A4" w:rsidRPr="00C41C12">
        <w:t xml:space="preserve"> were selected</w:t>
      </w:r>
      <w:r w:rsidRPr="00C41C12">
        <w:t>. The reason for adopting this was to select earthquakes of such an intensity which can be recorded on the sensors and can shake the modes of interest quite well. The area surrounding the building</w:t>
      </w:r>
      <w:r w:rsidR="00197B3D" w:rsidRPr="00C41C12">
        <w:t>s</w:t>
      </w:r>
      <w:r w:rsidRPr="00C41C12">
        <w:t xml:space="preserve"> ha</w:t>
      </w:r>
      <w:r w:rsidR="00197B3D" w:rsidRPr="00C41C12">
        <w:t>d</w:t>
      </w:r>
      <w:r w:rsidRPr="00C41C12">
        <w:t xml:space="preserve"> not been hit by any strong earthquake since </w:t>
      </w:r>
      <w:r w:rsidR="00894179" w:rsidRPr="00C41C12">
        <w:t>their</w:t>
      </w:r>
      <w:r w:rsidRPr="00C41C12">
        <w:t xml:space="preserve"> instrumentation. Almost all of the 50 recorded earthquakes have Richter magnitude ranging from 3 to 5 except a very few that have more than 5</w:t>
      </w:r>
      <w:r w:rsidR="006F09A4" w:rsidRPr="00C41C12">
        <w:t>,</w:t>
      </w:r>
      <w:r w:rsidRPr="00C41C12">
        <w:t xml:space="preserve"> with 5.2 being the maximum recorded. This means that nearly all of the earthquakes fall into the category of low intensity except a very few that can be treated as moderate events.</w:t>
      </w:r>
    </w:p>
    <w:p w:rsidR="001170D0" w:rsidRPr="00C41C12" w:rsidRDefault="001170D0" w:rsidP="001170D0">
      <w:pPr>
        <w:pStyle w:val="Heading1"/>
      </w:pPr>
      <w:r w:rsidRPr="00C41C12">
        <w:lastRenderedPageBreak/>
        <w:t>Methodology</w:t>
      </w:r>
    </w:p>
    <w:p w:rsidR="0021139E" w:rsidRPr="00C41C12" w:rsidRDefault="0021139E" w:rsidP="0021139E">
      <w:pPr>
        <w:pStyle w:val="Heading2"/>
      </w:pPr>
      <w:r w:rsidRPr="00C41C12">
        <w:t>State-space subspace system identification technique</w:t>
      </w:r>
    </w:p>
    <w:p w:rsidR="003E5FDC" w:rsidRPr="00C41C12" w:rsidRDefault="008F40A0" w:rsidP="003E5FDC">
      <w:r w:rsidRPr="00C41C12">
        <w:t xml:space="preserve">In the time domain modal analysis, state-space </w:t>
      </w:r>
      <w:r w:rsidR="00A62EDF" w:rsidRPr="00C41C12">
        <w:t xml:space="preserve">subspace </w:t>
      </w:r>
      <w:r w:rsidRPr="00C41C12">
        <w:t>identification is considered to be the most powerful identification technique (</w:t>
      </w:r>
      <w:r w:rsidR="008D4165" w:rsidRPr="00C41C12">
        <w:t xml:space="preserve">Van </w:t>
      </w:r>
      <w:r w:rsidRPr="00C41C12">
        <w:t xml:space="preserve">Overschee &amp; </w:t>
      </w:r>
      <w:r w:rsidR="008D4165" w:rsidRPr="00C41C12">
        <w:t xml:space="preserve">De </w:t>
      </w:r>
      <w:r w:rsidRPr="00C41C12">
        <w:t xml:space="preserve">Moor 1994). After sampling of </w:t>
      </w:r>
      <w:r w:rsidR="0098137D" w:rsidRPr="00C41C12">
        <w:t xml:space="preserve">a </w:t>
      </w:r>
      <w:r w:rsidRPr="00C41C12">
        <w:t>continuous time state space model, the discrete time state space model can be written as:</w:t>
      </w:r>
    </w:p>
    <w:p w:rsidR="008F40A0" w:rsidRPr="00C41C12" w:rsidRDefault="001D7096" w:rsidP="00290525">
      <w:pPr>
        <w:pStyle w:val="Equation"/>
      </w:pPr>
      <m:oMath>
        <m:sSub>
          <m:sSubPr>
            <m:ctrlPr>
              <w:rPr>
                <w:rFonts w:ascii="Cambria Math" w:hAnsi="Cambria Math"/>
              </w:rPr>
            </m:ctrlPr>
          </m:sSubPr>
          <m:e>
            <m:r>
              <m:rPr>
                <m:sty m:val="bi"/>
              </m:rPr>
              <w:rPr>
                <w:rFonts w:ascii="Cambria Math" w:hAnsi="Cambria Math"/>
              </w:rPr>
              <m:t>x</m:t>
            </m:r>
          </m:e>
          <m:sub>
            <m:r>
              <w:rPr>
                <w:rFonts w:ascii="Cambria Math" w:hAnsi="Cambria Math"/>
              </w:rPr>
              <m:t>k</m:t>
            </m:r>
            <m:r>
              <m:rPr>
                <m:sty m:val="p"/>
              </m:rPr>
              <w:rPr>
                <w:rFonts w:ascii="Cambria Math" w:hAnsi="Cambria Math"/>
              </w:rPr>
              <m:t>+1</m:t>
            </m:r>
          </m:sub>
        </m:sSub>
        <m:r>
          <m:rPr>
            <m:sty m:val="p"/>
          </m:rPr>
          <w:rPr>
            <w:rFonts w:ascii="Cambria Math" w:hAnsi="Cambria Math"/>
          </w:rPr>
          <m:t>=</m:t>
        </m:r>
        <m:r>
          <m:rPr>
            <m:sty m:val="bi"/>
          </m:rPr>
          <w:rPr>
            <w:rFonts w:ascii="Cambria Math" w:hAnsi="Cambria Math"/>
          </w:rPr>
          <m:t>A</m:t>
        </m:r>
        <m:sSub>
          <m:sSubPr>
            <m:ctrlPr>
              <w:rPr>
                <w:rFonts w:ascii="Cambria Math" w:hAnsi="Cambria Math"/>
              </w:rPr>
            </m:ctrlPr>
          </m:sSubPr>
          <m:e>
            <m:r>
              <m:rPr>
                <m:sty m:val="bi"/>
              </m:rPr>
              <w:rPr>
                <w:rFonts w:ascii="Cambria Math" w:hAnsi="Cambria Math"/>
              </w:rPr>
              <m:t>x</m:t>
            </m:r>
          </m:e>
          <m:sub>
            <m:r>
              <w:rPr>
                <w:rFonts w:ascii="Cambria Math" w:hAnsi="Cambria Math"/>
              </w:rPr>
              <m:t>k</m:t>
            </m:r>
          </m:sub>
        </m:sSub>
        <m:r>
          <m:rPr>
            <m:sty m:val="p"/>
          </m:rPr>
          <w:rPr>
            <w:rFonts w:ascii="Cambria Math" w:hAnsi="Cambria Math"/>
          </w:rPr>
          <m:t>+</m:t>
        </m:r>
        <m:r>
          <m:rPr>
            <m:sty m:val="bi"/>
          </m:rPr>
          <w:rPr>
            <w:rFonts w:ascii="Cambria Math" w:hAnsi="Cambria Math"/>
          </w:rPr>
          <m:t>B</m:t>
        </m:r>
        <m:sSub>
          <m:sSubPr>
            <m:ctrlPr>
              <w:rPr>
                <w:rFonts w:ascii="Cambria Math" w:hAnsi="Cambria Math"/>
              </w:rPr>
            </m:ctrlPr>
          </m:sSubPr>
          <m:e>
            <m:r>
              <m:rPr>
                <m:sty m:val="bi"/>
              </m:rPr>
              <w:rPr>
                <w:rFonts w:ascii="Cambria Math" w:hAnsi="Cambria Math"/>
              </w:rPr>
              <m:t>u</m:t>
            </m:r>
          </m:e>
          <m:sub>
            <m:r>
              <w:rPr>
                <w:rFonts w:ascii="Cambria Math" w:hAnsi="Cambria Math"/>
              </w:rPr>
              <m:t>k</m:t>
            </m:r>
          </m:sub>
        </m:sSub>
        <m:r>
          <m:rPr>
            <m:sty m:val="p"/>
          </m:rPr>
          <w:rPr>
            <w:rFonts w:ascii="Cambria Math" w:hAnsi="Cambria Math"/>
          </w:rPr>
          <m:t xml:space="preserve">                                                                                                                                 (1)</m:t>
        </m:r>
      </m:oMath>
      <w:r w:rsidR="007F0492" w:rsidRPr="00C41C12">
        <w:t xml:space="preserve"> </w:t>
      </w:r>
    </w:p>
    <w:p w:rsidR="001E4C5C" w:rsidRPr="00C41C12" w:rsidRDefault="001D7096" w:rsidP="001E4C5C">
      <w:pPr>
        <w:pStyle w:val="Equation"/>
      </w:pPr>
      <m:oMath>
        <m:sSub>
          <m:sSubPr>
            <m:ctrlPr>
              <w:rPr>
                <w:rFonts w:ascii="Cambria Math" w:hAnsi="Cambria Math"/>
              </w:rPr>
            </m:ctrlPr>
          </m:sSubPr>
          <m:e>
            <m:r>
              <m:rPr>
                <m:sty m:val="bi"/>
              </m:rPr>
              <w:rPr>
                <w:rFonts w:ascii="Cambria Math" w:hAnsi="Cambria Math"/>
              </w:rPr>
              <m:t>y</m:t>
            </m:r>
          </m:e>
          <m:sub>
            <m:r>
              <w:rPr>
                <w:rFonts w:ascii="Cambria Math" w:hAnsi="Cambria Math"/>
              </w:rPr>
              <m:t>k</m:t>
            </m:r>
          </m:sub>
        </m:sSub>
        <m:r>
          <m:rPr>
            <m:sty m:val="p"/>
          </m:rPr>
          <w:rPr>
            <w:rFonts w:ascii="Cambria Math" w:hAnsi="Cambria Math"/>
          </w:rPr>
          <m:t>=</m:t>
        </m:r>
        <m:r>
          <m:rPr>
            <m:sty m:val="bi"/>
          </m:rPr>
          <w:rPr>
            <w:rFonts w:ascii="Cambria Math" w:hAnsi="Cambria Math"/>
          </w:rPr>
          <m:t>C</m:t>
        </m:r>
        <m:sSub>
          <m:sSubPr>
            <m:ctrlPr>
              <w:rPr>
                <w:rFonts w:ascii="Cambria Math" w:hAnsi="Cambria Math"/>
              </w:rPr>
            </m:ctrlPr>
          </m:sSubPr>
          <m:e>
            <m:r>
              <m:rPr>
                <m:sty m:val="bi"/>
              </m:rPr>
              <w:rPr>
                <w:rFonts w:ascii="Cambria Math" w:hAnsi="Cambria Math"/>
              </w:rPr>
              <m:t>x</m:t>
            </m:r>
          </m:e>
          <m:sub>
            <m:r>
              <w:rPr>
                <w:rFonts w:ascii="Cambria Math" w:hAnsi="Cambria Math"/>
              </w:rPr>
              <m:t>k</m:t>
            </m:r>
          </m:sub>
        </m:sSub>
        <m:r>
          <m:rPr>
            <m:sty m:val="p"/>
          </m:rPr>
          <w:rPr>
            <w:rFonts w:ascii="Cambria Math" w:hAnsi="Cambria Math"/>
          </w:rPr>
          <m:t>+</m:t>
        </m:r>
        <m:r>
          <m:rPr>
            <m:sty m:val="bi"/>
          </m:rPr>
          <w:rPr>
            <w:rFonts w:ascii="Cambria Math" w:hAnsi="Cambria Math"/>
          </w:rPr>
          <m:t>D</m:t>
        </m:r>
        <m:sSub>
          <m:sSubPr>
            <m:ctrlPr>
              <w:rPr>
                <w:rFonts w:ascii="Cambria Math" w:hAnsi="Cambria Math"/>
              </w:rPr>
            </m:ctrlPr>
          </m:sSubPr>
          <m:e>
            <m:r>
              <m:rPr>
                <m:sty m:val="bi"/>
              </m:rPr>
              <w:rPr>
                <w:rFonts w:ascii="Cambria Math" w:hAnsi="Cambria Math"/>
              </w:rPr>
              <m:t>u</m:t>
            </m:r>
          </m:e>
          <m:sub>
            <m:r>
              <w:rPr>
                <w:rFonts w:ascii="Cambria Math" w:hAnsi="Cambria Math"/>
              </w:rPr>
              <m:t>k</m:t>
            </m:r>
          </m:sub>
        </m:sSub>
        <m:r>
          <m:rPr>
            <m:sty m:val="p"/>
          </m:rPr>
          <w:rPr>
            <w:rFonts w:ascii="Cambria Math" w:hAnsi="Cambria Math"/>
          </w:rPr>
          <m:t xml:space="preserve">                                                                                                                                     (2)</m:t>
        </m:r>
      </m:oMath>
      <w:r w:rsidR="007F0492" w:rsidRPr="00C41C12">
        <w:t xml:space="preserve"> </w:t>
      </w:r>
    </w:p>
    <w:p w:rsidR="008F40A0" w:rsidRPr="00C41C12" w:rsidRDefault="008F40A0" w:rsidP="008F40A0">
      <w:r w:rsidRPr="00C41C12">
        <w:t xml:space="preserve">where </w:t>
      </w:r>
      <w:r w:rsidRPr="00C41C12">
        <w:rPr>
          <w:b/>
          <w:i/>
        </w:rPr>
        <w:t>A</w:t>
      </w:r>
      <w:r w:rsidRPr="00C41C12">
        <w:t xml:space="preserve">, </w:t>
      </w:r>
      <w:r w:rsidRPr="00C41C12">
        <w:rPr>
          <w:b/>
          <w:i/>
        </w:rPr>
        <w:t>B</w:t>
      </w:r>
      <w:r w:rsidRPr="00C41C12">
        <w:t xml:space="preserve">, </w:t>
      </w:r>
      <w:r w:rsidRPr="00C41C12">
        <w:rPr>
          <w:b/>
          <w:i/>
        </w:rPr>
        <w:t>C</w:t>
      </w:r>
      <w:r w:rsidRPr="00C41C12">
        <w:t xml:space="preserve"> and </w:t>
      </w:r>
      <w:r w:rsidRPr="00C41C12">
        <w:rPr>
          <w:b/>
          <w:i/>
        </w:rPr>
        <w:t>D</w:t>
      </w:r>
      <w:r w:rsidRPr="00C41C12">
        <w:t xml:space="preserve"> are the discrete state, input, output and control matrices respectively, whereas </w:t>
      </w:r>
      <w:r w:rsidRPr="00C41C12">
        <w:rPr>
          <w:b/>
          <w:i/>
        </w:rPr>
        <w:t>u</w:t>
      </w:r>
      <w:r w:rsidRPr="00C41C12">
        <w:rPr>
          <w:i/>
          <w:vertAlign w:val="subscript"/>
        </w:rPr>
        <w:t>k</w:t>
      </w:r>
      <w:r w:rsidRPr="00C41C12">
        <w:rPr>
          <w:b/>
          <w:i/>
        </w:rPr>
        <w:t xml:space="preserve"> </w:t>
      </w:r>
      <w:r w:rsidRPr="00C41C12">
        <w:t xml:space="preserve">is the excitation vector and </w:t>
      </w:r>
      <w:r w:rsidRPr="00C41C12">
        <w:rPr>
          <w:b/>
          <w:i/>
        </w:rPr>
        <w:t>x</w:t>
      </w:r>
      <w:r w:rsidRPr="00C41C12">
        <w:rPr>
          <w:i/>
          <w:vertAlign w:val="subscript"/>
        </w:rPr>
        <w:t>k</w:t>
      </w:r>
      <w:r w:rsidRPr="00C41C12">
        <w:t xml:space="preserve">, </w:t>
      </w:r>
      <w:r w:rsidRPr="00C41C12">
        <w:rPr>
          <w:i/>
          <w:vertAlign w:val="subscript"/>
        </w:rPr>
        <w:t>,</w:t>
      </w:r>
      <w:r w:rsidRPr="00C41C12">
        <w:rPr>
          <w:b/>
          <w:i/>
        </w:rPr>
        <w:t>y</w:t>
      </w:r>
      <w:r w:rsidRPr="00C41C12">
        <w:rPr>
          <w:i/>
          <w:vertAlign w:val="subscript"/>
        </w:rPr>
        <w:t>k</w:t>
      </w:r>
      <w:r w:rsidRPr="00C41C12">
        <w:t xml:space="preserve"> are </w:t>
      </w:r>
      <w:r w:rsidR="00A62EDF" w:rsidRPr="00C41C12">
        <w:t xml:space="preserve">the </w:t>
      </w:r>
      <w:r w:rsidRPr="00C41C12">
        <w:t>discrete time state and output vectors</w:t>
      </w:r>
      <w:r w:rsidR="0098137D" w:rsidRPr="00C41C12">
        <w:t>,</w:t>
      </w:r>
      <w:r w:rsidRPr="00C41C12">
        <w:t xml:space="preserve"> respectively. In reality</w:t>
      </w:r>
      <w:r w:rsidR="0098137D" w:rsidRPr="00C41C12">
        <w:t>,</w:t>
      </w:r>
      <w:r w:rsidRPr="00C41C12">
        <w:t xml:space="preserve"> there are always process and measurement noises present so adding these to the above equations result in:</w:t>
      </w:r>
    </w:p>
    <w:p w:rsidR="008F40A0" w:rsidRPr="00C41C12" w:rsidRDefault="001D7096" w:rsidP="008D4165">
      <w:pPr>
        <w:pStyle w:val="Equation"/>
      </w:pPr>
      <m:oMath>
        <m:sSub>
          <m:sSubPr>
            <m:ctrlPr>
              <w:rPr>
                <w:rFonts w:ascii="Cambria Math" w:hAnsi="Cambria Math"/>
                <w:i/>
              </w:rPr>
            </m:ctrlPr>
          </m:sSubPr>
          <m:e>
            <m:r>
              <m:rPr>
                <m:sty m:val="bi"/>
              </m:rPr>
              <w:rPr>
                <w:rFonts w:ascii="Cambria Math" w:hAnsi="Cambria Math"/>
              </w:rPr>
              <m:t>x</m:t>
            </m:r>
          </m:e>
          <m:sub>
            <m:r>
              <w:rPr>
                <w:rFonts w:ascii="Cambria Math" w:hAnsi="Cambria Math"/>
              </w:rPr>
              <m:t>k+1</m:t>
            </m:r>
          </m:sub>
        </m:sSub>
        <m:r>
          <w:rPr>
            <w:rFonts w:ascii="Cambria Math" w:hAnsi="Cambria Math"/>
          </w:rPr>
          <m:t>=</m:t>
        </m:r>
        <m:r>
          <m:rPr>
            <m:sty m:val="bi"/>
          </m:rPr>
          <w:rPr>
            <w:rFonts w:ascii="Cambria Math" w:hAnsi="Cambria Math"/>
          </w:rPr>
          <m:t>A</m:t>
        </m:r>
        <m:sSub>
          <m:sSubPr>
            <m:ctrlPr>
              <w:rPr>
                <w:rFonts w:ascii="Cambria Math" w:hAnsi="Cambria Math"/>
                <w:i/>
              </w:rPr>
            </m:ctrlPr>
          </m:sSubPr>
          <m:e>
            <m:r>
              <m:rPr>
                <m:sty m:val="bi"/>
              </m:rPr>
              <w:rPr>
                <w:rFonts w:ascii="Cambria Math" w:hAnsi="Cambria Math"/>
              </w:rPr>
              <m:t>x</m:t>
            </m:r>
          </m:e>
          <m:sub>
            <m:r>
              <w:rPr>
                <w:rFonts w:ascii="Cambria Math" w:hAnsi="Cambria Math"/>
              </w:rPr>
              <m:t>k</m:t>
            </m:r>
          </m:sub>
        </m:sSub>
        <m:r>
          <w:rPr>
            <w:rFonts w:ascii="Cambria Math" w:hAnsi="Cambria Math"/>
          </w:rPr>
          <m:t>+</m:t>
        </m:r>
        <m:r>
          <m:rPr>
            <m:sty m:val="bi"/>
          </m:rPr>
          <w:rPr>
            <w:rFonts w:ascii="Cambria Math" w:hAnsi="Cambria Math"/>
          </w:rPr>
          <m:t>B</m:t>
        </m:r>
        <m:sSub>
          <m:sSubPr>
            <m:ctrlPr>
              <w:rPr>
                <w:rFonts w:ascii="Cambria Math" w:hAnsi="Cambria Math"/>
                <w:i/>
              </w:rPr>
            </m:ctrlPr>
          </m:sSubPr>
          <m:e>
            <m:r>
              <m:rPr>
                <m:sty m:val="bi"/>
              </m:rPr>
              <w:rPr>
                <w:rFonts w:ascii="Cambria Math" w:hAnsi="Cambria Math"/>
              </w:rPr>
              <m:t>u</m:t>
            </m:r>
          </m:e>
          <m:sub>
            <m:r>
              <w:rPr>
                <w:rFonts w:ascii="Cambria Math" w:hAnsi="Cambria Math"/>
              </w:rPr>
              <m:t>k</m:t>
            </m:r>
          </m:sub>
        </m:sSub>
        <m:r>
          <w:rPr>
            <w:rFonts w:ascii="Cambria Math" w:hAnsi="Cambria Math"/>
          </w:rPr>
          <m:t>+</m:t>
        </m:r>
        <m:sSub>
          <m:sSubPr>
            <m:ctrlPr>
              <w:rPr>
                <w:rFonts w:ascii="Cambria Math" w:hAnsi="Cambria Math"/>
                <w:i/>
              </w:rPr>
            </m:ctrlPr>
          </m:sSubPr>
          <m:e>
            <m:r>
              <m:rPr>
                <m:sty m:val="bi"/>
              </m:rPr>
              <w:rPr>
                <w:rFonts w:ascii="Cambria Math" w:hAnsi="Cambria Math"/>
              </w:rPr>
              <m:t>w</m:t>
            </m:r>
          </m:e>
          <m:sub>
            <m:r>
              <w:rPr>
                <w:rFonts w:ascii="Cambria Math" w:hAnsi="Cambria Math"/>
              </w:rPr>
              <m:t>k</m:t>
            </m:r>
          </m:sub>
        </m:sSub>
        <m:r>
          <w:rPr>
            <w:rFonts w:ascii="Cambria Math" w:hAnsi="Cambria Math"/>
          </w:rPr>
          <m:t xml:space="preserve">                                                                                                                     (3)</m:t>
        </m:r>
      </m:oMath>
      <w:r w:rsidR="007F0492" w:rsidRPr="00C41C12">
        <w:t xml:space="preserve"> </w:t>
      </w:r>
    </w:p>
    <w:p w:rsidR="008D4165" w:rsidRPr="00C41C12" w:rsidRDefault="001D7096" w:rsidP="008D4165">
      <w:pPr>
        <w:pStyle w:val="Equation"/>
      </w:pPr>
      <m:oMath>
        <m:sSub>
          <m:sSubPr>
            <m:ctrlPr>
              <w:rPr>
                <w:rFonts w:ascii="Cambria Math" w:hAnsi="Cambria Math"/>
                <w:i/>
              </w:rPr>
            </m:ctrlPr>
          </m:sSubPr>
          <m:e>
            <m:r>
              <m:rPr>
                <m:sty m:val="bi"/>
              </m:rPr>
              <w:rPr>
                <w:rFonts w:ascii="Cambria Math" w:hAnsi="Cambria Math"/>
              </w:rPr>
              <m:t>y</m:t>
            </m:r>
          </m:e>
          <m:sub>
            <m:r>
              <w:rPr>
                <w:rFonts w:ascii="Cambria Math" w:hAnsi="Cambria Math"/>
              </w:rPr>
              <m:t>k</m:t>
            </m:r>
          </m:sub>
        </m:sSub>
        <m:r>
          <w:rPr>
            <w:rFonts w:ascii="Cambria Math" w:hAnsi="Cambria Math"/>
          </w:rPr>
          <m:t>=</m:t>
        </m:r>
        <m:r>
          <m:rPr>
            <m:sty m:val="bi"/>
          </m:rPr>
          <w:rPr>
            <w:rFonts w:ascii="Cambria Math" w:hAnsi="Cambria Math"/>
          </w:rPr>
          <m:t>C</m:t>
        </m:r>
        <m:sSub>
          <m:sSubPr>
            <m:ctrlPr>
              <w:rPr>
                <w:rFonts w:ascii="Cambria Math" w:hAnsi="Cambria Math"/>
                <w:i/>
              </w:rPr>
            </m:ctrlPr>
          </m:sSubPr>
          <m:e>
            <m:r>
              <m:rPr>
                <m:sty m:val="bi"/>
              </m:rPr>
              <w:rPr>
                <w:rFonts w:ascii="Cambria Math" w:hAnsi="Cambria Math"/>
              </w:rPr>
              <m:t>x</m:t>
            </m:r>
          </m:e>
          <m:sub>
            <m:r>
              <w:rPr>
                <w:rFonts w:ascii="Cambria Math" w:hAnsi="Cambria Math"/>
              </w:rPr>
              <m:t>k</m:t>
            </m:r>
          </m:sub>
        </m:sSub>
        <m:r>
          <w:rPr>
            <w:rFonts w:ascii="Cambria Math" w:hAnsi="Cambria Math"/>
          </w:rPr>
          <m:t>+</m:t>
        </m:r>
        <m:r>
          <m:rPr>
            <m:sty m:val="bi"/>
          </m:rPr>
          <w:rPr>
            <w:rFonts w:ascii="Cambria Math" w:hAnsi="Cambria Math"/>
          </w:rPr>
          <m:t>D</m:t>
        </m:r>
        <m:sSub>
          <m:sSubPr>
            <m:ctrlPr>
              <w:rPr>
                <w:rFonts w:ascii="Cambria Math" w:hAnsi="Cambria Math"/>
                <w:i/>
              </w:rPr>
            </m:ctrlPr>
          </m:sSubPr>
          <m:e>
            <m:r>
              <m:rPr>
                <m:sty m:val="bi"/>
              </m:rPr>
              <w:rPr>
                <w:rFonts w:ascii="Cambria Math" w:hAnsi="Cambria Math"/>
              </w:rPr>
              <m:t>u</m:t>
            </m:r>
          </m:e>
          <m:sub>
            <m:r>
              <w:rPr>
                <w:rFonts w:ascii="Cambria Math" w:hAnsi="Cambria Math"/>
              </w:rPr>
              <m:t>k</m:t>
            </m:r>
          </m:sub>
        </m:sSub>
        <m:r>
          <w:rPr>
            <w:rFonts w:ascii="Cambria Math" w:hAnsi="Cambria Math"/>
          </w:rPr>
          <m:t>+</m:t>
        </m:r>
        <m:sSub>
          <m:sSubPr>
            <m:ctrlPr>
              <w:rPr>
                <w:rFonts w:ascii="Cambria Math" w:hAnsi="Cambria Math"/>
                <w:i/>
              </w:rPr>
            </m:ctrlPr>
          </m:sSubPr>
          <m:e>
            <m:r>
              <m:rPr>
                <m:sty m:val="bi"/>
              </m:rPr>
              <w:rPr>
                <w:rFonts w:ascii="Cambria Math" w:hAnsi="Cambria Math"/>
              </w:rPr>
              <m:t>v</m:t>
            </m:r>
          </m:e>
          <m:sub>
            <m:r>
              <w:rPr>
                <w:rFonts w:ascii="Cambria Math" w:hAnsi="Cambria Math"/>
              </w:rPr>
              <m:t>k</m:t>
            </m:r>
          </m:sub>
        </m:sSub>
        <m:r>
          <w:rPr>
            <w:rFonts w:ascii="Cambria Math" w:hAnsi="Cambria Math"/>
          </w:rPr>
          <m:t xml:space="preserve">                                                                                                                          (4)</m:t>
        </m:r>
      </m:oMath>
      <w:r w:rsidR="007F0492" w:rsidRPr="00C41C12">
        <w:t xml:space="preserve"> </w:t>
      </w:r>
    </w:p>
    <w:p w:rsidR="008F40A0" w:rsidRPr="00C41C12" w:rsidRDefault="008F40A0" w:rsidP="008F40A0">
      <w:r w:rsidRPr="00C41C12">
        <w:t xml:space="preserve">Here </w:t>
      </w:r>
      <w:r w:rsidRPr="00C41C12">
        <w:rPr>
          <w:b/>
          <w:i/>
        </w:rPr>
        <w:t>w</w:t>
      </w:r>
      <w:r w:rsidRPr="00C41C12">
        <w:rPr>
          <w:i/>
          <w:vertAlign w:val="subscript"/>
        </w:rPr>
        <w:t>k</w:t>
      </w:r>
      <w:r w:rsidRPr="00C41C12">
        <w:t xml:space="preserve"> and </w:t>
      </w:r>
      <w:r w:rsidRPr="00C41C12">
        <w:rPr>
          <w:b/>
          <w:i/>
        </w:rPr>
        <w:t>v</w:t>
      </w:r>
      <w:r w:rsidRPr="00C41C12">
        <w:rPr>
          <w:i/>
          <w:vertAlign w:val="subscript"/>
        </w:rPr>
        <w:t>k</w:t>
      </w:r>
      <w:r w:rsidRPr="00C41C12">
        <w:t xml:space="preserve"> are th</w:t>
      </w:r>
      <w:r w:rsidR="0098137D" w:rsidRPr="00C41C12">
        <w:t>e process and measurement noise,</w:t>
      </w:r>
      <w:r w:rsidRPr="00C41C12">
        <w:t xml:space="preserve"> respectively. The data from output </w:t>
      </w:r>
      <w:r w:rsidRPr="00C41C12">
        <w:rPr>
          <w:b/>
          <w:i/>
        </w:rPr>
        <w:t>y</w:t>
      </w:r>
      <w:r w:rsidRPr="00C41C12">
        <w:rPr>
          <w:b/>
          <w:i/>
          <w:vertAlign w:val="subscript"/>
        </w:rPr>
        <w:t>k</w:t>
      </w:r>
      <w:r w:rsidRPr="00C41C12">
        <w:t xml:space="preserve"> and/or input </w:t>
      </w:r>
      <w:r w:rsidRPr="00C41C12">
        <w:rPr>
          <w:b/>
          <w:i/>
        </w:rPr>
        <w:t>x</w:t>
      </w:r>
      <w:r w:rsidRPr="00C41C12">
        <w:rPr>
          <w:b/>
          <w:i/>
          <w:vertAlign w:val="subscript"/>
        </w:rPr>
        <w:t>k</w:t>
      </w:r>
      <w:r w:rsidRPr="00C41C12">
        <w:t xml:space="preserve"> is assembled in a block Hankel matrix, which is defined as a gathering of a family of matrices that are created by shifting the data matrices</w:t>
      </w:r>
      <w:r w:rsidR="0098137D" w:rsidRPr="00C41C12">
        <w:t xml:space="preserve"> in time</w:t>
      </w:r>
      <w:r w:rsidRPr="00C41C12">
        <w:t>.</w:t>
      </w:r>
      <w:r w:rsidR="00A62EDF" w:rsidRPr="00C41C12">
        <w:t xml:space="preserve"> </w:t>
      </w:r>
      <w:r w:rsidRPr="00C41C12">
        <w:t>After this</w:t>
      </w:r>
      <w:r w:rsidR="0098137D" w:rsidRPr="00C41C12">
        <w:t>,</w:t>
      </w:r>
      <w:r w:rsidRPr="00C41C12">
        <w:t xml:space="preserve"> the identification involves two steps. The first step takes projections of certain subspaces calculated from input and output observations (in block Hankel matrix) to estimate the state sequence of the system. This is usually achieved using singular value decomposition (SVD) and QR decomposition. In the second step, a least square problem is solved to estimate the system matrices </w:t>
      </w:r>
      <w:r w:rsidRPr="00C41C12">
        <w:rPr>
          <w:b/>
          <w:i/>
        </w:rPr>
        <w:t>A</w:t>
      </w:r>
      <w:r w:rsidRPr="00C41C12">
        <w:t xml:space="preserve">, </w:t>
      </w:r>
      <w:r w:rsidRPr="00C41C12">
        <w:rPr>
          <w:b/>
          <w:i/>
        </w:rPr>
        <w:t>B</w:t>
      </w:r>
      <w:r w:rsidRPr="00C41C12">
        <w:t xml:space="preserve">, </w:t>
      </w:r>
      <w:r w:rsidRPr="00C41C12">
        <w:rPr>
          <w:b/>
          <w:i/>
        </w:rPr>
        <w:t>C</w:t>
      </w:r>
      <w:r w:rsidRPr="00C41C12">
        <w:t xml:space="preserve"> and </w:t>
      </w:r>
      <w:r w:rsidRPr="00C41C12">
        <w:rPr>
          <w:b/>
          <w:i/>
        </w:rPr>
        <w:t>D</w:t>
      </w:r>
      <w:r w:rsidRPr="00C41C12">
        <w:t>. Then the modal parameters, i.e. frequencies</w:t>
      </w:r>
      <w:r w:rsidR="0098137D" w:rsidRPr="00C41C12">
        <w:t>,</w:t>
      </w:r>
      <w:r w:rsidRPr="00C41C12">
        <w:t xml:space="preserve"> damping ratios</w:t>
      </w:r>
      <w:r w:rsidR="0098137D" w:rsidRPr="00C41C12">
        <w:t xml:space="preserve"> and mode shapes</w:t>
      </w:r>
      <w:r w:rsidRPr="00C41C12">
        <w:t xml:space="preserve">, are found by eigenvalue decomposition of the system matrix </w:t>
      </w:r>
      <w:r w:rsidRPr="00C41C12">
        <w:rPr>
          <w:b/>
          <w:i/>
        </w:rPr>
        <w:t>A</w:t>
      </w:r>
      <w:r w:rsidRPr="00C41C12">
        <w:t>. Further details of the identification process can be found elsewhere (</w:t>
      </w:r>
      <w:r w:rsidR="008D4165" w:rsidRPr="00C41C12">
        <w:t xml:space="preserve">Van </w:t>
      </w:r>
      <w:r w:rsidRPr="00C41C12">
        <w:t xml:space="preserve">Overschee &amp; </w:t>
      </w:r>
      <w:r w:rsidR="008D4165" w:rsidRPr="00C41C12">
        <w:t xml:space="preserve">De </w:t>
      </w:r>
      <w:r w:rsidRPr="00C41C12">
        <w:t>Moor 1996).</w:t>
      </w:r>
    </w:p>
    <w:p w:rsidR="0021139E" w:rsidRPr="00C41C12" w:rsidRDefault="0021139E" w:rsidP="0021139E">
      <w:pPr>
        <w:pStyle w:val="Heading2"/>
      </w:pPr>
      <w:r w:rsidRPr="00C41C12">
        <w:t xml:space="preserve">Application of </w:t>
      </w:r>
      <w:r w:rsidR="001E4C5C" w:rsidRPr="00C41C12">
        <w:t>s</w:t>
      </w:r>
      <w:r w:rsidRPr="00C41C12">
        <w:t>tate-space subspace system identification technique</w:t>
      </w:r>
      <w:r w:rsidR="0098137D" w:rsidRPr="00C41C12">
        <w:t xml:space="preserve"> to the instrument</w:t>
      </w:r>
      <w:r w:rsidR="00E85CF5">
        <w:t>ed</w:t>
      </w:r>
      <w:r w:rsidR="0098137D" w:rsidRPr="00C41C12">
        <w:t xml:space="preserve"> buildings</w:t>
      </w:r>
    </w:p>
    <w:p w:rsidR="001E4C5C" w:rsidRPr="00C41C12" w:rsidRDefault="001E4C5C" w:rsidP="001E4C5C">
      <w:r w:rsidRPr="00C41C12">
        <w:t>The state-space subspace identification technique derives state-space models for linear systems by applying the well-conditioned operations, like SVD</w:t>
      </w:r>
      <w:r w:rsidR="0098137D" w:rsidRPr="00C41C12">
        <w:t>,</w:t>
      </w:r>
      <w:r w:rsidRPr="00C41C12">
        <w:t xml:space="preserve"> to the block Hankel data matrices. </w:t>
      </w:r>
      <w:r w:rsidR="0021139E" w:rsidRPr="00C41C12">
        <w:t>In order to determine the proper system order, the trend of the estimated modal parameters in a stabilization chart</w:t>
      </w:r>
      <w:r w:rsidR="00BF56F7" w:rsidRPr="00C41C12">
        <w:t xml:space="preserve"> </w:t>
      </w:r>
      <w:r w:rsidR="0021139E" w:rsidRPr="00C41C12">
        <w:t xml:space="preserve">is observed. </w:t>
      </w:r>
      <w:r w:rsidR="00BF56F7" w:rsidRPr="00C41C12">
        <w:t>Stability tolerances are chosen based on the relative change in the modal properties of a given mode as the system order increases.</w:t>
      </w:r>
      <w:r w:rsidR="0098137D" w:rsidRPr="00C41C12">
        <w:t xml:space="preserve"> In this research, a</w:t>
      </w:r>
      <w:r w:rsidR="0021139E" w:rsidRPr="00C41C12">
        <w:t xml:space="preserve">n identified frequency was </w:t>
      </w:r>
      <w:r w:rsidR="0098137D" w:rsidRPr="00C41C12">
        <w:t>considered</w:t>
      </w:r>
      <w:r w:rsidR="0021139E" w:rsidRPr="00C41C12">
        <w:t xml:space="preserve"> to be stable if the absolute deviation between the </w:t>
      </w:r>
      <w:r w:rsidR="0098137D" w:rsidRPr="00C41C12">
        <w:t xml:space="preserve">frequency identified at the </w:t>
      </w:r>
      <w:r w:rsidR="0021139E" w:rsidRPr="00C41C12">
        <w:t xml:space="preserve">present and previous order was less than or equal to 0.01Hz. A stable damping ratio was defined by a deviation less than </w:t>
      </w:r>
      <w:r w:rsidRPr="00C41C12">
        <w:t xml:space="preserve">5%. For mode shapes stability, model assurance criterion (MAC) between the mode shapes of the present and previous orders was to be at least 95% or greater. MAC is an index </w:t>
      </w:r>
      <w:r w:rsidR="0098137D" w:rsidRPr="00C41C12">
        <w:t>that</w:t>
      </w:r>
      <w:r w:rsidRPr="00C41C12">
        <w:t xml:space="preserve"> determine</w:t>
      </w:r>
      <w:r w:rsidR="0098137D" w:rsidRPr="00C41C12">
        <w:t>s</w:t>
      </w:r>
      <w:r w:rsidRPr="00C41C12">
        <w:t xml:space="preserve"> the similarity between two mode shapes. For modes </w:t>
      </w:r>
      <w:r w:rsidRPr="00C41C12">
        <w:rPr>
          <w:b/>
          <w:i/>
        </w:rPr>
        <w:sym w:font="Symbol" w:char="F066"/>
      </w:r>
      <w:r w:rsidRPr="00C41C12">
        <w:rPr>
          <w:vertAlign w:val="subscript"/>
        </w:rPr>
        <w:t>i</w:t>
      </w:r>
      <w:r w:rsidRPr="00C41C12">
        <w:t xml:space="preserve"> and </w:t>
      </w:r>
      <w:r w:rsidRPr="00C41C12">
        <w:rPr>
          <w:b/>
          <w:i/>
        </w:rPr>
        <w:sym w:font="Symbol" w:char="F066"/>
      </w:r>
      <w:r w:rsidRPr="00C41C12">
        <w:rPr>
          <w:i/>
          <w:vertAlign w:val="subscript"/>
        </w:rPr>
        <w:t>j</w:t>
      </w:r>
      <w:r w:rsidRPr="00C41C12">
        <w:t xml:space="preserve"> the MAC is defined as</w:t>
      </w:r>
      <w:r w:rsidR="006B6040">
        <w:t xml:space="preserve"> (Ewins 2000)</w:t>
      </w:r>
      <w:r w:rsidRPr="00C41C12">
        <w:t>:</w:t>
      </w:r>
    </w:p>
    <w:p w:rsidR="008F40A0" w:rsidRPr="00C41C12" w:rsidRDefault="008200E4" w:rsidP="00BD15ED">
      <w:pPr>
        <w:pStyle w:val="Equation"/>
      </w:pPr>
      <m:oMathPara>
        <m:oMath>
          <m:r>
            <w:rPr>
              <w:rFonts w:ascii="Cambria Math" w:hAnsi="Cambria Math"/>
            </w:rPr>
            <m:t>MAC</m:t>
          </m:r>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sSubSup>
                        <m:sSubSupPr>
                          <m:ctrlPr>
                            <w:rPr>
                              <w:rFonts w:ascii="Cambria Math" w:hAnsi="Cambria Math"/>
                            </w:rPr>
                          </m:ctrlPr>
                        </m:sSubSupPr>
                        <m:e>
                          <m:r>
                            <m:rPr>
                              <m:sty m:val="bi"/>
                            </m:rPr>
                            <w:rPr>
                              <w:rFonts w:ascii="Cambria Math" w:hAnsi="Cambria Math"/>
                            </w:rPr>
                            <m:t>ϕ</m:t>
                          </m:r>
                        </m:e>
                        <m:sub>
                          <m:r>
                            <w:rPr>
                              <w:rFonts w:ascii="Cambria Math" w:hAnsi="Cambria Math"/>
                            </w:rPr>
                            <m:t>i</m:t>
                          </m:r>
                        </m:sub>
                        <m:sup>
                          <m:r>
                            <w:rPr>
                              <w:rFonts w:ascii="Cambria Math" w:hAnsi="Cambria Math"/>
                            </w:rPr>
                            <m:t>T</m:t>
                          </m:r>
                        </m:sup>
                      </m:sSubSup>
                      <m:sSub>
                        <m:sSubPr>
                          <m:ctrlPr>
                            <w:rPr>
                              <w:rFonts w:ascii="Cambria Math" w:hAnsi="Cambria Math"/>
                            </w:rPr>
                          </m:ctrlPr>
                        </m:sSubPr>
                        <m:e>
                          <m:r>
                            <m:rPr>
                              <m:sty m:val="bi"/>
                            </m:rPr>
                            <w:rPr>
                              <w:rFonts w:ascii="Cambria Math" w:hAnsi="Cambria Math"/>
                            </w:rPr>
                            <m:t>ϕ</m:t>
                          </m:r>
                        </m:e>
                        <m:sub>
                          <m:r>
                            <w:rPr>
                              <w:rFonts w:ascii="Cambria Math" w:hAnsi="Cambria Math"/>
                            </w:rPr>
                            <m:t>j</m:t>
                          </m:r>
                        </m:sub>
                      </m:sSub>
                    </m:e>
                  </m:d>
                </m:e>
                <m:sup>
                  <m:r>
                    <m:rPr>
                      <m:sty m:val="p"/>
                    </m:rPr>
                    <w:rPr>
                      <w:rFonts w:ascii="Cambria Math" w:hAnsi="Cambria Math"/>
                    </w:rPr>
                    <m:t>2</m:t>
                  </m:r>
                </m:sup>
              </m:sSup>
            </m:num>
            <m:den>
              <m:d>
                <m:dPr>
                  <m:ctrlPr>
                    <w:rPr>
                      <w:rFonts w:ascii="Cambria Math" w:hAnsi="Cambria Math"/>
                    </w:rPr>
                  </m:ctrlPr>
                </m:dPr>
                <m:e>
                  <m:sSubSup>
                    <m:sSubSupPr>
                      <m:ctrlPr>
                        <w:rPr>
                          <w:rFonts w:ascii="Cambria Math" w:hAnsi="Cambria Math"/>
                        </w:rPr>
                      </m:ctrlPr>
                    </m:sSubSupPr>
                    <m:e>
                      <m:r>
                        <m:rPr>
                          <m:sty m:val="bi"/>
                        </m:rPr>
                        <w:rPr>
                          <w:rFonts w:ascii="Cambria Math" w:hAnsi="Cambria Math"/>
                        </w:rPr>
                        <m:t>ϕ</m:t>
                      </m:r>
                    </m:e>
                    <m:sub>
                      <m:r>
                        <w:rPr>
                          <w:rFonts w:ascii="Cambria Math" w:hAnsi="Cambria Math"/>
                        </w:rPr>
                        <m:t>i</m:t>
                      </m:r>
                    </m:sub>
                    <m:sup>
                      <m:r>
                        <w:rPr>
                          <w:rFonts w:ascii="Cambria Math" w:hAnsi="Cambria Math"/>
                        </w:rPr>
                        <m:t>T</m:t>
                      </m:r>
                    </m:sup>
                  </m:sSubSup>
                  <m:sSub>
                    <m:sSubPr>
                      <m:ctrlPr>
                        <w:rPr>
                          <w:rFonts w:ascii="Cambria Math" w:hAnsi="Cambria Math"/>
                        </w:rPr>
                      </m:ctrlPr>
                    </m:sSubPr>
                    <m:e>
                      <m:r>
                        <m:rPr>
                          <m:sty m:val="bi"/>
                        </m:rPr>
                        <w:rPr>
                          <w:rFonts w:ascii="Cambria Math" w:hAnsi="Cambria Math"/>
                        </w:rPr>
                        <m:t>ϕ</m:t>
                      </m:r>
                    </m:e>
                    <m:sub>
                      <m:r>
                        <w:rPr>
                          <w:rFonts w:ascii="Cambria Math" w:hAnsi="Cambria Math"/>
                        </w:rPr>
                        <m:t>i</m:t>
                      </m:r>
                    </m:sub>
                  </m:sSub>
                </m:e>
              </m:d>
              <m:d>
                <m:dPr>
                  <m:ctrlPr>
                    <w:rPr>
                      <w:rFonts w:ascii="Cambria Math" w:hAnsi="Cambria Math"/>
                    </w:rPr>
                  </m:ctrlPr>
                </m:dPr>
                <m:e>
                  <m:sSubSup>
                    <m:sSubSupPr>
                      <m:ctrlPr>
                        <w:rPr>
                          <w:rFonts w:ascii="Cambria Math" w:hAnsi="Cambria Math"/>
                        </w:rPr>
                      </m:ctrlPr>
                    </m:sSubSupPr>
                    <m:e>
                      <m:r>
                        <m:rPr>
                          <m:sty m:val="bi"/>
                        </m:rPr>
                        <w:rPr>
                          <w:rFonts w:ascii="Cambria Math" w:hAnsi="Cambria Math"/>
                        </w:rPr>
                        <m:t>ϕ</m:t>
                      </m:r>
                    </m:e>
                    <m:sub>
                      <m:r>
                        <w:rPr>
                          <w:rFonts w:ascii="Cambria Math" w:hAnsi="Cambria Math"/>
                        </w:rPr>
                        <m:t>j</m:t>
                      </m:r>
                    </m:sub>
                    <m:sup>
                      <m:r>
                        <w:rPr>
                          <w:rFonts w:ascii="Cambria Math" w:hAnsi="Cambria Math"/>
                        </w:rPr>
                        <m:t>T</m:t>
                      </m:r>
                    </m:sup>
                  </m:sSubSup>
                  <m:sSub>
                    <m:sSubPr>
                      <m:ctrlPr>
                        <w:rPr>
                          <w:rFonts w:ascii="Cambria Math" w:hAnsi="Cambria Math"/>
                        </w:rPr>
                      </m:ctrlPr>
                    </m:sSubPr>
                    <m:e>
                      <m:r>
                        <m:rPr>
                          <m:sty m:val="bi"/>
                        </m:rPr>
                        <w:rPr>
                          <w:rFonts w:ascii="Cambria Math" w:hAnsi="Cambria Math"/>
                        </w:rPr>
                        <m:t>ϕ</m:t>
                      </m:r>
                    </m:e>
                    <m:sub>
                      <m:r>
                        <w:rPr>
                          <w:rFonts w:ascii="Cambria Math" w:hAnsi="Cambria Math"/>
                        </w:rPr>
                        <m:t>j</m:t>
                      </m:r>
                    </m:sub>
                  </m:sSub>
                </m:e>
              </m:d>
            </m:den>
          </m:f>
          <m:r>
            <m:rPr>
              <m:sty m:val="p"/>
            </m:rPr>
            <w:rPr>
              <w:rFonts w:ascii="Cambria Math" w:hAnsi="Cambria Math"/>
            </w:rPr>
            <m:t xml:space="preserve">                                                                                                                       (5)</m:t>
          </m:r>
        </m:oMath>
      </m:oMathPara>
    </w:p>
    <w:p w:rsidR="0098137D" w:rsidRPr="00C41C12" w:rsidRDefault="00BD15ED" w:rsidP="00446CBD">
      <w:r w:rsidRPr="00C41C12">
        <w:t xml:space="preserve">In equation </w:t>
      </w:r>
      <w:r w:rsidR="0098137D" w:rsidRPr="00C41C12">
        <w:t xml:space="preserve">(5), </w:t>
      </w:r>
      <w:r w:rsidRPr="00C41C12">
        <w:t xml:space="preserve">superscript </w:t>
      </w:r>
      <w:r w:rsidRPr="00C41C12">
        <w:rPr>
          <w:i/>
        </w:rPr>
        <w:t>T</w:t>
      </w:r>
      <w:r w:rsidRPr="00C41C12">
        <w:t xml:space="preserve"> </w:t>
      </w:r>
      <w:r w:rsidR="00A16B54" w:rsidRPr="00C41C12">
        <w:t>denotes</w:t>
      </w:r>
      <w:r w:rsidRPr="00C41C12">
        <w:t xml:space="preserve"> </w:t>
      </w:r>
      <w:r w:rsidR="0098137D" w:rsidRPr="00C41C12">
        <w:t>matrix</w:t>
      </w:r>
      <w:r w:rsidRPr="00C41C12">
        <w:t xml:space="preserve"> transpose</w:t>
      </w:r>
      <w:r w:rsidR="0098137D" w:rsidRPr="00C41C12">
        <w:t>.</w:t>
      </w:r>
    </w:p>
    <w:p w:rsidR="001170D0" w:rsidRPr="00C41C12" w:rsidRDefault="00BD15ED" w:rsidP="00446CBD">
      <w:r w:rsidRPr="00C41C12">
        <w:t xml:space="preserve">Sampling rate </w:t>
      </w:r>
      <w:r w:rsidR="00DA2481" w:rsidRPr="00C41C12">
        <w:t>of the digitized signals</w:t>
      </w:r>
      <w:r w:rsidR="00A16B54" w:rsidRPr="00C41C12">
        <w:t xml:space="preserve"> </w:t>
      </w:r>
      <w:r w:rsidRPr="00C41C12">
        <w:t>w</w:t>
      </w:r>
      <w:r w:rsidR="007F0487" w:rsidRPr="00C41C12">
        <w:t>as</w:t>
      </w:r>
      <w:r w:rsidRPr="00C41C12">
        <w:t xml:space="preserve"> 200 Hz and for establi</w:t>
      </w:r>
      <w:r w:rsidR="00A16B54" w:rsidRPr="00C41C12">
        <w:t>shing the stabilization diagram</w:t>
      </w:r>
      <w:r w:rsidR="0098137D" w:rsidRPr="00C41C12">
        <w:t>s</w:t>
      </w:r>
      <w:r w:rsidRPr="00C41C12">
        <w:t xml:space="preserve"> system orders from 60 to 160 were evaluated. </w:t>
      </w:r>
      <w:r w:rsidR="00FD40E9" w:rsidRPr="00C41C12">
        <w:t>F</w:t>
      </w:r>
      <w:r w:rsidRPr="00C41C12">
        <w:t>or building A, sensors 6 and 7 were taken as the inputs (excitations) while sensors 3, 4 and 5 as the outputs (responses)</w:t>
      </w:r>
      <w:r w:rsidR="004C2EE2" w:rsidRPr="00C41C12">
        <w:t>,</w:t>
      </w:r>
      <w:r w:rsidRPr="00C41C12">
        <w:t xml:space="preserve"> whereas for building B sensors 8 and 9 were taken as excitations while sensors 1 and 2 as responses</w:t>
      </w:r>
      <w:r w:rsidR="00FD40E9" w:rsidRPr="00C41C12">
        <w:t>.</w:t>
      </w:r>
    </w:p>
    <w:p w:rsidR="008F40A0" w:rsidRPr="00C41C12" w:rsidRDefault="00781A4A" w:rsidP="00781A4A">
      <w:pPr>
        <w:pStyle w:val="Heading1"/>
      </w:pPr>
      <w:r w:rsidRPr="00C41C12">
        <w:t>Results</w:t>
      </w:r>
    </w:p>
    <w:p w:rsidR="00781A4A" w:rsidRPr="00C41C12" w:rsidRDefault="00781A4A" w:rsidP="00D83A38">
      <w:r w:rsidRPr="00C41C12">
        <w:t xml:space="preserve">The objective of </w:t>
      </w:r>
      <w:r w:rsidR="00FD40E9" w:rsidRPr="00C41C12">
        <w:t xml:space="preserve">the research is to </w:t>
      </w:r>
      <w:r w:rsidRPr="00C41C12">
        <w:t xml:space="preserve">study the relationship between PGA, PRA and identified first three modal frequencies and corresponding damping ratios. Based on these relations, the variation in identified parameters is observed and conclusions are drawn in section 5. </w:t>
      </w:r>
    </w:p>
    <w:tbl>
      <w:tblPr>
        <w:tblpPr w:leftFromText="180" w:rightFromText="180" w:vertAnchor="page" w:horzAnchor="margin" w:tblpY="1469"/>
        <w:tblW w:w="0" w:type="auto"/>
        <w:tblLook w:val="04A0"/>
      </w:tblPr>
      <w:tblGrid>
        <w:gridCol w:w="4472"/>
        <w:gridCol w:w="4815"/>
      </w:tblGrid>
      <w:tr w:rsidR="008E75B0" w:rsidRPr="00C41C12" w:rsidTr="008E75B0">
        <w:tc>
          <w:tcPr>
            <w:tcW w:w="4472" w:type="dxa"/>
          </w:tcPr>
          <w:p w:rsidR="008E75B0" w:rsidRPr="00C41C12" w:rsidRDefault="008E75B0" w:rsidP="008E75B0">
            <w:r>
              <w:rPr>
                <w:lang w:eastAsia="en-NZ"/>
              </w:rPr>
              <w:lastRenderedPageBreak/>
              <w:pict>
                <v:rect id="_x0000_s1102" style="position:absolute;left:0;text-align:left;margin-left:198.45pt;margin-top:52.25pt;width:30.9pt;height:20.55pt;z-index:251658240" stroked="f">
                  <v:fill opacity="0"/>
                  <v:textbox>
                    <w:txbxContent>
                      <w:p w:rsidR="008E75B0" w:rsidRDefault="008E75B0" w:rsidP="008E75B0">
                        <w:pPr>
                          <w:spacing w:before="0" w:line="240" w:lineRule="auto"/>
                        </w:pPr>
                        <w:r>
                          <w:t>(a)</w:t>
                        </w:r>
                      </w:p>
                    </w:txbxContent>
                  </v:textbox>
                </v:rect>
              </w:pict>
            </w:r>
            <w:r>
              <w:rPr>
                <w:noProof/>
                <w:lang w:eastAsia="en-NZ"/>
              </w:rPr>
              <w:drawing>
                <wp:inline distT="0" distB="0" distL="0" distR="0">
                  <wp:extent cx="2609850" cy="1107237"/>
                  <wp:effectExtent l="19050" t="0" r="0" b="0"/>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6950" t="18974" r="17410" b="34724"/>
                          <a:stretch>
                            <a:fillRect/>
                          </a:stretch>
                        </pic:blipFill>
                        <pic:spPr bwMode="auto">
                          <a:xfrm>
                            <a:off x="0" y="0"/>
                            <a:ext cx="2611120" cy="1107776"/>
                          </a:xfrm>
                          <a:prstGeom prst="rect">
                            <a:avLst/>
                          </a:prstGeom>
                          <a:noFill/>
                          <a:ln w="9525">
                            <a:noFill/>
                            <a:miter lim="800000"/>
                            <a:headEnd/>
                            <a:tailEnd/>
                          </a:ln>
                        </pic:spPr>
                      </pic:pic>
                    </a:graphicData>
                  </a:graphic>
                </wp:inline>
              </w:drawing>
            </w:r>
          </w:p>
        </w:tc>
        <w:tc>
          <w:tcPr>
            <w:tcW w:w="4815" w:type="dxa"/>
          </w:tcPr>
          <w:p w:rsidR="008E75B0" w:rsidRPr="00C41C12" w:rsidRDefault="008E75B0" w:rsidP="008E75B0">
            <w:r>
              <w:rPr>
                <w:lang w:eastAsia="en-NZ"/>
              </w:rPr>
              <w:pict>
                <v:rect id="_x0000_s1103" style="position:absolute;left:0;text-align:left;margin-left:211.85pt;margin-top:52.25pt;width:30.9pt;height:20.55pt;z-index:251658240;mso-position-horizontal-relative:text;mso-position-vertical-relative:text" stroked="f">
                  <v:fill opacity="0"/>
                  <v:textbox>
                    <w:txbxContent>
                      <w:p w:rsidR="008E75B0" w:rsidRDefault="008E75B0" w:rsidP="008E75B0">
                        <w:pPr>
                          <w:spacing w:before="0" w:line="240" w:lineRule="auto"/>
                        </w:pPr>
                        <w:r>
                          <w:t>(b)</w:t>
                        </w:r>
                      </w:p>
                    </w:txbxContent>
                  </v:textbox>
                </v:rect>
              </w:pict>
            </w:r>
            <w:r>
              <w:rPr>
                <w:noProof/>
                <w:lang w:eastAsia="en-NZ"/>
              </w:rPr>
              <w:drawing>
                <wp:inline distT="0" distB="0" distL="0" distR="0">
                  <wp:extent cx="2901315" cy="1019810"/>
                  <wp:effectExtent l="1905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lum bright="-6000" contrast="20000"/>
                          </a:blip>
                          <a:srcRect l="7544" t="30211" r="4832" b="37236"/>
                          <a:stretch>
                            <a:fillRect/>
                          </a:stretch>
                        </pic:blipFill>
                        <pic:spPr bwMode="auto">
                          <a:xfrm>
                            <a:off x="0" y="0"/>
                            <a:ext cx="2901315" cy="1019810"/>
                          </a:xfrm>
                          <a:prstGeom prst="rect">
                            <a:avLst/>
                          </a:prstGeom>
                          <a:noFill/>
                          <a:ln w="9525">
                            <a:noFill/>
                            <a:miter lim="800000"/>
                            <a:headEnd/>
                            <a:tailEnd/>
                          </a:ln>
                        </pic:spPr>
                      </pic:pic>
                    </a:graphicData>
                  </a:graphic>
                </wp:inline>
              </w:drawing>
            </w:r>
          </w:p>
        </w:tc>
      </w:tr>
      <w:tr w:rsidR="008E75B0" w:rsidRPr="00C41C12" w:rsidTr="008E75B0">
        <w:tc>
          <w:tcPr>
            <w:tcW w:w="9287" w:type="dxa"/>
            <w:gridSpan w:val="2"/>
          </w:tcPr>
          <w:p w:rsidR="008E75B0" w:rsidRPr="00C41C12" w:rsidRDefault="008E75B0" w:rsidP="00901F92">
            <w:pPr>
              <w:pStyle w:val="Figurecaption"/>
            </w:pPr>
            <w:r w:rsidRPr="00C41C12">
              <w:t xml:space="preserve">Figure </w:t>
            </w:r>
            <w:r>
              <w:t>4</w:t>
            </w:r>
            <w:r w:rsidRPr="00C41C12">
              <w:t>. Planar views of the first three mode shapes: (a) Building A, and (b) Building B</w:t>
            </w:r>
          </w:p>
        </w:tc>
      </w:tr>
    </w:tbl>
    <w:p w:rsidR="00781A4A" w:rsidRPr="00C41C12" w:rsidRDefault="00781A4A" w:rsidP="00D83A38">
      <w:r w:rsidRPr="00C41C12">
        <w:t xml:space="preserve">The typical first three mode shapes </w:t>
      </w:r>
      <w:r w:rsidR="00FD40E9" w:rsidRPr="00C41C12">
        <w:t xml:space="preserve">of building A </w:t>
      </w:r>
      <w:r w:rsidRPr="00C41C12">
        <w:t xml:space="preserve">are shown in Figure </w:t>
      </w:r>
      <w:r w:rsidR="00BE55D4">
        <w:t>4</w:t>
      </w:r>
      <w:r w:rsidR="00FD40E9" w:rsidRPr="00C41C12">
        <w:t>(a)</w:t>
      </w:r>
      <w:r w:rsidRPr="00C41C12">
        <w:t xml:space="preserve"> in planar view. The shape of the first mode shows it to be a translational mode along </w:t>
      </w:r>
      <w:r w:rsidR="00FD40E9" w:rsidRPr="00C41C12">
        <w:t>X-</w:t>
      </w:r>
      <w:r w:rsidRPr="00C41C12">
        <w:t xml:space="preserve">direction with a little rotation. The second mode is nearly purely torsional and the third one is a dominant translational mode along </w:t>
      </w:r>
      <w:r w:rsidR="00FD40E9" w:rsidRPr="00C41C12">
        <w:t>Y-</w:t>
      </w:r>
      <w:r w:rsidRPr="00C41C12">
        <w:t xml:space="preserve">direction coupled with torsion. </w:t>
      </w:r>
      <w:r w:rsidR="0098137D" w:rsidRPr="00C41C12">
        <w:t>B</w:t>
      </w:r>
      <w:r w:rsidR="00FD40E9" w:rsidRPr="00C41C12">
        <w:t xml:space="preserve">uilding B has </w:t>
      </w:r>
      <w:r w:rsidR="008D379D" w:rsidRPr="00C41C12">
        <w:t xml:space="preserve">the same shapes for the first three modes (Fig. </w:t>
      </w:r>
      <w:r w:rsidR="00BE55D4">
        <w:t>4</w:t>
      </w:r>
      <w:r w:rsidR="008D379D" w:rsidRPr="00C41C12">
        <w:t>(b)), with the first mode being the dominant translational along Y-direction with a little rotation and the third mode being translation</w:t>
      </w:r>
      <w:r w:rsidR="00497F07" w:rsidRPr="00C41C12">
        <w:t xml:space="preserve"> dominant</w:t>
      </w:r>
      <w:r w:rsidR="008D379D" w:rsidRPr="00C41C12">
        <w:t xml:space="preserve"> along X-direction coupled with torsion</w:t>
      </w:r>
      <w:r w:rsidR="00497F07" w:rsidRPr="00C41C12">
        <w:t>,</w:t>
      </w:r>
      <w:r w:rsidR="00CB7B84" w:rsidRPr="00C41C12">
        <w:t xml:space="preserve"> while the second mode is the torsional mode</w:t>
      </w:r>
      <w:r w:rsidR="008D379D" w:rsidRPr="00C41C12">
        <w:t>.</w:t>
      </w:r>
      <w:r w:rsidR="006B6040">
        <w:t xml:space="preserve"> Structural irregularity</w:t>
      </w:r>
      <w:r w:rsidR="00D80C63">
        <w:t>,</w:t>
      </w:r>
      <w:r w:rsidR="006B6040">
        <w:t xml:space="preserve"> due to the internal longitudinal beams being not in the middle of the transverse direction for </w:t>
      </w:r>
      <w:r w:rsidR="00D80C63">
        <w:t xml:space="preserve">both </w:t>
      </w:r>
      <w:r w:rsidR="006B6040">
        <w:t>building</w:t>
      </w:r>
      <w:r w:rsidR="00D80C63">
        <w:t>s</w:t>
      </w:r>
      <w:r w:rsidR="006B6040">
        <w:t xml:space="preserve"> and shear core present near the North end</w:t>
      </w:r>
      <w:r w:rsidR="00D80C63">
        <w:t xml:space="preserve"> of building A, creates unsymmetrical distribution particularly of stiffness which has caused the modes to be coupled translational-torsional.</w:t>
      </w:r>
      <w:r w:rsidR="006B6040">
        <w:t xml:space="preserve"> </w:t>
      </w:r>
    </w:p>
    <w:p w:rsidR="007F0487" w:rsidRPr="00C41C12" w:rsidRDefault="005B246F" w:rsidP="00446CBD">
      <w:r w:rsidRPr="00C41C12">
        <w:t>In this stud</w:t>
      </w:r>
      <w:r w:rsidR="00D57CA5" w:rsidRPr="00C41C12">
        <w:t>y</w:t>
      </w:r>
      <w:r w:rsidR="00EA2708" w:rsidRPr="00C41C12">
        <w:t>,</w:t>
      </w:r>
      <w:r w:rsidR="00D57CA5" w:rsidRPr="00C41C12">
        <w:t xml:space="preserve"> for building A PRA of sensor 4 (at the roof</w:t>
      </w:r>
      <w:r w:rsidRPr="00C41C12">
        <w:t>) and PGA of sensor 6 (at the base)</w:t>
      </w:r>
      <w:r w:rsidR="00EA2708" w:rsidRPr="00C41C12">
        <w:t>,</w:t>
      </w:r>
      <w:r w:rsidRPr="00C41C12">
        <w:t xml:space="preserve"> </w:t>
      </w:r>
      <w:r w:rsidR="00D57CA5" w:rsidRPr="00C41C12">
        <w:t xml:space="preserve">whereas for building B PRA of sensor 1 (at the roof) and PGA of sensor 8 (at the base) </w:t>
      </w:r>
      <w:r w:rsidRPr="00C41C12">
        <w:t xml:space="preserve">were considered. The recorded maximum PRA </w:t>
      </w:r>
      <w:r w:rsidR="00205D63" w:rsidRPr="00C41C12">
        <w:t xml:space="preserve">of building A is </w:t>
      </w:r>
      <w:r w:rsidRPr="00C41C12">
        <w:t xml:space="preserve">0.041g in the </w:t>
      </w:r>
      <w:r w:rsidR="00205D63" w:rsidRPr="00C41C12">
        <w:t>Y-</w:t>
      </w:r>
      <w:r w:rsidRPr="00C41C12">
        <w:t>direction w</w:t>
      </w:r>
      <w:r w:rsidR="00205D63" w:rsidRPr="00C41C12">
        <w:t>hich is double of that in the X-</w:t>
      </w:r>
      <w:r w:rsidRPr="00C41C12">
        <w:t>direction (0.021g)</w:t>
      </w:r>
      <w:r w:rsidR="00205D63" w:rsidRPr="00C41C12">
        <w:t xml:space="preserve"> (Figs </w:t>
      </w:r>
      <w:r w:rsidR="00BE55D4">
        <w:t>5</w:t>
      </w:r>
      <w:r w:rsidR="00205D63" w:rsidRPr="00C41C12">
        <w:t>a,</w:t>
      </w:r>
      <w:r w:rsidR="00EA2708" w:rsidRPr="00C41C12">
        <w:t xml:space="preserve"> </w:t>
      </w:r>
      <w:r w:rsidR="00205D63" w:rsidRPr="00C41C12">
        <w:t>b)</w:t>
      </w:r>
      <w:r w:rsidR="00EA2708" w:rsidRPr="00C41C12">
        <w:t>. F</w:t>
      </w:r>
      <w:r w:rsidR="00205D63" w:rsidRPr="00C41C12">
        <w:t>or building B</w:t>
      </w:r>
      <w:r w:rsidR="00EA2708" w:rsidRPr="00C41C12">
        <w:t>,</w:t>
      </w:r>
      <w:r w:rsidR="00205D63" w:rsidRPr="00C41C12">
        <w:t xml:space="preserve"> the maximum recorded PRA is also in the Y-direction (0.025g)</w:t>
      </w:r>
      <w:r w:rsidR="00EA2708" w:rsidRPr="00C41C12">
        <w:t>,</w:t>
      </w:r>
      <w:r w:rsidR="00205D63" w:rsidRPr="00C41C12">
        <w:t xml:space="preserve"> which is a little higher than that in the X-direction (0.023g) (Figs </w:t>
      </w:r>
      <w:r w:rsidR="00BE55D4">
        <w:t>6</w:t>
      </w:r>
      <w:r w:rsidR="00205D63" w:rsidRPr="00C41C12">
        <w:t>a,</w:t>
      </w:r>
      <w:r w:rsidR="00EA2708" w:rsidRPr="00C41C12">
        <w:t xml:space="preserve"> </w:t>
      </w:r>
      <w:r w:rsidR="00205D63" w:rsidRPr="00C41C12">
        <w:t xml:space="preserve">b). </w:t>
      </w:r>
      <w:r w:rsidRPr="00C41C12">
        <w:t xml:space="preserve">However, </w:t>
      </w:r>
      <w:r w:rsidR="007F0487" w:rsidRPr="00C41C12">
        <w:t>there is only one point in that maximum range for both the buildings and all the other points are below</w:t>
      </w:r>
      <w:r w:rsidR="00BE55D4">
        <w:t>0.015g and 0.01g (Figs 5</w:t>
      </w:r>
      <w:r w:rsidR="00446CBD" w:rsidRPr="00C41C12">
        <w:t xml:space="preserve">a, b and </w:t>
      </w:r>
      <w:r w:rsidR="00BE55D4">
        <w:t>6</w:t>
      </w:r>
      <w:r w:rsidR="00446CBD" w:rsidRPr="00C41C12">
        <w:t>a, b) for buildings A and B</w:t>
      </w:r>
      <w:r w:rsidR="00EA2708" w:rsidRPr="00C41C12">
        <w:t>,</w:t>
      </w:r>
      <w:r w:rsidR="00446CBD" w:rsidRPr="00C41C12">
        <w:t xml:space="preserve"> respectively. It can be seen that PGA and PRA have good correlations along both X- and Y-directions. Therefore, frequencies and damping ratios relations are plotted with one of them only</w:t>
      </w:r>
      <w:r w:rsidR="00EA2708" w:rsidRPr="00C41C12">
        <w:t>,</w:t>
      </w:r>
      <w:r w:rsidR="00446CBD" w:rsidRPr="00C41C12">
        <w:t xml:space="preserve"> i.e. PRA. The </w:t>
      </w:r>
      <w:r w:rsidR="00446CBD" w:rsidRPr="00C41C12">
        <w:rPr>
          <w:i/>
        </w:rPr>
        <w:t>R</w:t>
      </w:r>
      <w:r w:rsidR="00446CBD" w:rsidRPr="00C41C12">
        <w:rPr>
          <w:i/>
          <w:vertAlign w:val="superscript"/>
        </w:rPr>
        <w:t>2</w:t>
      </w:r>
      <w:r w:rsidR="00446CBD" w:rsidRPr="00C41C12">
        <w:t xml:space="preserve"> coefficient shown in the plots is used to calculate </w:t>
      </w:r>
      <w:r w:rsidR="00EA2708" w:rsidRPr="00C41C12">
        <w:t xml:space="preserve">the </w:t>
      </w:r>
      <w:r w:rsidR="00446CBD" w:rsidRPr="00C41C12">
        <w:t xml:space="preserve">fit of </w:t>
      </w:r>
      <w:r w:rsidR="00EA2708" w:rsidRPr="00C41C12">
        <w:t>a</w:t>
      </w:r>
      <w:r w:rsidR="00446CBD" w:rsidRPr="00C41C12">
        <w:t xml:space="preserve"> regression line. The closer this value is to 1.0, the better the fit.</w:t>
      </w:r>
    </w:p>
    <w:p w:rsidR="005B246F" w:rsidRPr="00C41C12" w:rsidRDefault="00D83A38" w:rsidP="00D83A38">
      <w:pPr>
        <w:pStyle w:val="Heading2"/>
      </w:pPr>
      <w:r w:rsidRPr="00C41C12">
        <w:t>Frequency variation</w:t>
      </w:r>
    </w:p>
    <w:p w:rsidR="00D83A38" w:rsidRPr="00C41C12" w:rsidRDefault="00D83A38" w:rsidP="00D83A38">
      <w:r w:rsidRPr="00C41C12">
        <w:t xml:space="preserve">Table 1 shows the </w:t>
      </w:r>
      <w:r w:rsidR="007C0A24" w:rsidRPr="00C41C12">
        <w:t>minimum, maximum, average</w:t>
      </w:r>
      <w:r w:rsidRPr="00C41C12">
        <w:t xml:space="preserve"> and </w:t>
      </w:r>
      <w:r w:rsidR="007C0A24" w:rsidRPr="00C41C12">
        <w:t>percentage change</w:t>
      </w:r>
      <w:r w:rsidR="00D80C63">
        <w:t xml:space="preserve"> (</w:t>
      </w:r>
      <w:r w:rsidR="003E71C1">
        <w:t>= (</w:t>
      </w:r>
      <w:r w:rsidR="00D80C63">
        <w:t>maximum-minimum)/average × 100)</w:t>
      </w:r>
      <w:r w:rsidRPr="00C41C12">
        <w:t xml:space="preserve"> </w:t>
      </w:r>
      <w:r w:rsidR="007C0A24" w:rsidRPr="00C41C12">
        <w:t xml:space="preserve">values </w:t>
      </w:r>
      <w:r w:rsidRPr="00C41C12">
        <w:t xml:space="preserve">of the identified frequencies and damping ratios for the selected 50 earthquakes. The </w:t>
      </w:r>
      <w:r w:rsidR="007C0A24" w:rsidRPr="00C41C12">
        <w:t>percent change</w:t>
      </w:r>
      <w:r w:rsidRPr="00C41C12">
        <w:t xml:space="preserve"> for the selected 50 events </w:t>
      </w:r>
      <w:r w:rsidR="007C0A24" w:rsidRPr="00C41C12">
        <w:t xml:space="preserve">for building A </w:t>
      </w:r>
      <w:r w:rsidRPr="00C41C12">
        <w:t>in the first, second</w:t>
      </w:r>
      <w:r w:rsidR="007C0A24" w:rsidRPr="00C41C12">
        <w:t xml:space="preserve"> and third modal frequencies is</w:t>
      </w:r>
      <w:r w:rsidRPr="00C41C12">
        <w:t xml:space="preserve"> </w:t>
      </w:r>
      <w:r w:rsidR="007C0A24" w:rsidRPr="00C41C12">
        <w:t>13%, 14% and 10%</w:t>
      </w:r>
      <w:r w:rsidR="00EA2708" w:rsidRPr="00C41C12">
        <w:t>,</w:t>
      </w:r>
      <w:r w:rsidR="007C0A24" w:rsidRPr="00C41C12">
        <w:t xml:space="preserve"> respectively</w:t>
      </w:r>
      <w:r w:rsidR="00EA2708" w:rsidRPr="00C41C12">
        <w:t>,</w:t>
      </w:r>
      <w:r w:rsidR="007C0A24" w:rsidRPr="00C41C12">
        <w:t xml:space="preserve"> whereas for building B it is 19%, 21% and 29%</w:t>
      </w:r>
      <w:r w:rsidR="00EA2708" w:rsidRPr="00C41C12">
        <w:t>,</w:t>
      </w:r>
      <w:r w:rsidR="007C0A24" w:rsidRPr="00C41C12">
        <w:t xml:space="preserve"> respectively.</w:t>
      </w:r>
    </w:p>
    <w:p w:rsidR="00D83A38" w:rsidRPr="00C41C12" w:rsidRDefault="00D83A38" w:rsidP="00D83A38">
      <w:r w:rsidRPr="00C41C12">
        <w:t xml:space="preserve">Frequencies are decreasing as the vibration amplitude is increasing and this is observed </w:t>
      </w:r>
      <w:r w:rsidR="002770A3" w:rsidRPr="00C41C12">
        <w:t xml:space="preserve">for both buildings </w:t>
      </w:r>
      <w:r w:rsidRPr="00C41C12">
        <w:t xml:space="preserve">in all three modes along both </w:t>
      </w:r>
      <w:r w:rsidR="007C0A24" w:rsidRPr="00C41C12">
        <w:t>X-</w:t>
      </w:r>
      <w:r w:rsidRPr="00C41C12">
        <w:t xml:space="preserve"> and </w:t>
      </w:r>
      <w:r w:rsidR="007C0A24" w:rsidRPr="00C41C12">
        <w:t>Y-</w:t>
      </w:r>
      <w:r w:rsidRPr="00C41C12">
        <w:t xml:space="preserve">directions (Figs </w:t>
      </w:r>
      <w:r w:rsidR="00BE55D4">
        <w:t>7</w:t>
      </w:r>
      <w:r w:rsidRPr="00C41C12">
        <w:t>a, b</w:t>
      </w:r>
      <w:r w:rsidR="00BE55D4">
        <w:t xml:space="preserve"> and 8</w:t>
      </w:r>
      <w:r w:rsidR="007C0A24" w:rsidRPr="00C41C12">
        <w:t>a, b</w:t>
      </w:r>
      <w:r w:rsidRPr="00C41C12">
        <w:t xml:space="preserve">). The first modal frequency </w:t>
      </w:r>
      <w:r w:rsidR="007C0A24" w:rsidRPr="00C41C12">
        <w:t xml:space="preserve">of building A </w:t>
      </w:r>
      <w:r w:rsidRPr="00C41C12">
        <w:t xml:space="preserve">has good correlation </w:t>
      </w:r>
      <w:r w:rsidR="0094740C">
        <w:t>(</w:t>
      </w:r>
      <w:r w:rsidR="0094740C" w:rsidRPr="0094740C">
        <w:rPr>
          <w:i/>
        </w:rPr>
        <w:t>R</w:t>
      </w:r>
      <w:r w:rsidR="0094740C" w:rsidRPr="0094740C">
        <w:rPr>
          <w:i/>
          <w:vertAlign w:val="superscript"/>
        </w:rPr>
        <w:t>2</w:t>
      </w:r>
      <w:r w:rsidR="0094740C">
        <w:t xml:space="preserve">= 0.80) </w:t>
      </w:r>
      <w:r w:rsidR="004C1C82" w:rsidRPr="00C41C12">
        <w:t xml:space="preserve">with PRA </w:t>
      </w:r>
      <w:r w:rsidRPr="00C41C12">
        <w:t xml:space="preserve">along </w:t>
      </w:r>
      <w:r w:rsidR="007C0A24" w:rsidRPr="00C41C12">
        <w:t>X-</w:t>
      </w:r>
      <w:r w:rsidRPr="00C41C12">
        <w:t>direction</w:t>
      </w:r>
      <w:r w:rsidR="007C0A24" w:rsidRPr="00C41C12">
        <w:t xml:space="preserve"> as compared to other two frequencies</w:t>
      </w:r>
      <w:r w:rsidRPr="00C41C12">
        <w:t xml:space="preserve"> </w:t>
      </w:r>
      <w:r w:rsidR="002770A3" w:rsidRPr="00C41C12">
        <w:t>b</w:t>
      </w:r>
      <w:r w:rsidRPr="00C41C12">
        <w:t xml:space="preserve">ut the correlations </w:t>
      </w:r>
      <w:r w:rsidR="004C1C82" w:rsidRPr="00C41C12">
        <w:t xml:space="preserve">with PRA </w:t>
      </w:r>
      <w:r w:rsidRPr="00C41C12">
        <w:t xml:space="preserve">of the three modal frequencies in the </w:t>
      </w:r>
      <w:r w:rsidR="007C0A24" w:rsidRPr="00C41C12">
        <w:t xml:space="preserve">Y-direction are not </w:t>
      </w:r>
      <w:r w:rsidR="002770A3" w:rsidRPr="00C41C12">
        <w:t xml:space="preserve">as </w:t>
      </w:r>
      <w:r w:rsidR="007C0A24" w:rsidRPr="00C41C12">
        <w:t>good</w:t>
      </w:r>
      <w:r w:rsidR="002770A3" w:rsidRPr="00C41C12">
        <w:t xml:space="preserve"> as th</w:t>
      </w:r>
      <w:r w:rsidR="00CD2617" w:rsidRPr="00C41C12">
        <w:t>ose</w:t>
      </w:r>
      <w:r w:rsidR="002770A3" w:rsidRPr="00C41C12">
        <w:t xml:space="preserve"> </w:t>
      </w:r>
      <w:r w:rsidR="00CD2617" w:rsidRPr="00C41C12">
        <w:t>in</w:t>
      </w:r>
      <w:r w:rsidR="002770A3" w:rsidRPr="00C41C12">
        <w:t xml:space="preserve"> X-direction</w:t>
      </w:r>
      <w:r w:rsidR="007C0A24" w:rsidRPr="00C41C12">
        <w:t xml:space="preserve">. </w:t>
      </w:r>
      <w:r w:rsidR="0098137D" w:rsidRPr="00C41C12">
        <w:t>B</w:t>
      </w:r>
      <w:r w:rsidR="002770A3" w:rsidRPr="00C41C12">
        <w:t>uilding B</w:t>
      </w:r>
      <w:r w:rsidR="00CD2617" w:rsidRPr="00C41C12">
        <w:t>,</w:t>
      </w:r>
      <w:r w:rsidR="002770A3" w:rsidRPr="00C41C12">
        <w:t xml:space="preserve"> on the other hand</w:t>
      </w:r>
      <w:r w:rsidR="00CD2617" w:rsidRPr="00C41C12">
        <w:t>,</w:t>
      </w:r>
      <w:r w:rsidR="002770A3" w:rsidRPr="00C41C12">
        <w:t xml:space="preserve"> has got almost </w:t>
      </w:r>
      <w:r w:rsidR="00CD2617" w:rsidRPr="00C41C12">
        <w:t xml:space="preserve">the </w:t>
      </w:r>
      <w:r w:rsidR="002770A3" w:rsidRPr="00C41C12">
        <w:t>same level of correlation</w:t>
      </w:r>
      <w:r w:rsidR="004C1C82" w:rsidRPr="00C41C12">
        <w:t xml:space="preserve">s </w:t>
      </w:r>
      <w:r w:rsidR="0094740C">
        <w:t xml:space="preserve">based on </w:t>
      </w:r>
      <w:r w:rsidR="0094740C" w:rsidRPr="0094740C">
        <w:rPr>
          <w:i/>
        </w:rPr>
        <w:t>R</w:t>
      </w:r>
      <w:r w:rsidR="0094740C" w:rsidRPr="0094740C">
        <w:rPr>
          <w:i/>
          <w:vertAlign w:val="superscript"/>
        </w:rPr>
        <w:t>2</w:t>
      </w:r>
      <w:r w:rsidR="0094740C">
        <w:t xml:space="preserve"> values </w:t>
      </w:r>
      <w:r w:rsidR="004C1C82" w:rsidRPr="00C41C12">
        <w:t>with PRA</w:t>
      </w:r>
      <w:r w:rsidR="002770A3" w:rsidRPr="00C41C12">
        <w:t xml:space="preserve"> for both X- and Y-directions. </w:t>
      </w:r>
      <w:r w:rsidR="004C1C82" w:rsidRPr="00C41C12">
        <w:t>There are</w:t>
      </w:r>
      <w:r w:rsidR="007C0A24" w:rsidRPr="00C41C12">
        <w:t xml:space="preserve"> only </w:t>
      </w:r>
      <w:r w:rsidR="004C1C82" w:rsidRPr="00C41C12">
        <w:t>two</w:t>
      </w:r>
      <w:r w:rsidR="007C0A24" w:rsidRPr="00C41C12">
        <w:t xml:space="preserve"> </w:t>
      </w:r>
      <w:r w:rsidR="004C1C82" w:rsidRPr="00C41C12">
        <w:t xml:space="preserve">and one </w:t>
      </w:r>
      <w:r w:rsidR="007C0A24" w:rsidRPr="00C41C12">
        <w:t>point</w:t>
      </w:r>
      <w:r w:rsidR="004C1C82" w:rsidRPr="00C41C12">
        <w:t>s</w:t>
      </w:r>
      <w:r w:rsidR="00CD2617" w:rsidRPr="00C41C12">
        <w:t>,</w:t>
      </w:r>
      <w:r w:rsidR="004C1C82" w:rsidRPr="00C41C12">
        <w:t xml:space="preserve"> respectively</w:t>
      </w:r>
      <w:r w:rsidR="00CD2617" w:rsidRPr="00C41C12">
        <w:t>,</w:t>
      </w:r>
      <w:r w:rsidR="007C0A24" w:rsidRPr="00C41C12">
        <w:t xml:space="preserve"> in </w:t>
      </w:r>
      <w:r w:rsidR="004C1C82" w:rsidRPr="00C41C12">
        <w:t>X</w:t>
      </w:r>
      <w:r w:rsidR="007C0A24" w:rsidRPr="00C41C12">
        <w:t>-</w:t>
      </w:r>
      <w:r w:rsidR="004C1C82" w:rsidRPr="00C41C12">
        <w:t xml:space="preserve"> and Y-</w:t>
      </w:r>
      <w:r w:rsidR="007C0A24" w:rsidRPr="00C41C12">
        <w:t>direction</w:t>
      </w:r>
      <w:r w:rsidR="004C1C82" w:rsidRPr="00C41C12">
        <w:t>s</w:t>
      </w:r>
      <w:r w:rsidR="007C0A24" w:rsidRPr="00C41C12">
        <w:t xml:space="preserve"> </w:t>
      </w:r>
      <w:r w:rsidR="004C1C82" w:rsidRPr="00C41C12">
        <w:t xml:space="preserve">plots of building A </w:t>
      </w:r>
      <w:r w:rsidR="007C0A24" w:rsidRPr="00C41C12">
        <w:t xml:space="preserve">beyond 0.015g </w:t>
      </w:r>
      <w:r w:rsidR="004C1C82" w:rsidRPr="00C41C12">
        <w:t>up to</w:t>
      </w:r>
      <w:r w:rsidR="007C0A24" w:rsidRPr="00C41C12">
        <w:t xml:space="preserve"> 0.042g</w:t>
      </w:r>
      <w:r w:rsidR="00CD2617" w:rsidRPr="00C41C12">
        <w:t>,</w:t>
      </w:r>
      <w:r w:rsidR="002A6302" w:rsidRPr="00C41C12">
        <w:t xml:space="preserve"> </w:t>
      </w:r>
      <w:r w:rsidR="004C1C82" w:rsidRPr="00C41C12">
        <w:t>whereas for the case of building B there is only one point available beyond 0.01g up</w:t>
      </w:r>
      <w:r w:rsidR="00EA2708" w:rsidRPr="00C41C12">
        <w:t xml:space="preserve"> </w:t>
      </w:r>
      <w:r w:rsidR="004C1C82" w:rsidRPr="00C41C12">
        <w:t xml:space="preserve">to 0.025g. The correlations could be improved if there </w:t>
      </w:r>
      <w:r w:rsidR="00CD2617" w:rsidRPr="00C41C12">
        <w:t>were</w:t>
      </w:r>
      <w:r w:rsidR="004C1C82" w:rsidRPr="00C41C12">
        <w:t xml:space="preserve"> more points in this range. </w:t>
      </w:r>
      <w:r w:rsidR="002A6302" w:rsidRPr="00C41C12">
        <w:t>Since most of the earthquakes are of low intensity</w:t>
      </w:r>
      <w:r w:rsidR="00CD2617" w:rsidRPr="00C41C12">
        <w:t>,</w:t>
      </w:r>
      <w:r w:rsidR="002A6302" w:rsidRPr="00C41C12">
        <w:t xml:space="preserve"> the region from 0 to 0.01g is densely populated </w:t>
      </w:r>
      <w:r w:rsidR="00CD2617" w:rsidRPr="00C41C12">
        <w:t xml:space="preserve">but </w:t>
      </w:r>
      <w:r w:rsidR="002A6302" w:rsidRPr="00C41C12">
        <w:t xml:space="preserve">beyond </w:t>
      </w:r>
      <w:r w:rsidR="00CD2617" w:rsidRPr="00C41C12">
        <w:t xml:space="preserve">that </w:t>
      </w:r>
      <w:r w:rsidR="002A6302" w:rsidRPr="00C41C12">
        <w:t>there are very few points.</w:t>
      </w:r>
      <w:r w:rsidRPr="00C41C12">
        <w:t xml:space="preserve"> </w:t>
      </w:r>
    </w:p>
    <w:p w:rsidR="00D83A38" w:rsidRPr="00C41C12" w:rsidRDefault="00D83A38" w:rsidP="00D83A38">
      <w:pPr>
        <w:rPr>
          <w:lang w:eastAsia="en-NZ"/>
        </w:rPr>
      </w:pPr>
      <w:r w:rsidRPr="00C41C12">
        <w:t>During some events, the first, second or third mode or any two of them were missing in the system identification results</w:t>
      </w:r>
      <w:r w:rsidR="00CD2617" w:rsidRPr="00C41C12">
        <w:t>,</w:t>
      </w:r>
      <w:r w:rsidRPr="00C41C12">
        <w:t xml:space="preserve"> which shows that during those particular events these modes did not vibrate strongly enough. It reflects the fact that response of the building is sensitive to the frequency content of the earthquake also. In some events</w:t>
      </w:r>
      <w:r w:rsidR="00CD2617" w:rsidRPr="00C41C12">
        <w:t>, the</w:t>
      </w:r>
      <w:r w:rsidRPr="00C41C12">
        <w:t xml:space="preserve"> second and third modal frequencies tended to be very close and the minimum difference between these two was found to be 0.03 Hz</w:t>
      </w:r>
      <w:r w:rsidRPr="00C41C12">
        <w:rPr>
          <w:lang w:eastAsia="en-NZ"/>
        </w:rPr>
        <w:t xml:space="preserve">. This shows the capability of </w:t>
      </w:r>
      <w:r w:rsidR="002A6302" w:rsidRPr="00C41C12">
        <w:rPr>
          <w:lang w:eastAsia="en-NZ"/>
        </w:rPr>
        <w:t xml:space="preserve">state-space </w:t>
      </w:r>
      <w:r w:rsidRPr="00C41C12">
        <w:rPr>
          <w:lang w:eastAsia="en-NZ"/>
        </w:rPr>
        <w:t>subspace identification technique to identify very close</w:t>
      </w:r>
      <w:r w:rsidR="00CD2617" w:rsidRPr="00C41C12">
        <w:rPr>
          <w:lang w:eastAsia="en-NZ"/>
        </w:rPr>
        <w:t>ly spaced</w:t>
      </w:r>
      <w:r w:rsidRPr="00C41C12">
        <w:rPr>
          <w:lang w:eastAsia="en-NZ"/>
        </w:rPr>
        <w:t xml:space="preserve"> modes.</w:t>
      </w:r>
    </w:p>
    <w:p w:rsidR="00D83A38" w:rsidRPr="00C41C12" w:rsidRDefault="00D83A38" w:rsidP="00D83A38">
      <w:pPr>
        <w:pStyle w:val="Heading2"/>
        <w:rPr>
          <w:lang w:eastAsia="en-NZ"/>
        </w:rPr>
      </w:pPr>
      <w:r w:rsidRPr="00C41C12">
        <w:rPr>
          <w:lang w:eastAsia="en-NZ"/>
        </w:rPr>
        <w:lastRenderedPageBreak/>
        <w:t>Damping ratio variation</w:t>
      </w:r>
    </w:p>
    <w:p w:rsidR="00D83A38" w:rsidRDefault="00CD2617" w:rsidP="00D83A38">
      <w:pPr>
        <w:rPr>
          <w:lang w:eastAsia="en-NZ"/>
        </w:rPr>
      </w:pPr>
      <w:r w:rsidRPr="00C41C12">
        <w:rPr>
          <w:lang w:eastAsia="en-NZ"/>
        </w:rPr>
        <w:t>The average values of damping ratio for the selected 50 events for the first, second and third modes are 2.7%, 4.7% and 2.8%, respectively, for building A, and 2.9%, 4.4% and 5.7%, respectively, for building B (Table 1). The i</w:t>
      </w:r>
      <w:r w:rsidR="00D83A38" w:rsidRPr="00C41C12">
        <w:rPr>
          <w:lang w:eastAsia="en-NZ"/>
        </w:rPr>
        <w:t>dentified damping ratios show considerable scatter</w:t>
      </w:r>
      <w:r w:rsidR="008C0883" w:rsidRPr="00C41C12">
        <w:rPr>
          <w:lang w:eastAsia="en-NZ"/>
        </w:rPr>
        <w:t xml:space="preserve"> for both buildings</w:t>
      </w:r>
      <w:r w:rsidR="00D83A38" w:rsidRPr="00C41C12">
        <w:rPr>
          <w:lang w:eastAsia="en-NZ"/>
        </w:rPr>
        <w:t xml:space="preserve">. </w:t>
      </w:r>
      <w:r w:rsidR="008C0883" w:rsidRPr="00C41C12">
        <w:rPr>
          <w:lang w:eastAsia="en-NZ"/>
        </w:rPr>
        <w:t xml:space="preserve">Along X- and Y-directions, for both buildings, </w:t>
      </w:r>
      <w:r w:rsidR="00D83A38" w:rsidRPr="00C41C12">
        <w:rPr>
          <w:lang w:eastAsia="en-NZ"/>
        </w:rPr>
        <w:t>the first mode damping ratio shows increasing trend</w:t>
      </w:r>
      <w:r w:rsidRPr="00C41C12">
        <w:rPr>
          <w:lang w:eastAsia="en-NZ"/>
        </w:rPr>
        <w:t>s</w:t>
      </w:r>
      <w:r w:rsidR="00D83A38" w:rsidRPr="00C41C12">
        <w:rPr>
          <w:lang w:eastAsia="en-NZ"/>
        </w:rPr>
        <w:t xml:space="preserve"> with </w:t>
      </w:r>
      <w:r w:rsidRPr="00C41C12">
        <w:rPr>
          <w:lang w:eastAsia="en-NZ"/>
        </w:rPr>
        <w:t xml:space="preserve">the </w:t>
      </w:r>
      <w:r w:rsidR="00D83A38" w:rsidRPr="00C41C12">
        <w:rPr>
          <w:lang w:eastAsia="en-NZ"/>
        </w:rPr>
        <w:t xml:space="preserve">increased level of shaking and </w:t>
      </w:r>
      <w:r w:rsidRPr="00C41C12">
        <w:rPr>
          <w:lang w:eastAsia="en-NZ"/>
        </w:rPr>
        <w:t>their</w:t>
      </w:r>
      <w:r w:rsidR="00D83A38" w:rsidRPr="00C41C12">
        <w:rPr>
          <w:lang w:eastAsia="en-NZ"/>
        </w:rPr>
        <w:t xml:space="preserve"> </w:t>
      </w:r>
      <w:r w:rsidR="00D83A38" w:rsidRPr="00C41C12">
        <w:rPr>
          <w:i/>
          <w:lang w:eastAsia="en-NZ"/>
        </w:rPr>
        <w:t>R</w:t>
      </w:r>
      <w:r w:rsidR="00D83A38" w:rsidRPr="00C41C12">
        <w:rPr>
          <w:i/>
          <w:vertAlign w:val="superscript"/>
          <w:lang w:eastAsia="en-NZ"/>
        </w:rPr>
        <w:t>2</w:t>
      </w:r>
      <w:r w:rsidR="00D83A38" w:rsidRPr="00C41C12">
        <w:rPr>
          <w:lang w:eastAsia="en-NZ"/>
        </w:rPr>
        <w:t xml:space="preserve"> value</w:t>
      </w:r>
      <w:r w:rsidRPr="00C41C12">
        <w:rPr>
          <w:lang w:eastAsia="en-NZ"/>
        </w:rPr>
        <w:t>s</w:t>
      </w:r>
      <w:r w:rsidR="00D83A38" w:rsidRPr="00C41C12">
        <w:rPr>
          <w:i/>
          <w:vertAlign w:val="superscript"/>
          <w:lang w:eastAsia="en-NZ"/>
        </w:rPr>
        <w:t xml:space="preserve"> </w:t>
      </w:r>
      <w:r w:rsidR="00D83A38" w:rsidRPr="00C41C12">
        <w:rPr>
          <w:lang w:eastAsia="en-NZ"/>
        </w:rPr>
        <w:t xml:space="preserve">reflect a better correlation than </w:t>
      </w:r>
      <w:r w:rsidRPr="00C41C12">
        <w:rPr>
          <w:lang w:eastAsia="en-NZ"/>
        </w:rPr>
        <w:t xml:space="preserve">for </w:t>
      </w:r>
      <w:r w:rsidR="00D83A38" w:rsidRPr="00C41C12">
        <w:rPr>
          <w:lang w:eastAsia="en-NZ"/>
        </w:rPr>
        <w:t>the second and third mode damping rat</w:t>
      </w:r>
      <w:r w:rsidR="007A4C0F" w:rsidRPr="00C41C12">
        <w:rPr>
          <w:lang w:eastAsia="en-NZ"/>
        </w:rPr>
        <w:t>ios</w:t>
      </w:r>
      <w:r w:rsidR="00D83A38" w:rsidRPr="00C41C12">
        <w:rPr>
          <w:lang w:eastAsia="en-NZ"/>
        </w:rPr>
        <w:t xml:space="preserve"> (Figs </w:t>
      </w:r>
      <w:r w:rsidR="00BE55D4">
        <w:rPr>
          <w:lang w:eastAsia="en-NZ"/>
        </w:rPr>
        <w:t>9</w:t>
      </w:r>
      <w:r w:rsidR="00D83A38" w:rsidRPr="00C41C12">
        <w:rPr>
          <w:lang w:eastAsia="en-NZ"/>
        </w:rPr>
        <w:t>a</w:t>
      </w:r>
      <w:r w:rsidR="007A4C0F" w:rsidRPr="00C41C12">
        <w:rPr>
          <w:lang w:eastAsia="en-NZ"/>
        </w:rPr>
        <w:t>-</w:t>
      </w:r>
      <w:r w:rsidRPr="00C41C12">
        <w:rPr>
          <w:lang w:eastAsia="en-NZ"/>
        </w:rPr>
        <w:t>f and</w:t>
      </w:r>
      <w:r w:rsidR="00BE55D4">
        <w:rPr>
          <w:lang w:eastAsia="en-NZ"/>
        </w:rPr>
        <w:t>10</w:t>
      </w:r>
      <w:r w:rsidR="00D83A38" w:rsidRPr="00C41C12">
        <w:rPr>
          <w:lang w:eastAsia="en-NZ"/>
        </w:rPr>
        <w:t>a</w:t>
      </w:r>
      <w:r w:rsidR="007A4C0F" w:rsidRPr="00C41C12">
        <w:rPr>
          <w:lang w:eastAsia="en-NZ"/>
        </w:rPr>
        <w:t>-f</w:t>
      </w:r>
      <w:r w:rsidR="00D83A38" w:rsidRPr="00C41C12">
        <w:rPr>
          <w:lang w:eastAsia="en-NZ"/>
        </w:rPr>
        <w:t xml:space="preserve">). However, </w:t>
      </w:r>
      <w:r w:rsidRPr="00C41C12">
        <w:rPr>
          <w:lang w:eastAsia="en-NZ"/>
        </w:rPr>
        <w:t xml:space="preserve">the </w:t>
      </w:r>
      <w:r w:rsidR="00D83A38" w:rsidRPr="00C41C12">
        <w:rPr>
          <w:lang w:eastAsia="en-NZ"/>
        </w:rPr>
        <w:t xml:space="preserve">second mode damping ratios, which correspond to a nearly purely torsional mode, do not show any clear trend </w:t>
      </w:r>
      <w:r w:rsidR="007A4C0F" w:rsidRPr="00C41C12">
        <w:rPr>
          <w:lang w:eastAsia="en-NZ"/>
        </w:rPr>
        <w:t>for both the buildings</w:t>
      </w:r>
      <w:r w:rsidR="00EA1AD6">
        <w:rPr>
          <w:lang w:eastAsia="en-NZ"/>
        </w:rPr>
        <w:t>,</w:t>
      </w:r>
      <w:r w:rsidR="007A4C0F" w:rsidRPr="00C41C12">
        <w:rPr>
          <w:lang w:eastAsia="en-NZ"/>
        </w:rPr>
        <w:t xml:space="preserve"> </w:t>
      </w:r>
      <w:r w:rsidR="00EA1AD6">
        <w:rPr>
          <w:lang w:eastAsia="en-NZ"/>
        </w:rPr>
        <w:t xml:space="preserve">with </w:t>
      </w:r>
      <w:r w:rsidR="00EA1AD6" w:rsidRPr="00EA1AD6">
        <w:rPr>
          <w:i/>
          <w:lang w:eastAsia="en-NZ"/>
        </w:rPr>
        <w:t>R</w:t>
      </w:r>
      <w:r w:rsidR="00EA1AD6" w:rsidRPr="00EA1AD6">
        <w:rPr>
          <w:i/>
          <w:vertAlign w:val="superscript"/>
          <w:lang w:eastAsia="en-NZ"/>
        </w:rPr>
        <w:t>2</w:t>
      </w:r>
      <w:r w:rsidR="00EA1AD6">
        <w:rPr>
          <w:lang w:eastAsia="en-NZ"/>
        </w:rPr>
        <w:t xml:space="preserve"> values less than 0.1 for all four cases </w:t>
      </w:r>
      <w:r w:rsidR="00D83A38" w:rsidRPr="00C41C12">
        <w:rPr>
          <w:lang w:eastAsia="en-NZ"/>
        </w:rPr>
        <w:t xml:space="preserve">(Figs </w:t>
      </w:r>
      <w:r w:rsidR="00BE55D4">
        <w:rPr>
          <w:lang w:eastAsia="en-NZ"/>
        </w:rPr>
        <w:t>9</w:t>
      </w:r>
      <w:r w:rsidR="00D83A38" w:rsidRPr="00C41C12">
        <w:rPr>
          <w:lang w:eastAsia="en-NZ"/>
        </w:rPr>
        <w:t>b,</w:t>
      </w:r>
      <w:r w:rsidR="007A4C0F" w:rsidRPr="00C41C12">
        <w:rPr>
          <w:lang w:eastAsia="en-NZ"/>
        </w:rPr>
        <w:t xml:space="preserve"> e</w:t>
      </w:r>
      <w:r w:rsidRPr="00C41C12">
        <w:rPr>
          <w:lang w:eastAsia="en-NZ"/>
        </w:rPr>
        <w:t xml:space="preserve"> and </w:t>
      </w:r>
      <w:r w:rsidR="00BE55D4">
        <w:rPr>
          <w:lang w:eastAsia="en-NZ"/>
        </w:rPr>
        <w:t>10</w:t>
      </w:r>
      <w:r w:rsidR="00D83A38" w:rsidRPr="00C41C12">
        <w:rPr>
          <w:lang w:eastAsia="en-NZ"/>
        </w:rPr>
        <w:t>b</w:t>
      </w:r>
      <w:r w:rsidRPr="00C41C12">
        <w:rPr>
          <w:lang w:eastAsia="en-NZ"/>
        </w:rPr>
        <w:t xml:space="preserve">, </w:t>
      </w:r>
      <w:r w:rsidR="007A4C0F" w:rsidRPr="00C41C12">
        <w:rPr>
          <w:lang w:eastAsia="en-NZ"/>
        </w:rPr>
        <w:t>e)</w:t>
      </w:r>
      <w:r w:rsidR="00D83A38" w:rsidRPr="00C41C12">
        <w:rPr>
          <w:lang w:eastAsia="en-NZ"/>
        </w:rPr>
        <w:t>. The third mode is also showing signs of increasing damping with</w:t>
      </w:r>
      <w:r w:rsidRPr="00C41C12">
        <w:rPr>
          <w:lang w:eastAsia="en-NZ"/>
        </w:rPr>
        <w:t xml:space="preserve"> increased</w:t>
      </w:r>
      <w:r w:rsidR="00D83A38" w:rsidRPr="00C41C12">
        <w:rPr>
          <w:lang w:eastAsia="en-NZ"/>
        </w:rPr>
        <w:t xml:space="preserve"> level of shaking with the exception of a few outliers (Figs </w:t>
      </w:r>
      <w:r w:rsidR="00BE55D4">
        <w:rPr>
          <w:lang w:eastAsia="en-NZ"/>
        </w:rPr>
        <w:t>9</w:t>
      </w:r>
      <w:r w:rsidR="00D83A38" w:rsidRPr="00C41C12">
        <w:rPr>
          <w:lang w:eastAsia="en-NZ"/>
        </w:rPr>
        <w:t>c</w:t>
      </w:r>
      <w:r w:rsidR="007A4C0F" w:rsidRPr="00C41C12">
        <w:rPr>
          <w:lang w:eastAsia="en-NZ"/>
        </w:rPr>
        <w:t>, f</w:t>
      </w:r>
      <w:r w:rsidRPr="00C41C12">
        <w:rPr>
          <w:lang w:eastAsia="en-NZ"/>
        </w:rPr>
        <w:t xml:space="preserve"> and </w:t>
      </w:r>
      <w:r w:rsidR="00BE55D4">
        <w:rPr>
          <w:lang w:eastAsia="en-NZ"/>
        </w:rPr>
        <w:t>10</w:t>
      </w:r>
      <w:r w:rsidR="00D83A38" w:rsidRPr="00C41C12">
        <w:rPr>
          <w:lang w:eastAsia="en-NZ"/>
        </w:rPr>
        <w:t>c</w:t>
      </w:r>
      <w:r w:rsidR="007A4C0F" w:rsidRPr="00C41C12">
        <w:rPr>
          <w:lang w:eastAsia="en-NZ"/>
        </w:rPr>
        <w:t>, f</w:t>
      </w:r>
      <w:r w:rsidR="00D83A38" w:rsidRPr="00C41C12">
        <w:rPr>
          <w:lang w:eastAsia="en-NZ"/>
        </w:rPr>
        <w:t xml:space="preserve">). </w:t>
      </w:r>
    </w:p>
    <w:p w:rsidR="003D7C31" w:rsidRPr="00C41C12" w:rsidRDefault="003D7C31" w:rsidP="003D7C31">
      <w:pPr>
        <w:pStyle w:val="Tablecaption"/>
        <w:rPr>
          <w:lang w:eastAsia="en-NZ"/>
        </w:rPr>
      </w:pPr>
      <w:r w:rsidRPr="00C41C12">
        <w:rPr>
          <w:lang w:eastAsia="en-NZ"/>
        </w:rPr>
        <w:t>Table 1.</w:t>
      </w:r>
      <w:r w:rsidR="00F80163" w:rsidRPr="00C41C12">
        <w:rPr>
          <w:lang w:eastAsia="en-NZ"/>
        </w:rPr>
        <w:t xml:space="preserve"> Summary of identified </w:t>
      </w:r>
      <w:r w:rsidR="00EA2708" w:rsidRPr="00C41C12">
        <w:rPr>
          <w:lang w:eastAsia="en-NZ"/>
        </w:rPr>
        <w:t xml:space="preserve">frequencies and damping ratios </w:t>
      </w:r>
      <w:r w:rsidR="00F80163" w:rsidRPr="00C41C12">
        <w:rPr>
          <w:lang w:eastAsia="en-NZ"/>
        </w:rPr>
        <w:t>for</w:t>
      </w:r>
      <w:r w:rsidR="00BC0AC3" w:rsidRPr="00C41C12">
        <w:rPr>
          <w:lang w:eastAsia="en-NZ"/>
        </w:rPr>
        <w:t xml:space="preserve"> </w:t>
      </w:r>
      <w:r w:rsidR="00EA2708" w:rsidRPr="00C41C12">
        <w:rPr>
          <w:lang w:eastAsia="en-NZ"/>
        </w:rPr>
        <w:t>b</w:t>
      </w:r>
      <w:r w:rsidR="00F80163" w:rsidRPr="00C41C12">
        <w:rPr>
          <w:lang w:eastAsia="en-NZ"/>
        </w:rPr>
        <w:t>uilding</w:t>
      </w:r>
      <w:r w:rsidR="00BC0AC3" w:rsidRPr="00C41C12">
        <w:rPr>
          <w:lang w:eastAsia="en-NZ"/>
        </w:rPr>
        <w:t>s</w:t>
      </w:r>
      <w:r w:rsidR="00F80163" w:rsidRPr="00C41C12">
        <w:rPr>
          <w:lang w:eastAsia="en-NZ"/>
        </w:rPr>
        <w:t xml:space="preserve"> A and B.</w:t>
      </w:r>
    </w:p>
    <w:tbl>
      <w:tblPr>
        <w:tblW w:w="9072" w:type="dxa"/>
        <w:tblInd w:w="108" w:type="dxa"/>
        <w:tblLayout w:type="fixed"/>
        <w:tblLook w:val="04A0"/>
      </w:tblPr>
      <w:tblGrid>
        <w:gridCol w:w="426"/>
        <w:gridCol w:w="1842"/>
        <w:gridCol w:w="709"/>
        <w:gridCol w:w="9"/>
        <w:gridCol w:w="700"/>
        <w:gridCol w:w="697"/>
        <w:gridCol w:w="6"/>
        <w:gridCol w:w="6"/>
        <w:gridCol w:w="277"/>
        <w:gridCol w:w="857"/>
        <w:gridCol w:w="283"/>
        <w:gridCol w:w="270"/>
        <w:gridCol w:w="439"/>
        <w:gridCol w:w="709"/>
        <w:gridCol w:w="708"/>
        <w:gridCol w:w="1134"/>
      </w:tblGrid>
      <w:tr w:rsidR="003D7C31" w:rsidRPr="00C41C12" w:rsidTr="00795D9D">
        <w:trPr>
          <w:trHeight w:val="289"/>
        </w:trPr>
        <w:tc>
          <w:tcPr>
            <w:tcW w:w="426" w:type="dxa"/>
            <w:vMerge w:val="restart"/>
            <w:tcBorders>
              <w:top w:val="single" w:sz="4" w:space="0" w:color="auto"/>
            </w:tcBorders>
          </w:tcPr>
          <w:p w:rsidR="003D7C31" w:rsidRPr="00C41C12" w:rsidRDefault="003D7C31" w:rsidP="00EC7882">
            <w:pPr>
              <w:pStyle w:val="Tabletext"/>
              <w:rPr>
                <w:szCs w:val="22"/>
                <w:lang w:eastAsia="en-NZ"/>
              </w:rPr>
            </w:pPr>
          </w:p>
        </w:tc>
        <w:tc>
          <w:tcPr>
            <w:tcW w:w="1842" w:type="dxa"/>
            <w:vMerge w:val="restart"/>
            <w:tcBorders>
              <w:top w:val="single" w:sz="4" w:space="0" w:color="auto"/>
            </w:tcBorders>
            <w:vAlign w:val="center"/>
          </w:tcPr>
          <w:p w:rsidR="003D7C31" w:rsidRPr="00C41C12" w:rsidRDefault="0003170A" w:rsidP="003D7C31">
            <w:pPr>
              <w:pStyle w:val="Tableheading"/>
            </w:pPr>
            <w:r w:rsidRPr="00C41C12">
              <w:t>Mode</w:t>
            </w:r>
          </w:p>
        </w:tc>
        <w:tc>
          <w:tcPr>
            <w:tcW w:w="3261" w:type="dxa"/>
            <w:gridSpan w:val="8"/>
            <w:tcBorders>
              <w:top w:val="single" w:sz="4" w:space="0" w:color="auto"/>
              <w:bottom w:val="single" w:sz="4" w:space="0" w:color="auto"/>
            </w:tcBorders>
            <w:vAlign w:val="center"/>
          </w:tcPr>
          <w:p w:rsidR="003D7C31" w:rsidRPr="00C41C12" w:rsidRDefault="003D7C31" w:rsidP="003D7C31">
            <w:pPr>
              <w:pStyle w:val="Tableheading"/>
            </w:pPr>
            <w:r w:rsidRPr="00C41C12">
              <w:t>Frequency (Hz)</w:t>
            </w:r>
          </w:p>
        </w:tc>
        <w:tc>
          <w:tcPr>
            <w:tcW w:w="283" w:type="dxa"/>
            <w:tcBorders>
              <w:top w:val="single" w:sz="4" w:space="0" w:color="auto"/>
            </w:tcBorders>
            <w:vAlign w:val="center"/>
          </w:tcPr>
          <w:p w:rsidR="003D7C31" w:rsidRPr="00C41C12" w:rsidRDefault="003D7C31" w:rsidP="003D7C31">
            <w:pPr>
              <w:pStyle w:val="Tableheading"/>
            </w:pPr>
          </w:p>
        </w:tc>
        <w:tc>
          <w:tcPr>
            <w:tcW w:w="3260" w:type="dxa"/>
            <w:gridSpan w:val="5"/>
            <w:tcBorders>
              <w:top w:val="single" w:sz="4" w:space="0" w:color="auto"/>
              <w:bottom w:val="single" w:sz="4" w:space="0" w:color="auto"/>
            </w:tcBorders>
            <w:vAlign w:val="center"/>
          </w:tcPr>
          <w:p w:rsidR="003D7C31" w:rsidRPr="00C41C12" w:rsidRDefault="003D7C31" w:rsidP="003D7C31">
            <w:pPr>
              <w:pStyle w:val="Tableheading"/>
            </w:pPr>
            <w:r w:rsidRPr="00C41C12">
              <w:t>Damping ratios (%)</w:t>
            </w:r>
          </w:p>
        </w:tc>
      </w:tr>
      <w:tr w:rsidR="00242D45" w:rsidRPr="00C41C12" w:rsidTr="00795D9D">
        <w:trPr>
          <w:trHeight w:val="289"/>
        </w:trPr>
        <w:tc>
          <w:tcPr>
            <w:tcW w:w="426" w:type="dxa"/>
            <w:vMerge/>
            <w:tcBorders>
              <w:bottom w:val="single" w:sz="4" w:space="0" w:color="auto"/>
            </w:tcBorders>
          </w:tcPr>
          <w:p w:rsidR="003D7C31" w:rsidRPr="00C41C12" w:rsidRDefault="003D7C31" w:rsidP="00EC7882">
            <w:pPr>
              <w:pStyle w:val="Tabletext"/>
              <w:rPr>
                <w:szCs w:val="22"/>
                <w:lang w:eastAsia="en-NZ"/>
              </w:rPr>
            </w:pPr>
          </w:p>
        </w:tc>
        <w:tc>
          <w:tcPr>
            <w:tcW w:w="1842" w:type="dxa"/>
            <w:vMerge/>
            <w:tcBorders>
              <w:bottom w:val="single" w:sz="4" w:space="0" w:color="auto"/>
            </w:tcBorders>
            <w:vAlign w:val="center"/>
          </w:tcPr>
          <w:p w:rsidR="003D7C31" w:rsidRPr="00C41C12" w:rsidRDefault="003D7C31" w:rsidP="003D7C31">
            <w:pPr>
              <w:pStyle w:val="Tableheading"/>
            </w:pPr>
          </w:p>
        </w:tc>
        <w:tc>
          <w:tcPr>
            <w:tcW w:w="709" w:type="dxa"/>
            <w:tcBorders>
              <w:top w:val="single" w:sz="4" w:space="0" w:color="auto"/>
              <w:bottom w:val="single" w:sz="4" w:space="0" w:color="auto"/>
            </w:tcBorders>
            <w:vAlign w:val="center"/>
          </w:tcPr>
          <w:p w:rsidR="003D7C31" w:rsidRPr="00C41C12" w:rsidRDefault="003D7C31" w:rsidP="003D7C31">
            <w:pPr>
              <w:pStyle w:val="Tableheading"/>
            </w:pPr>
            <w:r w:rsidRPr="00C41C12">
              <w:t>Min.</w:t>
            </w:r>
          </w:p>
        </w:tc>
        <w:tc>
          <w:tcPr>
            <w:tcW w:w="709" w:type="dxa"/>
            <w:gridSpan w:val="2"/>
            <w:tcBorders>
              <w:top w:val="single" w:sz="4" w:space="0" w:color="auto"/>
              <w:bottom w:val="single" w:sz="4" w:space="0" w:color="auto"/>
            </w:tcBorders>
            <w:vAlign w:val="center"/>
          </w:tcPr>
          <w:p w:rsidR="003D7C31" w:rsidRPr="00C41C12" w:rsidRDefault="003D7C31" w:rsidP="003D7C31">
            <w:pPr>
              <w:pStyle w:val="Tableheading"/>
            </w:pPr>
            <w:r w:rsidRPr="00C41C12">
              <w:t>Max.</w:t>
            </w:r>
          </w:p>
        </w:tc>
        <w:tc>
          <w:tcPr>
            <w:tcW w:w="709" w:type="dxa"/>
            <w:gridSpan w:val="3"/>
            <w:tcBorders>
              <w:top w:val="single" w:sz="4" w:space="0" w:color="auto"/>
              <w:bottom w:val="single" w:sz="4" w:space="0" w:color="auto"/>
            </w:tcBorders>
            <w:vAlign w:val="center"/>
          </w:tcPr>
          <w:p w:rsidR="003D7C31" w:rsidRPr="00C41C12" w:rsidRDefault="003D7C31" w:rsidP="00F80163">
            <w:pPr>
              <w:pStyle w:val="Tableheading"/>
            </w:pPr>
            <w:r w:rsidRPr="00C41C12">
              <w:t>Av</w:t>
            </w:r>
            <w:r w:rsidR="00F80163" w:rsidRPr="00C41C12">
              <w:t>g.</w:t>
            </w:r>
          </w:p>
        </w:tc>
        <w:tc>
          <w:tcPr>
            <w:tcW w:w="1134" w:type="dxa"/>
            <w:gridSpan w:val="2"/>
            <w:tcBorders>
              <w:top w:val="single" w:sz="4" w:space="0" w:color="auto"/>
              <w:bottom w:val="single" w:sz="4" w:space="0" w:color="auto"/>
            </w:tcBorders>
            <w:vAlign w:val="center"/>
          </w:tcPr>
          <w:p w:rsidR="003D7C31" w:rsidRPr="00C41C12" w:rsidRDefault="00795D9D" w:rsidP="00795D9D">
            <w:pPr>
              <w:pStyle w:val="Tableheading"/>
            </w:pPr>
            <w:r>
              <w:t>%c</w:t>
            </w:r>
            <w:r w:rsidR="003D7C31" w:rsidRPr="00C41C12">
              <w:t>hange</w:t>
            </w:r>
          </w:p>
        </w:tc>
        <w:tc>
          <w:tcPr>
            <w:tcW w:w="283" w:type="dxa"/>
            <w:tcBorders>
              <w:bottom w:val="single" w:sz="4" w:space="0" w:color="auto"/>
            </w:tcBorders>
            <w:vAlign w:val="center"/>
          </w:tcPr>
          <w:p w:rsidR="003D7C31" w:rsidRPr="00C41C12" w:rsidRDefault="003D7C31" w:rsidP="003D7C31">
            <w:pPr>
              <w:pStyle w:val="Tableheading"/>
            </w:pPr>
          </w:p>
        </w:tc>
        <w:tc>
          <w:tcPr>
            <w:tcW w:w="709" w:type="dxa"/>
            <w:gridSpan w:val="2"/>
            <w:tcBorders>
              <w:top w:val="single" w:sz="4" w:space="0" w:color="auto"/>
              <w:bottom w:val="single" w:sz="4" w:space="0" w:color="auto"/>
            </w:tcBorders>
            <w:vAlign w:val="center"/>
          </w:tcPr>
          <w:p w:rsidR="003D7C31" w:rsidRPr="00C41C12" w:rsidRDefault="003D7C31" w:rsidP="003D7C31">
            <w:pPr>
              <w:pStyle w:val="Tableheading"/>
            </w:pPr>
            <w:r w:rsidRPr="00C41C12">
              <w:t>Min.</w:t>
            </w:r>
          </w:p>
        </w:tc>
        <w:tc>
          <w:tcPr>
            <w:tcW w:w="709" w:type="dxa"/>
            <w:tcBorders>
              <w:top w:val="single" w:sz="4" w:space="0" w:color="auto"/>
              <w:bottom w:val="single" w:sz="4" w:space="0" w:color="auto"/>
            </w:tcBorders>
            <w:vAlign w:val="center"/>
          </w:tcPr>
          <w:p w:rsidR="003D7C31" w:rsidRPr="00C41C12" w:rsidRDefault="003D7C31" w:rsidP="003D7C31">
            <w:pPr>
              <w:pStyle w:val="Tableheading"/>
            </w:pPr>
            <w:r w:rsidRPr="00C41C12">
              <w:t>Max.</w:t>
            </w:r>
          </w:p>
        </w:tc>
        <w:tc>
          <w:tcPr>
            <w:tcW w:w="708" w:type="dxa"/>
            <w:tcBorders>
              <w:top w:val="single" w:sz="4" w:space="0" w:color="auto"/>
              <w:bottom w:val="single" w:sz="4" w:space="0" w:color="auto"/>
            </w:tcBorders>
            <w:vAlign w:val="center"/>
          </w:tcPr>
          <w:p w:rsidR="003D7C31" w:rsidRPr="00C41C12" w:rsidRDefault="00F80163" w:rsidP="003D7C31">
            <w:pPr>
              <w:pStyle w:val="Tableheading"/>
            </w:pPr>
            <w:r w:rsidRPr="00C41C12">
              <w:t>Avg.</w:t>
            </w:r>
          </w:p>
        </w:tc>
        <w:tc>
          <w:tcPr>
            <w:tcW w:w="1134" w:type="dxa"/>
            <w:tcBorders>
              <w:top w:val="single" w:sz="4" w:space="0" w:color="auto"/>
              <w:bottom w:val="single" w:sz="4" w:space="0" w:color="auto"/>
            </w:tcBorders>
            <w:vAlign w:val="center"/>
          </w:tcPr>
          <w:p w:rsidR="003D7C31" w:rsidRPr="00C41C12" w:rsidRDefault="00795D9D" w:rsidP="00795D9D">
            <w:pPr>
              <w:pStyle w:val="Tableheading"/>
            </w:pPr>
            <w:r>
              <w:t>%c</w:t>
            </w:r>
            <w:r w:rsidR="00F80163" w:rsidRPr="00C41C12">
              <w:t>hange</w:t>
            </w:r>
          </w:p>
        </w:tc>
      </w:tr>
      <w:tr w:rsidR="00242D45" w:rsidRPr="00C41C12" w:rsidTr="00795D9D">
        <w:trPr>
          <w:trHeight w:val="289"/>
        </w:trPr>
        <w:tc>
          <w:tcPr>
            <w:tcW w:w="426" w:type="dxa"/>
            <w:vMerge w:val="restart"/>
            <w:tcBorders>
              <w:top w:val="single" w:sz="4" w:space="0" w:color="auto"/>
              <w:bottom w:val="single" w:sz="4" w:space="0" w:color="auto"/>
            </w:tcBorders>
            <w:textDirection w:val="btLr"/>
            <w:vAlign w:val="center"/>
          </w:tcPr>
          <w:p w:rsidR="00C71230" w:rsidRPr="00C41C12" w:rsidRDefault="00C71230" w:rsidP="00242D45">
            <w:pPr>
              <w:pStyle w:val="Tableheading"/>
              <w:ind w:right="113"/>
              <w:rPr>
                <w:lang w:eastAsia="en-NZ"/>
              </w:rPr>
            </w:pPr>
            <w:r w:rsidRPr="00C41C12">
              <w:rPr>
                <w:lang w:eastAsia="en-NZ"/>
              </w:rPr>
              <w:t>Building A</w:t>
            </w:r>
          </w:p>
        </w:tc>
        <w:tc>
          <w:tcPr>
            <w:tcW w:w="1842" w:type="dxa"/>
            <w:tcBorders>
              <w:top w:val="single" w:sz="4" w:space="0" w:color="auto"/>
            </w:tcBorders>
            <w:vAlign w:val="center"/>
          </w:tcPr>
          <w:p w:rsidR="00C71230" w:rsidRPr="00C41C12" w:rsidRDefault="00C71230" w:rsidP="003D7C31">
            <w:pPr>
              <w:pStyle w:val="Tabletext"/>
              <w:rPr>
                <w:szCs w:val="22"/>
              </w:rPr>
            </w:pPr>
            <w:r w:rsidRPr="00C41C12">
              <w:rPr>
                <w:szCs w:val="22"/>
              </w:rPr>
              <w:t>1</w:t>
            </w:r>
            <w:r w:rsidRPr="00C41C12">
              <w:rPr>
                <w:szCs w:val="22"/>
                <w:vertAlign w:val="superscript"/>
              </w:rPr>
              <w:t>st</w:t>
            </w:r>
            <w:r w:rsidR="00F80163" w:rsidRPr="00C41C12">
              <w:rPr>
                <w:szCs w:val="22"/>
                <w:vertAlign w:val="superscript"/>
              </w:rPr>
              <w:t xml:space="preserve"> </w:t>
            </w:r>
            <w:r w:rsidR="0003170A" w:rsidRPr="00C41C12">
              <w:rPr>
                <w:szCs w:val="22"/>
              </w:rPr>
              <w:t xml:space="preserve"> </w:t>
            </w:r>
            <w:r w:rsidR="00F80163" w:rsidRPr="00C41C12">
              <w:rPr>
                <w:szCs w:val="22"/>
              </w:rPr>
              <w:t>(X-translation</w:t>
            </w:r>
            <w:r w:rsidR="00242D45">
              <w:rPr>
                <w:szCs w:val="22"/>
              </w:rPr>
              <w:t>)</w:t>
            </w:r>
          </w:p>
        </w:tc>
        <w:tc>
          <w:tcPr>
            <w:tcW w:w="709" w:type="dxa"/>
            <w:tcBorders>
              <w:top w:val="single" w:sz="4" w:space="0" w:color="auto"/>
            </w:tcBorders>
            <w:vAlign w:val="center"/>
          </w:tcPr>
          <w:p w:rsidR="00C71230" w:rsidRPr="00C41C12" w:rsidRDefault="00C71230" w:rsidP="003D7C31">
            <w:pPr>
              <w:pStyle w:val="Tabletext"/>
              <w:rPr>
                <w:szCs w:val="22"/>
              </w:rPr>
            </w:pPr>
            <w:r w:rsidRPr="00C41C12">
              <w:rPr>
                <w:szCs w:val="22"/>
              </w:rPr>
              <w:t>3.07</w:t>
            </w:r>
          </w:p>
        </w:tc>
        <w:tc>
          <w:tcPr>
            <w:tcW w:w="709" w:type="dxa"/>
            <w:gridSpan w:val="2"/>
            <w:tcBorders>
              <w:top w:val="single" w:sz="4" w:space="0" w:color="auto"/>
            </w:tcBorders>
            <w:vAlign w:val="center"/>
          </w:tcPr>
          <w:p w:rsidR="00C71230" w:rsidRPr="00C41C12" w:rsidRDefault="00C71230" w:rsidP="003D7C31">
            <w:pPr>
              <w:pStyle w:val="Tabletext"/>
              <w:rPr>
                <w:szCs w:val="22"/>
              </w:rPr>
            </w:pPr>
            <w:r w:rsidRPr="00C41C12">
              <w:rPr>
                <w:szCs w:val="22"/>
              </w:rPr>
              <w:t>3.51</w:t>
            </w:r>
          </w:p>
        </w:tc>
        <w:tc>
          <w:tcPr>
            <w:tcW w:w="709" w:type="dxa"/>
            <w:gridSpan w:val="3"/>
            <w:tcBorders>
              <w:top w:val="single" w:sz="4" w:space="0" w:color="auto"/>
            </w:tcBorders>
            <w:vAlign w:val="center"/>
          </w:tcPr>
          <w:p w:rsidR="00C71230" w:rsidRPr="00C41C12" w:rsidRDefault="00C71230" w:rsidP="003D7C31">
            <w:pPr>
              <w:pStyle w:val="Tabletext"/>
              <w:rPr>
                <w:szCs w:val="22"/>
              </w:rPr>
            </w:pPr>
            <w:r w:rsidRPr="00C41C12">
              <w:rPr>
                <w:szCs w:val="22"/>
              </w:rPr>
              <w:t>3.37</w:t>
            </w:r>
          </w:p>
        </w:tc>
        <w:tc>
          <w:tcPr>
            <w:tcW w:w="1134" w:type="dxa"/>
            <w:gridSpan w:val="2"/>
            <w:tcBorders>
              <w:top w:val="single" w:sz="4" w:space="0" w:color="auto"/>
            </w:tcBorders>
            <w:vAlign w:val="center"/>
          </w:tcPr>
          <w:p w:rsidR="00C71230" w:rsidRPr="00C41C12" w:rsidRDefault="00D75B95" w:rsidP="003D7C31">
            <w:pPr>
              <w:pStyle w:val="Tabletext"/>
              <w:rPr>
                <w:szCs w:val="22"/>
              </w:rPr>
            </w:pPr>
            <w:r w:rsidRPr="00C41C12">
              <w:rPr>
                <w:szCs w:val="22"/>
              </w:rPr>
              <w:t>13%</w:t>
            </w:r>
          </w:p>
        </w:tc>
        <w:tc>
          <w:tcPr>
            <w:tcW w:w="283" w:type="dxa"/>
            <w:tcBorders>
              <w:top w:val="single" w:sz="4" w:space="0" w:color="auto"/>
            </w:tcBorders>
            <w:vAlign w:val="center"/>
          </w:tcPr>
          <w:p w:rsidR="00C71230" w:rsidRPr="00C41C12" w:rsidRDefault="00C71230" w:rsidP="003D7C31">
            <w:pPr>
              <w:pStyle w:val="Tabletext"/>
              <w:rPr>
                <w:szCs w:val="22"/>
              </w:rPr>
            </w:pPr>
          </w:p>
        </w:tc>
        <w:tc>
          <w:tcPr>
            <w:tcW w:w="709" w:type="dxa"/>
            <w:gridSpan w:val="2"/>
            <w:tcBorders>
              <w:top w:val="single" w:sz="4" w:space="0" w:color="auto"/>
            </w:tcBorders>
            <w:vAlign w:val="center"/>
          </w:tcPr>
          <w:p w:rsidR="00C71230" w:rsidRPr="00C41C12" w:rsidRDefault="00C71230" w:rsidP="003D7C31">
            <w:pPr>
              <w:pStyle w:val="Tabletext"/>
              <w:rPr>
                <w:szCs w:val="22"/>
              </w:rPr>
            </w:pPr>
            <w:r w:rsidRPr="00C41C12">
              <w:rPr>
                <w:szCs w:val="22"/>
              </w:rPr>
              <w:t>0.4</w:t>
            </w:r>
          </w:p>
        </w:tc>
        <w:tc>
          <w:tcPr>
            <w:tcW w:w="709" w:type="dxa"/>
            <w:tcBorders>
              <w:top w:val="single" w:sz="4" w:space="0" w:color="auto"/>
            </w:tcBorders>
            <w:vAlign w:val="center"/>
          </w:tcPr>
          <w:p w:rsidR="00C71230" w:rsidRPr="00C41C12" w:rsidRDefault="00C71230" w:rsidP="003D7C31">
            <w:pPr>
              <w:pStyle w:val="Tabletext"/>
              <w:rPr>
                <w:szCs w:val="22"/>
              </w:rPr>
            </w:pPr>
            <w:r w:rsidRPr="00C41C12">
              <w:rPr>
                <w:szCs w:val="22"/>
              </w:rPr>
              <w:t>4.5</w:t>
            </w:r>
          </w:p>
        </w:tc>
        <w:tc>
          <w:tcPr>
            <w:tcW w:w="708" w:type="dxa"/>
            <w:tcBorders>
              <w:top w:val="single" w:sz="4" w:space="0" w:color="auto"/>
            </w:tcBorders>
            <w:vAlign w:val="center"/>
          </w:tcPr>
          <w:p w:rsidR="00C71230" w:rsidRPr="00C41C12" w:rsidRDefault="00C71230" w:rsidP="003D7C31">
            <w:pPr>
              <w:pStyle w:val="Tabletext"/>
              <w:rPr>
                <w:szCs w:val="22"/>
              </w:rPr>
            </w:pPr>
            <w:r w:rsidRPr="00C41C12">
              <w:rPr>
                <w:szCs w:val="22"/>
              </w:rPr>
              <w:t>2.7</w:t>
            </w:r>
          </w:p>
        </w:tc>
        <w:tc>
          <w:tcPr>
            <w:tcW w:w="1134" w:type="dxa"/>
            <w:tcBorders>
              <w:top w:val="single" w:sz="4" w:space="0" w:color="auto"/>
            </w:tcBorders>
            <w:vAlign w:val="center"/>
          </w:tcPr>
          <w:p w:rsidR="00C71230" w:rsidRPr="00C41C12" w:rsidRDefault="00D75B95" w:rsidP="003D7C31">
            <w:pPr>
              <w:pStyle w:val="Tabletext"/>
              <w:rPr>
                <w:szCs w:val="22"/>
              </w:rPr>
            </w:pPr>
            <w:r w:rsidRPr="00C41C12">
              <w:rPr>
                <w:szCs w:val="22"/>
              </w:rPr>
              <w:t>150</w:t>
            </w:r>
            <w:r w:rsidR="000F7071" w:rsidRPr="00C41C12">
              <w:rPr>
                <w:szCs w:val="22"/>
              </w:rPr>
              <w:t>%</w:t>
            </w:r>
          </w:p>
        </w:tc>
      </w:tr>
      <w:tr w:rsidR="00242D45" w:rsidRPr="00C41C12" w:rsidTr="00795D9D">
        <w:trPr>
          <w:trHeight w:val="306"/>
        </w:trPr>
        <w:tc>
          <w:tcPr>
            <w:tcW w:w="426" w:type="dxa"/>
            <w:vMerge/>
            <w:tcBorders>
              <w:top w:val="single" w:sz="4" w:space="0" w:color="auto"/>
              <w:bottom w:val="single" w:sz="4" w:space="0" w:color="auto"/>
            </w:tcBorders>
          </w:tcPr>
          <w:p w:rsidR="00C71230" w:rsidRPr="00C41C12" w:rsidRDefault="00C71230" w:rsidP="003D7C31">
            <w:pPr>
              <w:pStyle w:val="Tableheading"/>
              <w:rPr>
                <w:lang w:eastAsia="en-NZ"/>
              </w:rPr>
            </w:pPr>
          </w:p>
        </w:tc>
        <w:tc>
          <w:tcPr>
            <w:tcW w:w="1842" w:type="dxa"/>
            <w:vAlign w:val="center"/>
          </w:tcPr>
          <w:p w:rsidR="00C71230" w:rsidRPr="00C41C12" w:rsidRDefault="00C71230" w:rsidP="00F80163">
            <w:pPr>
              <w:pStyle w:val="Tabletext"/>
              <w:rPr>
                <w:szCs w:val="22"/>
              </w:rPr>
            </w:pPr>
            <w:r w:rsidRPr="00C41C12">
              <w:rPr>
                <w:szCs w:val="22"/>
              </w:rPr>
              <w:t>2</w:t>
            </w:r>
            <w:r w:rsidRPr="00C41C12">
              <w:rPr>
                <w:szCs w:val="22"/>
                <w:vertAlign w:val="superscript"/>
              </w:rPr>
              <w:t>nd</w:t>
            </w:r>
            <w:r w:rsidR="00F80163" w:rsidRPr="00C41C12">
              <w:rPr>
                <w:szCs w:val="22"/>
              </w:rPr>
              <w:t xml:space="preserve"> (torsion)</w:t>
            </w:r>
          </w:p>
        </w:tc>
        <w:tc>
          <w:tcPr>
            <w:tcW w:w="709" w:type="dxa"/>
            <w:vAlign w:val="center"/>
          </w:tcPr>
          <w:p w:rsidR="00C71230" w:rsidRPr="00C41C12" w:rsidRDefault="00C71230" w:rsidP="003D7C31">
            <w:pPr>
              <w:pStyle w:val="Tabletext"/>
              <w:rPr>
                <w:szCs w:val="22"/>
              </w:rPr>
            </w:pPr>
            <w:r w:rsidRPr="00C41C12">
              <w:rPr>
                <w:szCs w:val="22"/>
              </w:rPr>
              <w:t>3.33</w:t>
            </w:r>
          </w:p>
        </w:tc>
        <w:tc>
          <w:tcPr>
            <w:tcW w:w="709" w:type="dxa"/>
            <w:gridSpan w:val="2"/>
            <w:vAlign w:val="center"/>
          </w:tcPr>
          <w:p w:rsidR="00C71230" w:rsidRPr="00C41C12" w:rsidRDefault="00C71230" w:rsidP="003D7C31">
            <w:pPr>
              <w:pStyle w:val="Tabletext"/>
              <w:rPr>
                <w:szCs w:val="22"/>
              </w:rPr>
            </w:pPr>
            <w:r w:rsidRPr="00C41C12">
              <w:rPr>
                <w:szCs w:val="22"/>
              </w:rPr>
              <w:t>3.85</w:t>
            </w:r>
          </w:p>
        </w:tc>
        <w:tc>
          <w:tcPr>
            <w:tcW w:w="709" w:type="dxa"/>
            <w:gridSpan w:val="3"/>
            <w:vAlign w:val="center"/>
          </w:tcPr>
          <w:p w:rsidR="00C71230" w:rsidRPr="00C41C12" w:rsidRDefault="00C71230" w:rsidP="003D7C31">
            <w:pPr>
              <w:pStyle w:val="Tabletext"/>
              <w:rPr>
                <w:szCs w:val="22"/>
              </w:rPr>
            </w:pPr>
            <w:r w:rsidRPr="00C41C12">
              <w:rPr>
                <w:szCs w:val="22"/>
              </w:rPr>
              <w:t>3.67</w:t>
            </w:r>
          </w:p>
        </w:tc>
        <w:tc>
          <w:tcPr>
            <w:tcW w:w="1134" w:type="dxa"/>
            <w:gridSpan w:val="2"/>
            <w:vAlign w:val="center"/>
          </w:tcPr>
          <w:p w:rsidR="00C71230" w:rsidRPr="00C41C12" w:rsidRDefault="00D75B95" w:rsidP="003D7C31">
            <w:pPr>
              <w:pStyle w:val="Tabletext"/>
              <w:rPr>
                <w:szCs w:val="22"/>
              </w:rPr>
            </w:pPr>
            <w:r w:rsidRPr="00C41C12">
              <w:rPr>
                <w:szCs w:val="22"/>
              </w:rPr>
              <w:t>14%</w:t>
            </w:r>
          </w:p>
        </w:tc>
        <w:tc>
          <w:tcPr>
            <w:tcW w:w="283" w:type="dxa"/>
            <w:vAlign w:val="center"/>
          </w:tcPr>
          <w:p w:rsidR="00C71230" w:rsidRPr="00C41C12" w:rsidRDefault="00C71230" w:rsidP="003D7C31">
            <w:pPr>
              <w:pStyle w:val="Tabletext"/>
              <w:rPr>
                <w:szCs w:val="22"/>
              </w:rPr>
            </w:pPr>
          </w:p>
        </w:tc>
        <w:tc>
          <w:tcPr>
            <w:tcW w:w="709" w:type="dxa"/>
            <w:gridSpan w:val="2"/>
            <w:vAlign w:val="center"/>
          </w:tcPr>
          <w:p w:rsidR="00C71230" w:rsidRPr="00C41C12" w:rsidRDefault="00C71230" w:rsidP="003D7C31">
            <w:pPr>
              <w:pStyle w:val="Tabletext"/>
              <w:rPr>
                <w:szCs w:val="22"/>
              </w:rPr>
            </w:pPr>
            <w:r w:rsidRPr="00C41C12">
              <w:rPr>
                <w:szCs w:val="22"/>
              </w:rPr>
              <w:t>1.4</w:t>
            </w:r>
          </w:p>
        </w:tc>
        <w:tc>
          <w:tcPr>
            <w:tcW w:w="709" w:type="dxa"/>
            <w:vAlign w:val="center"/>
          </w:tcPr>
          <w:p w:rsidR="00C71230" w:rsidRPr="00C41C12" w:rsidRDefault="00C71230" w:rsidP="003D7C31">
            <w:pPr>
              <w:pStyle w:val="Tabletext"/>
              <w:rPr>
                <w:szCs w:val="22"/>
              </w:rPr>
            </w:pPr>
            <w:r w:rsidRPr="00C41C12">
              <w:rPr>
                <w:szCs w:val="22"/>
              </w:rPr>
              <w:t>7.0</w:t>
            </w:r>
          </w:p>
        </w:tc>
        <w:tc>
          <w:tcPr>
            <w:tcW w:w="708" w:type="dxa"/>
            <w:vAlign w:val="center"/>
          </w:tcPr>
          <w:p w:rsidR="00C71230" w:rsidRPr="00C41C12" w:rsidRDefault="00C71230" w:rsidP="003D7C31">
            <w:pPr>
              <w:pStyle w:val="Tabletext"/>
              <w:rPr>
                <w:szCs w:val="22"/>
              </w:rPr>
            </w:pPr>
            <w:r w:rsidRPr="00C41C12">
              <w:rPr>
                <w:szCs w:val="22"/>
              </w:rPr>
              <w:t>4.7</w:t>
            </w:r>
          </w:p>
        </w:tc>
        <w:tc>
          <w:tcPr>
            <w:tcW w:w="1134" w:type="dxa"/>
            <w:vAlign w:val="center"/>
          </w:tcPr>
          <w:p w:rsidR="00C71230" w:rsidRPr="00C41C12" w:rsidRDefault="00D75B95" w:rsidP="003D7C31">
            <w:pPr>
              <w:pStyle w:val="Tabletext"/>
              <w:rPr>
                <w:szCs w:val="22"/>
              </w:rPr>
            </w:pPr>
            <w:r w:rsidRPr="00C41C12">
              <w:rPr>
                <w:szCs w:val="22"/>
              </w:rPr>
              <w:t>119</w:t>
            </w:r>
            <w:r w:rsidR="000F7071" w:rsidRPr="00C41C12">
              <w:rPr>
                <w:szCs w:val="22"/>
              </w:rPr>
              <w:t>%</w:t>
            </w:r>
          </w:p>
        </w:tc>
      </w:tr>
      <w:tr w:rsidR="00242D45" w:rsidRPr="00C41C12" w:rsidTr="00795D9D">
        <w:trPr>
          <w:trHeight w:val="306"/>
        </w:trPr>
        <w:tc>
          <w:tcPr>
            <w:tcW w:w="426" w:type="dxa"/>
            <w:vMerge/>
            <w:tcBorders>
              <w:top w:val="single" w:sz="4" w:space="0" w:color="auto"/>
              <w:bottom w:val="single" w:sz="4" w:space="0" w:color="auto"/>
            </w:tcBorders>
          </w:tcPr>
          <w:p w:rsidR="00C71230" w:rsidRPr="00C41C12" w:rsidRDefault="00C71230" w:rsidP="003D7C31">
            <w:pPr>
              <w:pStyle w:val="Tableheading"/>
              <w:rPr>
                <w:lang w:eastAsia="en-NZ"/>
              </w:rPr>
            </w:pPr>
          </w:p>
        </w:tc>
        <w:tc>
          <w:tcPr>
            <w:tcW w:w="1842" w:type="dxa"/>
            <w:tcBorders>
              <w:bottom w:val="single" w:sz="4" w:space="0" w:color="auto"/>
            </w:tcBorders>
            <w:vAlign w:val="center"/>
          </w:tcPr>
          <w:p w:rsidR="00C71230" w:rsidRPr="00C41C12" w:rsidRDefault="00C71230" w:rsidP="00F80163">
            <w:pPr>
              <w:pStyle w:val="Tabletext"/>
              <w:rPr>
                <w:szCs w:val="22"/>
              </w:rPr>
            </w:pPr>
            <w:r w:rsidRPr="00C41C12">
              <w:rPr>
                <w:szCs w:val="22"/>
              </w:rPr>
              <w:t>3</w:t>
            </w:r>
            <w:r w:rsidRPr="00C41C12">
              <w:rPr>
                <w:szCs w:val="22"/>
                <w:vertAlign w:val="superscript"/>
              </w:rPr>
              <w:t>rd</w:t>
            </w:r>
            <w:r w:rsidR="00F80163" w:rsidRPr="00C41C12">
              <w:rPr>
                <w:szCs w:val="22"/>
              </w:rPr>
              <w:t xml:space="preserve"> (Y-translation)</w:t>
            </w:r>
          </w:p>
        </w:tc>
        <w:tc>
          <w:tcPr>
            <w:tcW w:w="709" w:type="dxa"/>
            <w:tcBorders>
              <w:bottom w:val="single" w:sz="4" w:space="0" w:color="auto"/>
            </w:tcBorders>
            <w:vAlign w:val="center"/>
          </w:tcPr>
          <w:p w:rsidR="00C71230" w:rsidRPr="00C41C12" w:rsidRDefault="00C71230" w:rsidP="003D7C31">
            <w:pPr>
              <w:pStyle w:val="Tabletext"/>
              <w:rPr>
                <w:szCs w:val="22"/>
              </w:rPr>
            </w:pPr>
            <w:r w:rsidRPr="00C41C12">
              <w:rPr>
                <w:szCs w:val="22"/>
              </w:rPr>
              <w:t>3.55</w:t>
            </w:r>
          </w:p>
        </w:tc>
        <w:tc>
          <w:tcPr>
            <w:tcW w:w="709" w:type="dxa"/>
            <w:gridSpan w:val="2"/>
            <w:tcBorders>
              <w:bottom w:val="single" w:sz="4" w:space="0" w:color="auto"/>
            </w:tcBorders>
            <w:vAlign w:val="center"/>
          </w:tcPr>
          <w:p w:rsidR="00C71230" w:rsidRPr="00C41C12" w:rsidRDefault="00C71230" w:rsidP="003D7C31">
            <w:pPr>
              <w:pStyle w:val="Tabletext"/>
              <w:rPr>
                <w:szCs w:val="22"/>
              </w:rPr>
            </w:pPr>
            <w:r w:rsidRPr="00C41C12">
              <w:rPr>
                <w:szCs w:val="22"/>
              </w:rPr>
              <w:t>3.92</w:t>
            </w:r>
          </w:p>
        </w:tc>
        <w:tc>
          <w:tcPr>
            <w:tcW w:w="709" w:type="dxa"/>
            <w:gridSpan w:val="3"/>
            <w:tcBorders>
              <w:bottom w:val="single" w:sz="4" w:space="0" w:color="auto"/>
            </w:tcBorders>
            <w:vAlign w:val="center"/>
          </w:tcPr>
          <w:p w:rsidR="00C71230" w:rsidRPr="00C41C12" w:rsidRDefault="00C71230" w:rsidP="003D7C31">
            <w:pPr>
              <w:pStyle w:val="Tabletext"/>
              <w:rPr>
                <w:szCs w:val="22"/>
              </w:rPr>
            </w:pPr>
            <w:r w:rsidRPr="00C41C12">
              <w:rPr>
                <w:szCs w:val="22"/>
              </w:rPr>
              <w:t>3.80</w:t>
            </w:r>
          </w:p>
        </w:tc>
        <w:tc>
          <w:tcPr>
            <w:tcW w:w="1134" w:type="dxa"/>
            <w:gridSpan w:val="2"/>
            <w:tcBorders>
              <w:bottom w:val="single" w:sz="4" w:space="0" w:color="auto"/>
            </w:tcBorders>
            <w:vAlign w:val="center"/>
          </w:tcPr>
          <w:p w:rsidR="00C71230" w:rsidRPr="00C41C12" w:rsidRDefault="00D75B95" w:rsidP="003D7C31">
            <w:pPr>
              <w:pStyle w:val="Tabletext"/>
              <w:rPr>
                <w:szCs w:val="22"/>
              </w:rPr>
            </w:pPr>
            <w:r w:rsidRPr="00C41C12">
              <w:rPr>
                <w:szCs w:val="22"/>
              </w:rPr>
              <w:t>10%</w:t>
            </w:r>
          </w:p>
        </w:tc>
        <w:tc>
          <w:tcPr>
            <w:tcW w:w="283" w:type="dxa"/>
            <w:tcBorders>
              <w:bottom w:val="single" w:sz="4" w:space="0" w:color="auto"/>
            </w:tcBorders>
            <w:vAlign w:val="center"/>
          </w:tcPr>
          <w:p w:rsidR="00C71230" w:rsidRPr="00C41C12" w:rsidRDefault="00C71230" w:rsidP="003D7C31">
            <w:pPr>
              <w:pStyle w:val="Tabletext"/>
              <w:rPr>
                <w:szCs w:val="22"/>
              </w:rPr>
            </w:pPr>
          </w:p>
        </w:tc>
        <w:tc>
          <w:tcPr>
            <w:tcW w:w="709" w:type="dxa"/>
            <w:gridSpan w:val="2"/>
            <w:tcBorders>
              <w:bottom w:val="single" w:sz="4" w:space="0" w:color="auto"/>
            </w:tcBorders>
            <w:vAlign w:val="center"/>
          </w:tcPr>
          <w:p w:rsidR="00C71230" w:rsidRPr="00C41C12" w:rsidRDefault="00C71230" w:rsidP="003D7C31">
            <w:pPr>
              <w:pStyle w:val="Tabletext"/>
              <w:rPr>
                <w:szCs w:val="22"/>
              </w:rPr>
            </w:pPr>
            <w:r w:rsidRPr="00C41C12">
              <w:rPr>
                <w:szCs w:val="22"/>
              </w:rPr>
              <w:t>1.2</w:t>
            </w:r>
          </w:p>
        </w:tc>
        <w:tc>
          <w:tcPr>
            <w:tcW w:w="709" w:type="dxa"/>
            <w:tcBorders>
              <w:bottom w:val="single" w:sz="4" w:space="0" w:color="auto"/>
            </w:tcBorders>
            <w:vAlign w:val="center"/>
          </w:tcPr>
          <w:p w:rsidR="00C71230" w:rsidRPr="00C41C12" w:rsidRDefault="00C71230" w:rsidP="003D7C31">
            <w:pPr>
              <w:pStyle w:val="Tabletext"/>
              <w:rPr>
                <w:szCs w:val="22"/>
              </w:rPr>
            </w:pPr>
            <w:r w:rsidRPr="00C41C12">
              <w:rPr>
                <w:szCs w:val="22"/>
              </w:rPr>
              <w:t>7.9</w:t>
            </w:r>
          </w:p>
        </w:tc>
        <w:tc>
          <w:tcPr>
            <w:tcW w:w="708" w:type="dxa"/>
            <w:tcBorders>
              <w:bottom w:val="single" w:sz="4" w:space="0" w:color="auto"/>
            </w:tcBorders>
            <w:vAlign w:val="center"/>
          </w:tcPr>
          <w:p w:rsidR="00C71230" w:rsidRPr="00C41C12" w:rsidRDefault="00C71230" w:rsidP="003D7C31">
            <w:pPr>
              <w:pStyle w:val="Tabletext"/>
              <w:rPr>
                <w:szCs w:val="22"/>
              </w:rPr>
            </w:pPr>
            <w:r w:rsidRPr="00C41C12">
              <w:rPr>
                <w:szCs w:val="22"/>
              </w:rPr>
              <w:t>2.8</w:t>
            </w:r>
          </w:p>
        </w:tc>
        <w:tc>
          <w:tcPr>
            <w:tcW w:w="1134" w:type="dxa"/>
            <w:tcBorders>
              <w:bottom w:val="single" w:sz="4" w:space="0" w:color="auto"/>
            </w:tcBorders>
            <w:vAlign w:val="center"/>
          </w:tcPr>
          <w:p w:rsidR="00C71230" w:rsidRPr="00C41C12" w:rsidRDefault="00D75B95" w:rsidP="003D7C31">
            <w:pPr>
              <w:pStyle w:val="Tabletext"/>
              <w:rPr>
                <w:szCs w:val="22"/>
              </w:rPr>
            </w:pPr>
            <w:r w:rsidRPr="00C41C12">
              <w:rPr>
                <w:szCs w:val="22"/>
              </w:rPr>
              <w:t>235</w:t>
            </w:r>
            <w:r w:rsidR="000F7071" w:rsidRPr="00C41C12">
              <w:rPr>
                <w:szCs w:val="22"/>
              </w:rPr>
              <w:t>%</w:t>
            </w:r>
          </w:p>
        </w:tc>
      </w:tr>
      <w:tr w:rsidR="00242D45" w:rsidRPr="00C41C12" w:rsidTr="00795D9D">
        <w:trPr>
          <w:trHeight w:val="306"/>
        </w:trPr>
        <w:tc>
          <w:tcPr>
            <w:tcW w:w="426" w:type="dxa"/>
            <w:vMerge w:val="restart"/>
            <w:tcBorders>
              <w:top w:val="single" w:sz="4" w:space="0" w:color="auto"/>
              <w:bottom w:val="single" w:sz="4" w:space="0" w:color="auto"/>
            </w:tcBorders>
            <w:textDirection w:val="btLr"/>
            <w:vAlign w:val="center"/>
          </w:tcPr>
          <w:p w:rsidR="00D75B95" w:rsidRPr="00C41C12" w:rsidRDefault="00D75B95" w:rsidP="00242D45">
            <w:pPr>
              <w:pStyle w:val="Tableheading"/>
              <w:ind w:right="113"/>
              <w:rPr>
                <w:lang w:eastAsia="en-NZ"/>
              </w:rPr>
            </w:pPr>
            <w:r w:rsidRPr="00C41C12">
              <w:rPr>
                <w:lang w:eastAsia="en-NZ"/>
              </w:rPr>
              <w:t>Building B</w:t>
            </w:r>
          </w:p>
        </w:tc>
        <w:tc>
          <w:tcPr>
            <w:tcW w:w="1842" w:type="dxa"/>
            <w:tcBorders>
              <w:top w:val="single" w:sz="4" w:space="0" w:color="auto"/>
              <w:left w:val="nil"/>
            </w:tcBorders>
            <w:vAlign w:val="center"/>
          </w:tcPr>
          <w:p w:rsidR="00D75B95" w:rsidRPr="00C41C12" w:rsidRDefault="00D75B95" w:rsidP="00F80163">
            <w:pPr>
              <w:pStyle w:val="Tabletext"/>
              <w:rPr>
                <w:szCs w:val="22"/>
              </w:rPr>
            </w:pPr>
            <w:r w:rsidRPr="00C41C12">
              <w:rPr>
                <w:szCs w:val="22"/>
              </w:rPr>
              <w:t>1</w:t>
            </w:r>
            <w:r w:rsidRPr="00C41C12">
              <w:rPr>
                <w:szCs w:val="22"/>
                <w:vertAlign w:val="superscript"/>
              </w:rPr>
              <w:t>st</w:t>
            </w:r>
            <w:r w:rsidR="00F80163" w:rsidRPr="00C41C12">
              <w:rPr>
                <w:szCs w:val="22"/>
              </w:rPr>
              <w:t xml:space="preserve"> (Y-translation)</w:t>
            </w:r>
          </w:p>
        </w:tc>
        <w:tc>
          <w:tcPr>
            <w:tcW w:w="709" w:type="dxa"/>
            <w:tcBorders>
              <w:top w:val="single" w:sz="4" w:space="0" w:color="auto"/>
            </w:tcBorders>
            <w:vAlign w:val="center"/>
          </w:tcPr>
          <w:p w:rsidR="00D75B95" w:rsidRPr="00C41C12" w:rsidRDefault="00D75B95" w:rsidP="003D7C31">
            <w:pPr>
              <w:pStyle w:val="Tabletext"/>
              <w:rPr>
                <w:szCs w:val="22"/>
              </w:rPr>
            </w:pPr>
            <w:r w:rsidRPr="00C41C12">
              <w:rPr>
                <w:szCs w:val="22"/>
              </w:rPr>
              <w:t>2.91</w:t>
            </w:r>
          </w:p>
        </w:tc>
        <w:tc>
          <w:tcPr>
            <w:tcW w:w="709" w:type="dxa"/>
            <w:gridSpan w:val="2"/>
            <w:tcBorders>
              <w:top w:val="single" w:sz="4" w:space="0" w:color="auto"/>
            </w:tcBorders>
            <w:vAlign w:val="center"/>
          </w:tcPr>
          <w:p w:rsidR="00D75B95" w:rsidRPr="00C41C12" w:rsidRDefault="00D75B95" w:rsidP="003D7C31">
            <w:pPr>
              <w:pStyle w:val="Tabletext"/>
              <w:rPr>
                <w:szCs w:val="22"/>
              </w:rPr>
            </w:pPr>
            <w:r w:rsidRPr="00C41C12">
              <w:rPr>
                <w:szCs w:val="22"/>
              </w:rPr>
              <w:t>3.54</w:t>
            </w:r>
          </w:p>
        </w:tc>
        <w:tc>
          <w:tcPr>
            <w:tcW w:w="709" w:type="dxa"/>
            <w:gridSpan w:val="3"/>
            <w:tcBorders>
              <w:top w:val="single" w:sz="4" w:space="0" w:color="auto"/>
            </w:tcBorders>
            <w:vAlign w:val="center"/>
          </w:tcPr>
          <w:p w:rsidR="00D75B95" w:rsidRPr="00C41C12" w:rsidRDefault="00D75B95" w:rsidP="003D7C31">
            <w:pPr>
              <w:pStyle w:val="Tabletext"/>
              <w:rPr>
                <w:szCs w:val="22"/>
              </w:rPr>
            </w:pPr>
            <w:r w:rsidRPr="00C41C12">
              <w:rPr>
                <w:szCs w:val="22"/>
              </w:rPr>
              <w:t>3.32</w:t>
            </w:r>
          </w:p>
        </w:tc>
        <w:tc>
          <w:tcPr>
            <w:tcW w:w="1134" w:type="dxa"/>
            <w:gridSpan w:val="2"/>
            <w:tcBorders>
              <w:top w:val="single" w:sz="4" w:space="0" w:color="auto"/>
            </w:tcBorders>
            <w:vAlign w:val="center"/>
          </w:tcPr>
          <w:p w:rsidR="00D75B95" w:rsidRPr="00C41C12" w:rsidRDefault="00D75B95" w:rsidP="003D7C31">
            <w:pPr>
              <w:pStyle w:val="Tabletext"/>
              <w:rPr>
                <w:szCs w:val="22"/>
              </w:rPr>
            </w:pPr>
            <w:r w:rsidRPr="00C41C12">
              <w:rPr>
                <w:szCs w:val="22"/>
              </w:rPr>
              <w:t>19%</w:t>
            </w:r>
          </w:p>
        </w:tc>
        <w:tc>
          <w:tcPr>
            <w:tcW w:w="283" w:type="dxa"/>
            <w:tcBorders>
              <w:top w:val="single" w:sz="4" w:space="0" w:color="auto"/>
            </w:tcBorders>
            <w:vAlign w:val="center"/>
          </w:tcPr>
          <w:p w:rsidR="00D75B95" w:rsidRPr="00C41C12" w:rsidRDefault="00D75B95" w:rsidP="003D7C31">
            <w:pPr>
              <w:pStyle w:val="Tabletext"/>
              <w:rPr>
                <w:szCs w:val="22"/>
              </w:rPr>
            </w:pPr>
          </w:p>
        </w:tc>
        <w:tc>
          <w:tcPr>
            <w:tcW w:w="709" w:type="dxa"/>
            <w:gridSpan w:val="2"/>
            <w:tcBorders>
              <w:top w:val="single" w:sz="4" w:space="0" w:color="auto"/>
            </w:tcBorders>
            <w:vAlign w:val="center"/>
          </w:tcPr>
          <w:p w:rsidR="00D75B95" w:rsidRPr="00C41C12" w:rsidRDefault="00D75B95" w:rsidP="003D7C31">
            <w:pPr>
              <w:pStyle w:val="Tabletext"/>
              <w:rPr>
                <w:szCs w:val="22"/>
              </w:rPr>
            </w:pPr>
            <w:r w:rsidRPr="00C41C12">
              <w:rPr>
                <w:szCs w:val="22"/>
              </w:rPr>
              <w:t>0.1</w:t>
            </w:r>
          </w:p>
        </w:tc>
        <w:tc>
          <w:tcPr>
            <w:tcW w:w="709" w:type="dxa"/>
            <w:tcBorders>
              <w:top w:val="single" w:sz="4" w:space="0" w:color="auto"/>
            </w:tcBorders>
            <w:vAlign w:val="center"/>
          </w:tcPr>
          <w:p w:rsidR="00D75B95" w:rsidRPr="00C41C12" w:rsidRDefault="00D75B95" w:rsidP="003D7C31">
            <w:pPr>
              <w:pStyle w:val="Tabletext"/>
              <w:rPr>
                <w:szCs w:val="22"/>
              </w:rPr>
            </w:pPr>
            <w:r w:rsidRPr="00C41C12">
              <w:rPr>
                <w:szCs w:val="22"/>
              </w:rPr>
              <w:t>5.4</w:t>
            </w:r>
          </w:p>
        </w:tc>
        <w:tc>
          <w:tcPr>
            <w:tcW w:w="708" w:type="dxa"/>
            <w:tcBorders>
              <w:top w:val="single" w:sz="4" w:space="0" w:color="auto"/>
            </w:tcBorders>
            <w:vAlign w:val="center"/>
          </w:tcPr>
          <w:p w:rsidR="00D75B95" w:rsidRPr="00C41C12" w:rsidRDefault="00D75B95" w:rsidP="003D7C31">
            <w:pPr>
              <w:pStyle w:val="Tabletext"/>
              <w:rPr>
                <w:szCs w:val="22"/>
              </w:rPr>
            </w:pPr>
            <w:r w:rsidRPr="00C41C12">
              <w:rPr>
                <w:szCs w:val="22"/>
              </w:rPr>
              <w:t>2.9</w:t>
            </w:r>
          </w:p>
        </w:tc>
        <w:tc>
          <w:tcPr>
            <w:tcW w:w="1134" w:type="dxa"/>
            <w:tcBorders>
              <w:top w:val="single" w:sz="4" w:space="0" w:color="auto"/>
            </w:tcBorders>
            <w:vAlign w:val="center"/>
          </w:tcPr>
          <w:p w:rsidR="00D75B95" w:rsidRPr="00C41C12" w:rsidRDefault="00D75B95" w:rsidP="003D7C31">
            <w:pPr>
              <w:pStyle w:val="Tabletext"/>
              <w:rPr>
                <w:szCs w:val="22"/>
              </w:rPr>
            </w:pPr>
            <w:r w:rsidRPr="00C41C12">
              <w:rPr>
                <w:szCs w:val="22"/>
              </w:rPr>
              <w:t>184</w:t>
            </w:r>
            <w:r w:rsidR="000F7071" w:rsidRPr="00C41C12">
              <w:rPr>
                <w:szCs w:val="22"/>
              </w:rPr>
              <w:t>%</w:t>
            </w:r>
          </w:p>
        </w:tc>
      </w:tr>
      <w:tr w:rsidR="00242D45" w:rsidRPr="00C41C12" w:rsidTr="00795D9D">
        <w:trPr>
          <w:trHeight w:val="306"/>
        </w:trPr>
        <w:tc>
          <w:tcPr>
            <w:tcW w:w="426" w:type="dxa"/>
            <w:vMerge/>
            <w:tcBorders>
              <w:top w:val="single" w:sz="4" w:space="0" w:color="auto"/>
              <w:bottom w:val="single" w:sz="4" w:space="0" w:color="auto"/>
            </w:tcBorders>
          </w:tcPr>
          <w:p w:rsidR="00D75B95" w:rsidRPr="00C41C12" w:rsidRDefault="00D75B95" w:rsidP="00EC7882">
            <w:pPr>
              <w:pStyle w:val="Tabletext"/>
              <w:rPr>
                <w:szCs w:val="22"/>
                <w:lang w:eastAsia="en-NZ"/>
              </w:rPr>
            </w:pPr>
          </w:p>
        </w:tc>
        <w:tc>
          <w:tcPr>
            <w:tcW w:w="1842" w:type="dxa"/>
            <w:tcBorders>
              <w:left w:val="nil"/>
            </w:tcBorders>
            <w:vAlign w:val="center"/>
          </w:tcPr>
          <w:p w:rsidR="00D75B95" w:rsidRPr="00C41C12" w:rsidRDefault="00D75B95" w:rsidP="00F80163">
            <w:pPr>
              <w:pStyle w:val="Tabletext"/>
              <w:rPr>
                <w:szCs w:val="22"/>
              </w:rPr>
            </w:pPr>
            <w:r w:rsidRPr="00C41C12">
              <w:rPr>
                <w:szCs w:val="22"/>
              </w:rPr>
              <w:t>2</w:t>
            </w:r>
            <w:r w:rsidRPr="00C41C12">
              <w:rPr>
                <w:szCs w:val="22"/>
                <w:vertAlign w:val="superscript"/>
              </w:rPr>
              <w:t>nd</w:t>
            </w:r>
            <w:r w:rsidR="00F80163" w:rsidRPr="00C41C12">
              <w:rPr>
                <w:szCs w:val="22"/>
              </w:rPr>
              <w:t xml:space="preserve"> (torsion)</w:t>
            </w:r>
          </w:p>
        </w:tc>
        <w:tc>
          <w:tcPr>
            <w:tcW w:w="709" w:type="dxa"/>
            <w:vAlign w:val="center"/>
          </w:tcPr>
          <w:p w:rsidR="00D75B95" w:rsidRPr="00C41C12" w:rsidRDefault="00D75B95" w:rsidP="003D7C31">
            <w:pPr>
              <w:pStyle w:val="Tabletext"/>
              <w:rPr>
                <w:szCs w:val="22"/>
              </w:rPr>
            </w:pPr>
            <w:r w:rsidRPr="00C41C12">
              <w:rPr>
                <w:szCs w:val="22"/>
              </w:rPr>
              <w:t>3.28</w:t>
            </w:r>
          </w:p>
        </w:tc>
        <w:tc>
          <w:tcPr>
            <w:tcW w:w="709" w:type="dxa"/>
            <w:gridSpan w:val="2"/>
            <w:vAlign w:val="center"/>
          </w:tcPr>
          <w:p w:rsidR="00D75B95" w:rsidRPr="00C41C12" w:rsidRDefault="00D75B95" w:rsidP="003D7C31">
            <w:pPr>
              <w:pStyle w:val="Tabletext"/>
              <w:rPr>
                <w:szCs w:val="22"/>
              </w:rPr>
            </w:pPr>
            <w:r w:rsidRPr="00C41C12">
              <w:rPr>
                <w:szCs w:val="22"/>
              </w:rPr>
              <w:t>4.06</w:t>
            </w:r>
          </w:p>
        </w:tc>
        <w:tc>
          <w:tcPr>
            <w:tcW w:w="709" w:type="dxa"/>
            <w:gridSpan w:val="3"/>
            <w:vAlign w:val="center"/>
          </w:tcPr>
          <w:p w:rsidR="00D75B95" w:rsidRPr="00C41C12" w:rsidRDefault="00D75B95" w:rsidP="003D7C31">
            <w:pPr>
              <w:pStyle w:val="Tabletext"/>
              <w:rPr>
                <w:szCs w:val="22"/>
              </w:rPr>
            </w:pPr>
            <w:r w:rsidRPr="00C41C12">
              <w:rPr>
                <w:szCs w:val="22"/>
              </w:rPr>
              <w:t>3.80</w:t>
            </w:r>
          </w:p>
        </w:tc>
        <w:tc>
          <w:tcPr>
            <w:tcW w:w="1134" w:type="dxa"/>
            <w:gridSpan w:val="2"/>
            <w:vAlign w:val="center"/>
          </w:tcPr>
          <w:p w:rsidR="00D75B95" w:rsidRPr="00C41C12" w:rsidRDefault="00D75B95" w:rsidP="003D7C31">
            <w:pPr>
              <w:pStyle w:val="Tabletext"/>
              <w:rPr>
                <w:szCs w:val="22"/>
              </w:rPr>
            </w:pPr>
            <w:r w:rsidRPr="00C41C12">
              <w:rPr>
                <w:szCs w:val="22"/>
              </w:rPr>
              <w:t>21%</w:t>
            </w:r>
          </w:p>
        </w:tc>
        <w:tc>
          <w:tcPr>
            <w:tcW w:w="283" w:type="dxa"/>
            <w:vAlign w:val="center"/>
          </w:tcPr>
          <w:p w:rsidR="00D75B95" w:rsidRPr="00C41C12" w:rsidRDefault="00D75B95" w:rsidP="003D7C31">
            <w:pPr>
              <w:pStyle w:val="Tabletext"/>
              <w:rPr>
                <w:szCs w:val="22"/>
              </w:rPr>
            </w:pPr>
          </w:p>
        </w:tc>
        <w:tc>
          <w:tcPr>
            <w:tcW w:w="709" w:type="dxa"/>
            <w:gridSpan w:val="2"/>
            <w:vAlign w:val="center"/>
          </w:tcPr>
          <w:p w:rsidR="00D75B95" w:rsidRPr="00C41C12" w:rsidRDefault="00D75B95" w:rsidP="003D7C31">
            <w:pPr>
              <w:pStyle w:val="Tabletext"/>
              <w:rPr>
                <w:szCs w:val="22"/>
              </w:rPr>
            </w:pPr>
            <w:r w:rsidRPr="00C41C12">
              <w:rPr>
                <w:szCs w:val="22"/>
              </w:rPr>
              <w:t>0.6</w:t>
            </w:r>
          </w:p>
        </w:tc>
        <w:tc>
          <w:tcPr>
            <w:tcW w:w="709" w:type="dxa"/>
            <w:vAlign w:val="center"/>
          </w:tcPr>
          <w:p w:rsidR="00D75B95" w:rsidRPr="00C41C12" w:rsidRDefault="00D75B95" w:rsidP="003D7C31">
            <w:pPr>
              <w:pStyle w:val="Tabletext"/>
              <w:rPr>
                <w:szCs w:val="22"/>
              </w:rPr>
            </w:pPr>
            <w:r w:rsidRPr="00C41C12">
              <w:rPr>
                <w:szCs w:val="22"/>
              </w:rPr>
              <w:t>7.9</w:t>
            </w:r>
          </w:p>
        </w:tc>
        <w:tc>
          <w:tcPr>
            <w:tcW w:w="708" w:type="dxa"/>
            <w:vAlign w:val="center"/>
          </w:tcPr>
          <w:p w:rsidR="00D75B95" w:rsidRPr="00C41C12" w:rsidRDefault="00D75B95" w:rsidP="003D7C31">
            <w:pPr>
              <w:pStyle w:val="Tabletext"/>
              <w:rPr>
                <w:szCs w:val="22"/>
              </w:rPr>
            </w:pPr>
            <w:r w:rsidRPr="00C41C12">
              <w:rPr>
                <w:szCs w:val="22"/>
              </w:rPr>
              <w:t>4.4</w:t>
            </w:r>
          </w:p>
        </w:tc>
        <w:tc>
          <w:tcPr>
            <w:tcW w:w="1134" w:type="dxa"/>
            <w:vAlign w:val="center"/>
          </w:tcPr>
          <w:p w:rsidR="00D75B95" w:rsidRPr="00C41C12" w:rsidRDefault="00D75B95" w:rsidP="003D7C31">
            <w:pPr>
              <w:pStyle w:val="Tabletext"/>
              <w:rPr>
                <w:szCs w:val="22"/>
              </w:rPr>
            </w:pPr>
            <w:r w:rsidRPr="00C41C12">
              <w:rPr>
                <w:szCs w:val="22"/>
              </w:rPr>
              <w:t>164</w:t>
            </w:r>
            <w:r w:rsidR="000F7071" w:rsidRPr="00C41C12">
              <w:rPr>
                <w:szCs w:val="22"/>
              </w:rPr>
              <w:t>%</w:t>
            </w:r>
          </w:p>
        </w:tc>
      </w:tr>
      <w:tr w:rsidR="00242D45" w:rsidRPr="00C41C12" w:rsidTr="00795D9D">
        <w:trPr>
          <w:trHeight w:val="306"/>
        </w:trPr>
        <w:tc>
          <w:tcPr>
            <w:tcW w:w="426" w:type="dxa"/>
            <w:vMerge/>
            <w:tcBorders>
              <w:top w:val="single" w:sz="4" w:space="0" w:color="auto"/>
              <w:bottom w:val="single" w:sz="4" w:space="0" w:color="auto"/>
            </w:tcBorders>
          </w:tcPr>
          <w:p w:rsidR="00D75B95" w:rsidRPr="00C41C12" w:rsidRDefault="00D75B95" w:rsidP="00EC7882">
            <w:pPr>
              <w:pStyle w:val="Tabletext"/>
              <w:rPr>
                <w:szCs w:val="22"/>
                <w:lang w:eastAsia="en-NZ"/>
              </w:rPr>
            </w:pPr>
          </w:p>
        </w:tc>
        <w:tc>
          <w:tcPr>
            <w:tcW w:w="1842" w:type="dxa"/>
            <w:tcBorders>
              <w:bottom w:val="single" w:sz="4" w:space="0" w:color="auto"/>
            </w:tcBorders>
            <w:vAlign w:val="center"/>
          </w:tcPr>
          <w:p w:rsidR="00D75B95" w:rsidRPr="00C41C12" w:rsidRDefault="00D75B95" w:rsidP="00F80163">
            <w:pPr>
              <w:pStyle w:val="Tabletext"/>
              <w:rPr>
                <w:szCs w:val="22"/>
              </w:rPr>
            </w:pPr>
            <w:r w:rsidRPr="00C41C12">
              <w:rPr>
                <w:szCs w:val="22"/>
              </w:rPr>
              <w:t>3</w:t>
            </w:r>
            <w:r w:rsidRPr="00C41C12">
              <w:rPr>
                <w:szCs w:val="22"/>
                <w:vertAlign w:val="superscript"/>
              </w:rPr>
              <w:t>rd</w:t>
            </w:r>
            <w:r w:rsidR="0003170A" w:rsidRPr="00C41C12">
              <w:rPr>
                <w:szCs w:val="22"/>
              </w:rPr>
              <w:t xml:space="preserve"> </w:t>
            </w:r>
            <w:r w:rsidR="00F80163" w:rsidRPr="00C41C12">
              <w:rPr>
                <w:szCs w:val="22"/>
              </w:rPr>
              <w:t>(X-translation)</w:t>
            </w:r>
          </w:p>
        </w:tc>
        <w:tc>
          <w:tcPr>
            <w:tcW w:w="709" w:type="dxa"/>
            <w:tcBorders>
              <w:bottom w:val="single" w:sz="4" w:space="0" w:color="auto"/>
            </w:tcBorders>
            <w:vAlign w:val="center"/>
          </w:tcPr>
          <w:p w:rsidR="00D75B95" w:rsidRPr="00C41C12" w:rsidRDefault="00D75B95" w:rsidP="003D7C31">
            <w:pPr>
              <w:pStyle w:val="Tabletext"/>
              <w:rPr>
                <w:szCs w:val="22"/>
              </w:rPr>
            </w:pPr>
            <w:r w:rsidRPr="00C41C12">
              <w:rPr>
                <w:szCs w:val="22"/>
              </w:rPr>
              <w:t>3.42</w:t>
            </w:r>
          </w:p>
        </w:tc>
        <w:tc>
          <w:tcPr>
            <w:tcW w:w="709" w:type="dxa"/>
            <w:gridSpan w:val="2"/>
            <w:tcBorders>
              <w:bottom w:val="single" w:sz="4" w:space="0" w:color="auto"/>
            </w:tcBorders>
            <w:vAlign w:val="center"/>
          </w:tcPr>
          <w:p w:rsidR="00D75B95" w:rsidRPr="00C41C12" w:rsidRDefault="00D75B95" w:rsidP="003D7C31">
            <w:pPr>
              <w:pStyle w:val="Tabletext"/>
              <w:rPr>
                <w:szCs w:val="22"/>
              </w:rPr>
            </w:pPr>
            <w:r w:rsidRPr="00C41C12">
              <w:rPr>
                <w:szCs w:val="22"/>
              </w:rPr>
              <w:t>4.63</w:t>
            </w:r>
          </w:p>
        </w:tc>
        <w:tc>
          <w:tcPr>
            <w:tcW w:w="709" w:type="dxa"/>
            <w:gridSpan w:val="3"/>
            <w:tcBorders>
              <w:bottom w:val="single" w:sz="4" w:space="0" w:color="auto"/>
            </w:tcBorders>
            <w:vAlign w:val="center"/>
          </w:tcPr>
          <w:p w:rsidR="00D75B95" w:rsidRPr="00C41C12" w:rsidRDefault="00D75B95" w:rsidP="003D7C31">
            <w:pPr>
              <w:pStyle w:val="Tabletext"/>
              <w:rPr>
                <w:szCs w:val="22"/>
              </w:rPr>
            </w:pPr>
            <w:r w:rsidRPr="00C41C12">
              <w:rPr>
                <w:szCs w:val="22"/>
              </w:rPr>
              <w:t>4.13</w:t>
            </w:r>
          </w:p>
        </w:tc>
        <w:tc>
          <w:tcPr>
            <w:tcW w:w="1134" w:type="dxa"/>
            <w:gridSpan w:val="2"/>
            <w:tcBorders>
              <w:bottom w:val="single" w:sz="4" w:space="0" w:color="auto"/>
            </w:tcBorders>
            <w:vAlign w:val="center"/>
          </w:tcPr>
          <w:p w:rsidR="00D75B95" w:rsidRPr="00C41C12" w:rsidRDefault="00D75B95" w:rsidP="003D7C31">
            <w:pPr>
              <w:pStyle w:val="Tabletext"/>
              <w:rPr>
                <w:szCs w:val="22"/>
              </w:rPr>
            </w:pPr>
            <w:r w:rsidRPr="00C41C12">
              <w:rPr>
                <w:szCs w:val="22"/>
              </w:rPr>
              <w:t>29%</w:t>
            </w:r>
          </w:p>
        </w:tc>
        <w:tc>
          <w:tcPr>
            <w:tcW w:w="283" w:type="dxa"/>
            <w:tcBorders>
              <w:bottom w:val="single" w:sz="4" w:space="0" w:color="auto"/>
            </w:tcBorders>
            <w:vAlign w:val="center"/>
          </w:tcPr>
          <w:p w:rsidR="00D75B95" w:rsidRPr="00C41C12" w:rsidRDefault="00D75B95" w:rsidP="003D7C31">
            <w:pPr>
              <w:pStyle w:val="Tabletext"/>
              <w:rPr>
                <w:szCs w:val="22"/>
              </w:rPr>
            </w:pPr>
          </w:p>
        </w:tc>
        <w:tc>
          <w:tcPr>
            <w:tcW w:w="709" w:type="dxa"/>
            <w:gridSpan w:val="2"/>
            <w:tcBorders>
              <w:bottom w:val="single" w:sz="4" w:space="0" w:color="auto"/>
            </w:tcBorders>
            <w:vAlign w:val="center"/>
          </w:tcPr>
          <w:p w:rsidR="00D75B95" w:rsidRPr="00C41C12" w:rsidRDefault="00D75B95" w:rsidP="003D7C31">
            <w:pPr>
              <w:pStyle w:val="Tabletext"/>
              <w:rPr>
                <w:szCs w:val="22"/>
              </w:rPr>
            </w:pPr>
            <w:r w:rsidRPr="00C41C12">
              <w:rPr>
                <w:szCs w:val="22"/>
              </w:rPr>
              <w:t>1.6</w:t>
            </w:r>
          </w:p>
        </w:tc>
        <w:tc>
          <w:tcPr>
            <w:tcW w:w="709" w:type="dxa"/>
            <w:tcBorders>
              <w:bottom w:val="single" w:sz="4" w:space="0" w:color="auto"/>
            </w:tcBorders>
            <w:vAlign w:val="center"/>
          </w:tcPr>
          <w:p w:rsidR="00D75B95" w:rsidRPr="00C41C12" w:rsidRDefault="00D75B95" w:rsidP="003D7C31">
            <w:pPr>
              <w:pStyle w:val="Tabletext"/>
              <w:rPr>
                <w:szCs w:val="22"/>
              </w:rPr>
            </w:pPr>
            <w:r w:rsidRPr="00C41C12">
              <w:rPr>
                <w:szCs w:val="22"/>
              </w:rPr>
              <w:t>10.0</w:t>
            </w:r>
          </w:p>
        </w:tc>
        <w:tc>
          <w:tcPr>
            <w:tcW w:w="708" w:type="dxa"/>
            <w:tcBorders>
              <w:bottom w:val="single" w:sz="4" w:space="0" w:color="auto"/>
            </w:tcBorders>
            <w:vAlign w:val="center"/>
          </w:tcPr>
          <w:p w:rsidR="00D75B95" w:rsidRPr="00C41C12" w:rsidRDefault="00D75B95" w:rsidP="003D7C31">
            <w:pPr>
              <w:pStyle w:val="Tabletext"/>
              <w:rPr>
                <w:szCs w:val="22"/>
              </w:rPr>
            </w:pPr>
            <w:r w:rsidRPr="00C41C12">
              <w:rPr>
                <w:szCs w:val="22"/>
              </w:rPr>
              <w:t>5.7</w:t>
            </w:r>
          </w:p>
        </w:tc>
        <w:tc>
          <w:tcPr>
            <w:tcW w:w="1134" w:type="dxa"/>
            <w:tcBorders>
              <w:bottom w:val="single" w:sz="4" w:space="0" w:color="auto"/>
            </w:tcBorders>
            <w:vAlign w:val="center"/>
          </w:tcPr>
          <w:p w:rsidR="00D75B95" w:rsidRPr="00C41C12" w:rsidRDefault="00D75B95" w:rsidP="003D7C31">
            <w:pPr>
              <w:pStyle w:val="Tabletext"/>
              <w:rPr>
                <w:szCs w:val="22"/>
              </w:rPr>
            </w:pPr>
            <w:r w:rsidRPr="00C41C12">
              <w:rPr>
                <w:szCs w:val="22"/>
              </w:rPr>
              <w:t>148</w:t>
            </w:r>
            <w:r w:rsidR="000F7071" w:rsidRPr="00C41C12">
              <w:rPr>
                <w:szCs w:val="22"/>
              </w:rPr>
              <w:t>%</w:t>
            </w:r>
          </w:p>
        </w:tc>
      </w:tr>
      <w:tr w:rsidR="00887228" w:rsidRPr="00C41C12" w:rsidTr="00242D45">
        <w:trPr>
          <w:trHeight w:hRule="exact" w:val="113"/>
        </w:trPr>
        <w:tc>
          <w:tcPr>
            <w:tcW w:w="9072" w:type="dxa"/>
            <w:gridSpan w:val="16"/>
          </w:tcPr>
          <w:p w:rsidR="00887228" w:rsidRPr="00C41C12" w:rsidRDefault="00887228" w:rsidP="007F0487">
            <w:pPr>
              <w:pStyle w:val="Tabletext"/>
            </w:pPr>
          </w:p>
        </w:tc>
      </w:tr>
      <w:tr w:rsidR="008B2A6A" w:rsidRPr="00C41C12" w:rsidTr="00242D45">
        <w:tc>
          <w:tcPr>
            <w:tcW w:w="4383" w:type="dxa"/>
            <w:gridSpan w:val="6"/>
          </w:tcPr>
          <w:p w:rsidR="008B2A6A" w:rsidRPr="00C41C12" w:rsidRDefault="00C04CB6" w:rsidP="00994D2B">
            <w:pPr>
              <w:pStyle w:val="Figurephoto"/>
              <w:rPr>
                <w:lang w:eastAsia="en-NZ"/>
              </w:rPr>
            </w:pPr>
            <w:r>
              <w:rPr>
                <w:noProof/>
                <w:lang w:eastAsia="en-NZ"/>
              </w:rPr>
              <w:drawing>
                <wp:inline distT="0" distB="0" distL="0" distR="0">
                  <wp:extent cx="2504343" cy="1002323"/>
                  <wp:effectExtent l="19050" t="0" r="0" b="0"/>
                  <wp:docPr id="39" name="Picture 1" descr="D:\New Laptop Data\Ph.D. help material\Research Proposal_Faheem Butt\PGA_vs_PRA_4n6(X)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ew Laptop Data\Ph.D. help material\Research Proposal_Faheem Butt\PGA_vs_PRA_4n6(X)_AMP.TIF"/>
                          <pic:cNvPicPr>
                            <a:picLocks noChangeAspect="1" noChangeArrowheads="1"/>
                          </pic:cNvPicPr>
                        </pic:nvPicPr>
                        <pic:blipFill>
                          <a:blip r:embed="rId16" cstate="print"/>
                          <a:srcRect/>
                          <a:stretch>
                            <a:fillRect/>
                          </a:stretch>
                        </pic:blipFill>
                        <pic:spPr bwMode="auto">
                          <a:xfrm>
                            <a:off x="0" y="0"/>
                            <a:ext cx="2524351" cy="1010331"/>
                          </a:xfrm>
                          <a:prstGeom prst="rect">
                            <a:avLst/>
                          </a:prstGeom>
                          <a:noFill/>
                          <a:ln w="9525">
                            <a:noFill/>
                            <a:miter lim="800000"/>
                            <a:headEnd/>
                            <a:tailEnd/>
                          </a:ln>
                        </pic:spPr>
                      </pic:pic>
                    </a:graphicData>
                  </a:graphic>
                </wp:inline>
              </w:drawing>
            </w:r>
          </w:p>
        </w:tc>
        <w:tc>
          <w:tcPr>
            <w:tcW w:w="289" w:type="dxa"/>
            <w:gridSpan w:val="3"/>
          </w:tcPr>
          <w:p w:rsidR="008B2A6A" w:rsidRPr="00C41C12" w:rsidRDefault="008B2A6A" w:rsidP="00D83A38">
            <w:pPr>
              <w:rPr>
                <w:lang w:eastAsia="en-NZ"/>
              </w:rPr>
            </w:pPr>
          </w:p>
        </w:tc>
        <w:tc>
          <w:tcPr>
            <w:tcW w:w="4400" w:type="dxa"/>
            <w:gridSpan w:val="7"/>
          </w:tcPr>
          <w:p w:rsidR="008B2A6A" w:rsidRPr="00C41C12" w:rsidRDefault="00C04CB6" w:rsidP="00994D2B">
            <w:pPr>
              <w:pStyle w:val="Figurephoto"/>
              <w:rPr>
                <w:lang w:eastAsia="en-NZ"/>
              </w:rPr>
            </w:pPr>
            <w:r>
              <w:rPr>
                <w:noProof/>
                <w:lang w:eastAsia="en-NZ"/>
              </w:rPr>
              <w:drawing>
                <wp:inline distT="0" distB="0" distL="0" distR="0">
                  <wp:extent cx="2548303" cy="1002323"/>
                  <wp:effectExtent l="19050" t="0" r="4397" b="0"/>
                  <wp:docPr id="40" name="Picture 2" descr="D:\New Laptop Data\Ph.D. help material\Research Proposal_Faheem Butt\PGA_vs_PRA_4n6(Y)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ew Laptop Data\Ph.D. help material\Research Proposal_Faheem Butt\PGA_vs_PRA_4n6(Y)_AMP.TIF"/>
                          <pic:cNvPicPr>
                            <a:picLocks noChangeAspect="1" noChangeArrowheads="1"/>
                          </pic:cNvPicPr>
                        </pic:nvPicPr>
                        <pic:blipFill>
                          <a:blip r:embed="rId17" cstate="print"/>
                          <a:srcRect/>
                          <a:stretch>
                            <a:fillRect/>
                          </a:stretch>
                        </pic:blipFill>
                        <pic:spPr bwMode="auto">
                          <a:xfrm>
                            <a:off x="0" y="0"/>
                            <a:ext cx="2553693" cy="1004443"/>
                          </a:xfrm>
                          <a:prstGeom prst="rect">
                            <a:avLst/>
                          </a:prstGeom>
                          <a:noFill/>
                          <a:ln w="9525">
                            <a:noFill/>
                            <a:miter lim="800000"/>
                            <a:headEnd/>
                            <a:tailEnd/>
                          </a:ln>
                        </pic:spPr>
                      </pic:pic>
                    </a:graphicData>
                  </a:graphic>
                </wp:inline>
              </w:drawing>
            </w:r>
          </w:p>
        </w:tc>
      </w:tr>
      <w:tr w:rsidR="00312813" w:rsidRPr="00C41C12" w:rsidTr="00242D45">
        <w:trPr>
          <w:trHeight w:hRule="exact" w:val="624"/>
        </w:trPr>
        <w:tc>
          <w:tcPr>
            <w:tcW w:w="9072" w:type="dxa"/>
            <w:gridSpan w:val="16"/>
          </w:tcPr>
          <w:p w:rsidR="00312813" w:rsidRPr="00C41C12" w:rsidRDefault="00BE55D4" w:rsidP="00326EF4">
            <w:pPr>
              <w:pStyle w:val="Figurecaption"/>
              <w:rPr>
                <w:lang w:eastAsia="en-NZ"/>
              </w:rPr>
            </w:pPr>
            <w:r>
              <w:rPr>
                <w:lang w:eastAsia="en-NZ"/>
              </w:rPr>
              <w:t>Figure 5</w:t>
            </w:r>
            <w:r w:rsidR="00312813" w:rsidRPr="00C41C12">
              <w:rPr>
                <w:lang w:eastAsia="en-NZ"/>
              </w:rPr>
              <w:t xml:space="preserve">. </w:t>
            </w:r>
            <w:r w:rsidR="00312813" w:rsidRPr="00C41C12">
              <w:t xml:space="preserve">PRA vs. PGA </w:t>
            </w:r>
            <w:r w:rsidR="00905AA7" w:rsidRPr="00C41C12">
              <w:t xml:space="preserve">of building A </w:t>
            </w:r>
            <w:r w:rsidR="00312813" w:rsidRPr="00C41C12">
              <w:t xml:space="preserve">for 50 earthquake records: (a) </w:t>
            </w:r>
            <w:r w:rsidR="00905AA7" w:rsidRPr="00C41C12">
              <w:t>X-direction</w:t>
            </w:r>
            <w:r w:rsidR="00312813" w:rsidRPr="00C41C12">
              <w:t xml:space="preserve"> components, and (b) </w:t>
            </w:r>
            <w:r w:rsidR="00905AA7" w:rsidRPr="00C41C12">
              <w:t xml:space="preserve">Y-direction </w:t>
            </w:r>
            <w:r w:rsidR="00312813" w:rsidRPr="00C41C12">
              <w:t>components.</w:t>
            </w:r>
          </w:p>
        </w:tc>
      </w:tr>
      <w:tr w:rsidR="003E71C1" w:rsidRPr="00C41C12" w:rsidTr="00242D45">
        <w:trPr>
          <w:trHeight w:hRule="exact" w:val="1760"/>
        </w:trPr>
        <w:tc>
          <w:tcPr>
            <w:tcW w:w="4383" w:type="dxa"/>
            <w:gridSpan w:val="6"/>
          </w:tcPr>
          <w:p w:rsidR="003E71C1" w:rsidRPr="003E71C1" w:rsidRDefault="00326EF4" w:rsidP="003E71C1">
            <w:pPr>
              <w:pStyle w:val="Figurephoto"/>
            </w:pPr>
            <w:r>
              <w:rPr>
                <w:noProof/>
                <w:lang w:eastAsia="en-NZ"/>
              </w:rPr>
              <w:drawing>
                <wp:inline distT="0" distB="0" distL="0" distR="0">
                  <wp:extent cx="2521927" cy="1116623"/>
                  <wp:effectExtent l="19050" t="0" r="0" b="0"/>
                  <wp:docPr id="46" name="Picture 8" descr="D:\New Laptop Data\PCEE2011_@_Auckland\PRA_vs_PGA(X)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New Laptop Data\PCEE2011_@_Auckland\PRA_vs_PGA(X)SSPE.tif"/>
                          <pic:cNvPicPr>
                            <a:picLocks noChangeAspect="1" noChangeArrowheads="1"/>
                          </pic:cNvPicPr>
                        </pic:nvPicPr>
                        <pic:blipFill>
                          <a:blip r:embed="rId18" cstate="print"/>
                          <a:srcRect/>
                          <a:stretch>
                            <a:fillRect/>
                          </a:stretch>
                        </pic:blipFill>
                        <pic:spPr bwMode="auto">
                          <a:xfrm>
                            <a:off x="0" y="0"/>
                            <a:ext cx="2537532" cy="1123532"/>
                          </a:xfrm>
                          <a:prstGeom prst="rect">
                            <a:avLst/>
                          </a:prstGeom>
                          <a:noFill/>
                          <a:ln w="9525">
                            <a:noFill/>
                            <a:miter lim="800000"/>
                            <a:headEnd/>
                            <a:tailEnd/>
                          </a:ln>
                        </pic:spPr>
                      </pic:pic>
                    </a:graphicData>
                  </a:graphic>
                </wp:inline>
              </w:drawing>
            </w:r>
          </w:p>
        </w:tc>
        <w:tc>
          <w:tcPr>
            <w:tcW w:w="289" w:type="dxa"/>
            <w:gridSpan w:val="3"/>
          </w:tcPr>
          <w:p w:rsidR="003E71C1" w:rsidRPr="00C41C12" w:rsidRDefault="003E71C1" w:rsidP="00994D2B">
            <w:pPr>
              <w:pStyle w:val="Figurecaption"/>
              <w:rPr>
                <w:lang w:eastAsia="en-NZ"/>
              </w:rPr>
            </w:pPr>
          </w:p>
        </w:tc>
        <w:tc>
          <w:tcPr>
            <w:tcW w:w="4400" w:type="dxa"/>
            <w:gridSpan w:val="7"/>
          </w:tcPr>
          <w:p w:rsidR="003E71C1" w:rsidRPr="00C41C12" w:rsidRDefault="00326EF4" w:rsidP="003E71C1">
            <w:pPr>
              <w:pStyle w:val="Figurephoto"/>
              <w:rPr>
                <w:lang w:eastAsia="en-NZ"/>
              </w:rPr>
            </w:pPr>
            <w:r>
              <w:rPr>
                <w:noProof/>
                <w:lang w:eastAsia="en-NZ"/>
              </w:rPr>
              <w:drawing>
                <wp:inline distT="0" distB="0" distL="0" distR="0">
                  <wp:extent cx="2523099" cy="1116623"/>
                  <wp:effectExtent l="19050" t="0" r="0" b="0"/>
                  <wp:docPr id="47" name="Picture 9" descr="D:\New Laptop Data\PCEE2011_@_Auckland\PRA_vs_PGA(Y)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New Laptop Data\PCEE2011_@_Auckland\PRA_vs_PGA(Y)SSPE.tif"/>
                          <pic:cNvPicPr>
                            <a:picLocks noChangeAspect="1" noChangeArrowheads="1"/>
                          </pic:cNvPicPr>
                        </pic:nvPicPr>
                        <pic:blipFill>
                          <a:blip r:embed="rId19" cstate="print"/>
                          <a:srcRect/>
                          <a:stretch>
                            <a:fillRect/>
                          </a:stretch>
                        </pic:blipFill>
                        <pic:spPr bwMode="auto">
                          <a:xfrm>
                            <a:off x="0" y="0"/>
                            <a:ext cx="2530576" cy="1119932"/>
                          </a:xfrm>
                          <a:prstGeom prst="rect">
                            <a:avLst/>
                          </a:prstGeom>
                          <a:noFill/>
                          <a:ln w="9525">
                            <a:noFill/>
                            <a:miter lim="800000"/>
                            <a:headEnd/>
                            <a:tailEnd/>
                          </a:ln>
                        </pic:spPr>
                      </pic:pic>
                    </a:graphicData>
                  </a:graphic>
                </wp:inline>
              </w:drawing>
            </w:r>
          </w:p>
        </w:tc>
      </w:tr>
      <w:tr w:rsidR="003E71C1" w:rsidRPr="00C41C12" w:rsidTr="00242D45">
        <w:trPr>
          <w:trHeight w:val="680"/>
        </w:trPr>
        <w:tc>
          <w:tcPr>
            <w:tcW w:w="9072" w:type="dxa"/>
            <w:gridSpan w:val="16"/>
          </w:tcPr>
          <w:p w:rsidR="003E71C1" w:rsidRPr="00C41C12" w:rsidRDefault="003E71C1" w:rsidP="00326EF4">
            <w:pPr>
              <w:pStyle w:val="Figurecaption"/>
            </w:pPr>
            <w:r w:rsidRPr="00C41C12">
              <w:rPr>
                <w:lang w:eastAsia="en-NZ"/>
              </w:rPr>
              <w:t xml:space="preserve">Figure </w:t>
            </w:r>
            <w:r w:rsidR="00BE55D4">
              <w:rPr>
                <w:lang w:eastAsia="en-NZ"/>
              </w:rPr>
              <w:t>6</w:t>
            </w:r>
            <w:r w:rsidRPr="00C41C12">
              <w:rPr>
                <w:lang w:eastAsia="en-NZ"/>
              </w:rPr>
              <w:t xml:space="preserve">. </w:t>
            </w:r>
            <w:r w:rsidRPr="00C41C12">
              <w:t>PRA vs. PGA of building B for 50 earthquake records: (a) X-direction components, and (b) Y-direction components</w:t>
            </w:r>
          </w:p>
        </w:tc>
      </w:tr>
      <w:tr w:rsidR="00C410B3" w:rsidRPr="00C41C12" w:rsidTr="00242D45">
        <w:trPr>
          <w:trHeight w:hRule="exact" w:val="2296"/>
        </w:trPr>
        <w:tc>
          <w:tcPr>
            <w:tcW w:w="4383" w:type="dxa"/>
            <w:gridSpan w:val="6"/>
          </w:tcPr>
          <w:p w:rsidR="00C410B3" w:rsidRPr="00C41C12" w:rsidRDefault="00326EF4" w:rsidP="00C410B3">
            <w:pPr>
              <w:pStyle w:val="Figurephoto"/>
              <w:rPr>
                <w:lang w:eastAsia="en-NZ"/>
              </w:rPr>
            </w:pPr>
            <w:r>
              <w:rPr>
                <w:noProof/>
                <w:lang w:eastAsia="en-NZ"/>
              </w:rPr>
              <w:drawing>
                <wp:inline distT="0" distB="0" distL="0" distR="0">
                  <wp:extent cx="2548304" cy="1441136"/>
                  <wp:effectExtent l="19050" t="0" r="4396" b="0"/>
                  <wp:docPr id="48" name="Picture 10" descr="D:\New Laptop Data\Ph.D. help material\Research Proposal_Faheem Butt\Freq_vs_PRA(X)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New Laptop Data\Ph.D. help material\Research Proposal_Faheem Butt\Freq_vs_PRA(X)_AMP.TIF"/>
                          <pic:cNvPicPr>
                            <a:picLocks noChangeAspect="1" noChangeArrowheads="1"/>
                          </pic:cNvPicPr>
                        </pic:nvPicPr>
                        <pic:blipFill>
                          <a:blip r:embed="rId20" cstate="print"/>
                          <a:srcRect/>
                          <a:stretch>
                            <a:fillRect/>
                          </a:stretch>
                        </pic:blipFill>
                        <pic:spPr bwMode="auto">
                          <a:xfrm>
                            <a:off x="0" y="0"/>
                            <a:ext cx="2554526" cy="1444655"/>
                          </a:xfrm>
                          <a:prstGeom prst="rect">
                            <a:avLst/>
                          </a:prstGeom>
                          <a:noFill/>
                          <a:ln w="9525">
                            <a:noFill/>
                            <a:miter lim="800000"/>
                            <a:headEnd/>
                            <a:tailEnd/>
                          </a:ln>
                        </pic:spPr>
                      </pic:pic>
                    </a:graphicData>
                  </a:graphic>
                </wp:inline>
              </w:drawing>
            </w:r>
          </w:p>
        </w:tc>
        <w:tc>
          <w:tcPr>
            <w:tcW w:w="289" w:type="dxa"/>
            <w:gridSpan w:val="3"/>
          </w:tcPr>
          <w:p w:rsidR="00C410B3" w:rsidRPr="00C41C12" w:rsidRDefault="00C410B3" w:rsidP="003E71C1">
            <w:pPr>
              <w:pStyle w:val="Figurecaption"/>
              <w:rPr>
                <w:lang w:eastAsia="en-NZ"/>
              </w:rPr>
            </w:pPr>
          </w:p>
        </w:tc>
        <w:tc>
          <w:tcPr>
            <w:tcW w:w="4400" w:type="dxa"/>
            <w:gridSpan w:val="7"/>
          </w:tcPr>
          <w:p w:rsidR="00C410B3" w:rsidRPr="00C41C12" w:rsidRDefault="00326EF4" w:rsidP="00C410B3">
            <w:pPr>
              <w:pStyle w:val="Figurephoto"/>
              <w:rPr>
                <w:lang w:eastAsia="en-NZ"/>
              </w:rPr>
            </w:pPr>
            <w:r>
              <w:rPr>
                <w:noProof/>
                <w:lang w:eastAsia="en-NZ"/>
              </w:rPr>
              <w:drawing>
                <wp:inline distT="0" distB="0" distL="0" distR="0">
                  <wp:extent cx="2548304" cy="1441938"/>
                  <wp:effectExtent l="19050" t="0" r="4396" b="0"/>
                  <wp:docPr id="49" name="Picture 11" descr="D:\New Laptop Data\Ph.D. help material\Research Proposal_Faheem Butt\Freq_vs_PRA(Y)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New Laptop Data\Ph.D. help material\Research Proposal_Faheem Butt\Freq_vs_PRA(Y)_AMP.TIF"/>
                          <pic:cNvPicPr>
                            <a:picLocks noChangeAspect="1" noChangeArrowheads="1"/>
                          </pic:cNvPicPr>
                        </pic:nvPicPr>
                        <pic:blipFill>
                          <a:blip r:embed="rId21" cstate="print"/>
                          <a:srcRect/>
                          <a:stretch>
                            <a:fillRect/>
                          </a:stretch>
                        </pic:blipFill>
                        <pic:spPr bwMode="auto">
                          <a:xfrm>
                            <a:off x="0" y="0"/>
                            <a:ext cx="2551193" cy="1443573"/>
                          </a:xfrm>
                          <a:prstGeom prst="rect">
                            <a:avLst/>
                          </a:prstGeom>
                          <a:noFill/>
                          <a:ln w="9525">
                            <a:noFill/>
                            <a:miter lim="800000"/>
                            <a:headEnd/>
                            <a:tailEnd/>
                          </a:ln>
                        </pic:spPr>
                      </pic:pic>
                    </a:graphicData>
                  </a:graphic>
                </wp:inline>
              </w:drawing>
            </w:r>
          </w:p>
        </w:tc>
      </w:tr>
      <w:tr w:rsidR="00C410B3" w:rsidRPr="00C41C12" w:rsidTr="00242D45">
        <w:trPr>
          <w:trHeight w:hRule="exact" w:val="567"/>
        </w:trPr>
        <w:tc>
          <w:tcPr>
            <w:tcW w:w="9072" w:type="dxa"/>
            <w:gridSpan w:val="16"/>
          </w:tcPr>
          <w:p w:rsidR="00C410B3" w:rsidRPr="00C41C12" w:rsidRDefault="00C410B3" w:rsidP="00326EF4">
            <w:pPr>
              <w:pStyle w:val="Figurecaption"/>
              <w:rPr>
                <w:lang w:eastAsia="en-NZ"/>
              </w:rPr>
            </w:pPr>
            <w:r w:rsidRPr="00C41C12">
              <w:rPr>
                <w:lang w:eastAsia="en-NZ"/>
              </w:rPr>
              <w:t xml:space="preserve">Figure </w:t>
            </w:r>
            <w:r w:rsidR="00BE55D4">
              <w:rPr>
                <w:lang w:eastAsia="en-NZ"/>
              </w:rPr>
              <w:t>7</w:t>
            </w:r>
            <w:r w:rsidRPr="00C41C12">
              <w:rPr>
                <w:lang w:eastAsia="en-NZ"/>
              </w:rPr>
              <w:t>. Identified first, second and third modal frequencies of building A for 50 earthquakes vs. PRA: (a) X-direction components, and (b) Y-direction components</w:t>
            </w:r>
          </w:p>
        </w:tc>
      </w:tr>
      <w:tr w:rsidR="006F03DE" w:rsidRPr="00C41C12" w:rsidTr="00242D45">
        <w:trPr>
          <w:trHeight w:hRule="exact" w:val="2418"/>
        </w:trPr>
        <w:tc>
          <w:tcPr>
            <w:tcW w:w="4389" w:type="dxa"/>
            <w:gridSpan w:val="7"/>
          </w:tcPr>
          <w:p w:rsidR="006F03DE" w:rsidRPr="00C41C12" w:rsidRDefault="006C1C6A" w:rsidP="006F03DE">
            <w:pPr>
              <w:pStyle w:val="Figurephoto"/>
              <w:rPr>
                <w:lang w:eastAsia="en-NZ"/>
              </w:rPr>
            </w:pPr>
            <w:r>
              <w:rPr>
                <w:noProof/>
                <w:lang w:eastAsia="en-NZ"/>
              </w:rPr>
              <w:lastRenderedPageBreak/>
              <w:drawing>
                <wp:inline distT="0" distB="0" distL="0" distR="0">
                  <wp:extent cx="2565889" cy="1494693"/>
                  <wp:effectExtent l="19050" t="0" r="5861" b="0"/>
                  <wp:docPr id="50" name="Picture 12" descr="D:\New Laptop Data\Ph.D. help material\Research Proposal_Faheem Butt\Freq_vs_PRA(X)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New Laptop Data\Ph.D. help material\Research Proposal_Faheem Butt\Freq_vs_PRA(X)_SSPE.TIF"/>
                          <pic:cNvPicPr>
                            <a:picLocks noChangeAspect="1" noChangeArrowheads="1"/>
                          </pic:cNvPicPr>
                        </pic:nvPicPr>
                        <pic:blipFill>
                          <a:blip r:embed="rId22" cstate="print"/>
                          <a:srcRect/>
                          <a:stretch>
                            <a:fillRect/>
                          </a:stretch>
                        </pic:blipFill>
                        <pic:spPr bwMode="auto">
                          <a:xfrm>
                            <a:off x="0" y="0"/>
                            <a:ext cx="2557706" cy="1489926"/>
                          </a:xfrm>
                          <a:prstGeom prst="rect">
                            <a:avLst/>
                          </a:prstGeom>
                          <a:noFill/>
                          <a:ln w="9525">
                            <a:noFill/>
                            <a:miter lim="800000"/>
                            <a:headEnd/>
                            <a:tailEnd/>
                          </a:ln>
                        </pic:spPr>
                      </pic:pic>
                    </a:graphicData>
                  </a:graphic>
                </wp:inline>
              </w:drawing>
            </w:r>
          </w:p>
        </w:tc>
        <w:tc>
          <w:tcPr>
            <w:tcW w:w="283" w:type="dxa"/>
            <w:gridSpan w:val="2"/>
          </w:tcPr>
          <w:p w:rsidR="006F03DE" w:rsidRPr="00C41C12" w:rsidRDefault="006F03DE" w:rsidP="00C410B3">
            <w:pPr>
              <w:pStyle w:val="Figurecaption"/>
              <w:rPr>
                <w:lang w:eastAsia="en-NZ"/>
              </w:rPr>
            </w:pPr>
          </w:p>
        </w:tc>
        <w:tc>
          <w:tcPr>
            <w:tcW w:w="4400" w:type="dxa"/>
            <w:gridSpan w:val="7"/>
          </w:tcPr>
          <w:p w:rsidR="006F03DE" w:rsidRPr="00C41C12" w:rsidRDefault="006C1C6A" w:rsidP="006F03DE">
            <w:pPr>
              <w:pStyle w:val="Figurephoto"/>
              <w:rPr>
                <w:lang w:eastAsia="en-NZ"/>
              </w:rPr>
            </w:pPr>
            <w:r>
              <w:rPr>
                <w:noProof/>
                <w:lang w:eastAsia="en-NZ"/>
              </w:rPr>
              <w:drawing>
                <wp:inline distT="0" distB="0" distL="0" distR="0">
                  <wp:extent cx="2592266" cy="1503485"/>
                  <wp:effectExtent l="19050" t="0" r="0" b="0"/>
                  <wp:docPr id="51" name="Picture 13" descr="D:\New Laptop Data\Ph.D. help material\Research Proposal_Faheem Butt\Freq_vs_PRA(Y)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New Laptop Data\Ph.D. help material\Research Proposal_Faheem Butt\Freq_vs_PRA(Y)_SSPE.TIF"/>
                          <pic:cNvPicPr>
                            <a:picLocks noChangeAspect="1" noChangeArrowheads="1"/>
                          </pic:cNvPicPr>
                        </pic:nvPicPr>
                        <pic:blipFill>
                          <a:blip r:embed="rId23" cstate="print"/>
                          <a:srcRect/>
                          <a:stretch>
                            <a:fillRect/>
                          </a:stretch>
                        </pic:blipFill>
                        <pic:spPr bwMode="auto">
                          <a:xfrm>
                            <a:off x="0" y="0"/>
                            <a:ext cx="2602740" cy="1509560"/>
                          </a:xfrm>
                          <a:prstGeom prst="rect">
                            <a:avLst/>
                          </a:prstGeom>
                          <a:noFill/>
                          <a:ln w="9525">
                            <a:noFill/>
                            <a:miter lim="800000"/>
                            <a:headEnd/>
                            <a:tailEnd/>
                          </a:ln>
                        </pic:spPr>
                      </pic:pic>
                    </a:graphicData>
                  </a:graphic>
                </wp:inline>
              </w:drawing>
            </w:r>
          </w:p>
        </w:tc>
      </w:tr>
      <w:tr w:rsidR="006F03DE" w:rsidRPr="00C41C12" w:rsidTr="00242D45">
        <w:trPr>
          <w:trHeight w:hRule="exact" w:val="692"/>
        </w:trPr>
        <w:tc>
          <w:tcPr>
            <w:tcW w:w="9072" w:type="dxa"/>
            <w:gridSpan w:val="16"/>
          </w:tcPr>
          <w:p w:rsidR="006F03DE" w:rsidRPr="00C41C12" w:rsidRDefault="00BE55D4" w:rsidP="00B33B07">
            <w:pPr>
              <w:pStyle w:val="Figurecaption"/>
              <w:spacing w:before="0"/>
            </w:pPr>
            <w:r>
              <w:rPr>
                <w:lang w:eastAsia="en-NZ"/>
              </w:rPr>
              <w:t>Figure 8</w:t>
            </w:r>
            <w:r w:rsidR="006F03DE" w:rsidRPr="00C41C12">
              <w:rPr>
                <w:lang w:eastAsia="en-NZ"/>
              </w:rPr>
              <w:t>. Identified first, second and third modal frequencies of building B for 50 earthquakes vs. PRA: (a) X-direction components, and (b) Y-direction components</w:t>
            </w:r>
          </w:p>
        </w:tc>
      </w:tr>
      <w:tr w:rsidR="008F75BD" w:rsidRPr="00C41C12" w:rsidTr="00242D45">
        <w:tc>
          <w:tcPr>
            <w:tcW w:w="2986" w:type="dxa"/>
            <w:gridSpan w:val="4"/>
          </w:tcPr>
          <w:p w:rsidR="008F75BD" w:rsidRPr="00C41C12" w:rsidRDefault="00F6360B" w:rsidP="00EC7882">
            <w:pPr>
              <w:pStyle w:val="Figurephoto"/>
              <w:rPr>
                <w:lang w:eastAsia="en-NZ"/>
              </w:rPr>
            </w:pPr>
            <w:r>
              <w:rPr>
                <w:noProof/>
                <w:lang w:eastAsia="en-NZ"/>
              </w:rPr>
              <w:drawing>
                <wp:inline distT="0" distB="0" distL="0" distR="0">
                  <wp:extent cx="1748204" cy="967153"/>
                  <wp:effectExtent l="19050" t="0" r="4396" b="0"/>
                  <wp:docPr id="52" name="Picture 14" descr="D:\New Laptop Data\Ph.D. help material\Research Proposal_Faheem Butt\firstDamp_vs_PRA(X)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New Laptop Data\Ph.D. help material\Research Proposal_Faheem Butt\firstDamp_vs_PRA(X)_AMP.TIF"/>
                          <pic:cNvPicPr>
                            <a:picLocks noChangeAspect="1" noChangeArrowheads="1"/>
                          </pic:cNvPicPr>
                        </pic:nvPicPr>
                        <pic:blipFill>
                          <a:blip r:embed="rId24" cstate="print"/>
                          <a:srcRect b="14914"/>
                          <a:stretch>
                            <a:fillRect/>
                          </a:stretch>
                        </pic:blipFill>
                        <pic:spPr bwMode="auto">
                          <a:xfrm>
                            <a:off x="0" y="0"/>
                            <a:ext cx="1748204" cy="967153"/>
                          </a:xfrm>
                          <a:prstGeom prst="rect">
                            <a:avLst/>
                          </a:prstGeom>
                          <a:noFill/>
                          <a:ln w="9525">
                            <a:noFill/>
                            <a:miter lim="800000"/>
                            <a:headEnd/>
                            <a:tailEnd/>
                          </a:ln>
                        </pic:spPr>
                      </pic:pic>
                    </a:graphicData>
                  </a:graphic>
                </wp:inline>
              </w:drawing>
            </w:r>
          </w:p>
        </w:tc>
        <w:tc>
          <w:tcPr>
            <w:tcW w:w="3096" w:type="dxa"/>
            <w:gridSpan w:val="8"/>
          </w:tcPr>
          <w:p w:rsidR="008F75BD" w:rsidRPr="00C41C12" w:rsidRDefault="00F6360B" w:rsidP="00EC7882">
            <w:pPr>
              <w:pStyle w:val="Figurephoto"/>
              <w:rPr>
                <w:lang w:eastAsia="en-NZ"/>
              </w:rPr>
            </w:pPr>
            <w:r>
              <w:rPr>
                <w:noProof/>
                <w:lang w:eastAsia="en-NZ"/>
              </w:rPr>
              <w:drawing>
                <wp:inline distT="0" distB="0" distL="0" distR="0">
                  <wp:extent cx="1783373" cy="967153"/>
                  <wp:effectExtent l="19050" t="0" r="7327" b="0"/>
                  <wp:docPr id="54" name="Picture 15" descr="D:\New Laptop Data\Ph.D. help material\Research Proposal_Faheem Butt\secondDamp_vs_PRA(X)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New Laptop Data\Ph.D. help material\Research Proposal_Faheem Butt\secondDamp_vs_PRA(X)_AMP.TIF"/>
                          <pic:cNvPicPr>
                            <a:picLocks noChangeAspect="1" noChangeArrowheads="1"/>
                          </pic:cNvPicPr>
                        </pic:nvPicPr>
                        <pic:blipFill>
                          <a:blip r:embed="rId25" cstate="print"/>
                          <a:srcRect b="11712"/>
                          <a:stretch>
                            <a:fillRect/>
                          </a:stretch>
                        </pic:blipFill>
                        <pic:spPr bwMode="auto">
                          <a:xfrm>
                            <a:off x="0" y="0"/>
                            <a:ext cx="1783373" cy="967153"/>
                          </a:xfrm>
                          <a:prstGeom prst="rect">
                            <a:avLst/>
                          </a:prstGeom>
                          <a:noFill/>
                          <a:ln w="9525">
                            <a:noFill/>
                            <a:miter lim="800000"/>
                            <a:headEnd/>
                            <a:tailEnd/>
                          </a:ln>
                        </pic:spPr>
                      </pic:pic>
                    </a:graphicData>
                  </a:graphic>
                </wp:inline>
              </w:drawing>
            </w:r>
          </w:p>
        </w:tc>
        <w:tc>
          <w:tcPr>
            <w:tcW w:w="2990" w:type="dxa"/>
            <w:gridSpan w:val="4"/>
          </w:tcPr>
          <w:p w:rsidR="008F75BD" w:rsidRPr="00C41C12" w:rsidRDefault="00E145D6" w:rsidP="00EC7882">
            <w:pPr>
              <w:pStyle w:val="Figurephoto"/>
              <w:rPr>
                <w:lang w:eastAsia="en-NZ"/>
              </w:rPr>
            </w:pPr>
            <w:r>
              <w:rPr>
                <w:noProof/>
                <w:lang w:eastAsia="en-NZ"/>
              </w:rPr>
              <w:drawing>
                <wp:inline distT="0" distB="0" distL="0" distR="0">
                  <wp:extent cx="1731645" cy="936781"/>
                  <wp:effectExtent l="19050" t="0" r="1905" b="0"/>
                  <wp:docPr id="55" name="Picture 16" descr="D:\New Laptop Data\Ph.D. help material\Research Proposal_Faheem Butt\thirdDamp_vs_PRA(X)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New Laptop Data\Ph.D. help material\Research Proposal_Faheem Butt\thirdDamp_vs_PRA(X)_AMP.TIF"/>
                          <pic:cNvPicPr>
                            <a:picLocks noChangeAspect="1" noChangeArrowheads="1"/>
                          </pic:cNvPicPr>
                        </pic:nvPicPr>
                        <pic:blipFill>
                          <a:blip r:embed="rId26" cstate="print"/>
                          <a:srcRect b="9004"/>
                          <a:stretch>
                            <a:fillRect/>
                          </a:stretch>
                        </pic:blipFill>
                        <pic:spPr bwMode="auto">
                          <a:xfrm>
                            <a:off x="0" y="0"/>
                            <a:ext cx="1739336" cy="940942"/>
                          </a:xfrm>
                          <a:prstGeom prst="rect">
                            <a:avLst/>
                          </a:prstGeom>
                          <a:noFill/>
                          <a:ln w="9525">
                            <a:noFill/>
                            <a:miter lim="800000"/>
                            <a:headEnd/>
                            <a:tailEnd/>
                          </a:ln>
                        </pic:spPr>
                      </pic:pic>
                    </a:graphicData>
                  </a:graphic>
                </wp:inline>
              </w:drawing>
            </w:r>
          </w:p>
        </w:tc>
      </w:tr>
      <w:tr w:rsidR="00ED5BBC" w:rsidRPr="00C41C12" w:rsidTr="00242D45">
        <w:tc>
          <w:tcPr>
            <w:tcW w:w="2986" w:type="dxa"/>
            <w:gridSpan w:val="4"/>
          </w:tcPr>
          <w:p w:rsidR="00ED5BBC" w:rsidRPr="00C41C12" w:rsidRDefault="00E145D6" w:rsidP="008F75BD">
            <w:pPr>
              <w:pStyle w:val="Figurephoto"/>
              <w:rPr>
                <w:lang w:eastAsia="en-NZ"/>
              </w:rPr>
            </w:pPr>
            <w:r>
              <w:rPr>
                <w:noProof/>
                <w:lang w:eastAsia="en-NZ"/>
              </w:rPr>
              <w:drawing>
                <wp:inline distT="0" distB="0" distL="0" distR="0">
                  <wp:extent cx="1748188" cy="957714"/>
                  <wp:effectExtent l="19050" t="0" r="4412" b="0"/>
                  <wp:docPr id="57" name="Picture 17" descr="D:\New Laptop Data\Ph.D. help material\Research Proposal_Faheem Butt\firstDamp_vs_PRA(Y)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New Laptop Data\Ph.D. help material\Research Proposal_Faheem Butt\firstDamp_vs_PRA(Y)_AMP.TIF"/>
                          <pic:cNvPicPr>
                            <a:picLocks noChangeAspect="1" noChangeArrowheads="1"/>
                          </pic:cNvPicPr>
                        </pic:nvPicPr>
                        <pic:blipFill>
                          <a:blip r:embed="rId27" cstate="print"/>
                          <a:srcRect b="13808"/>
                          <a:stretch>
                            <a:fillRect/>
                          </a:stretch>
                        </pic:blipFill>
                        <pic:spPr bwMode="auto">
                          <a:xfrm>
                            <a:off x="0" y="0"/>
                            <a:ext cx="1748188" cy="957714"/>
                          </a:xfrm>
                          <a:prstGeom prst="rect">
                            <a:avLst/>
                          </a:prstGeom>
                          <a:noFill/>
                          <a:ln w="9525">
                            <a:noFill/>
                            <a:miter lim="800000"/>
                            <a:headEnd/>
                            <a:tailEnd/>
                          </a:ln>
                        </pic:spPr>
                      </pic:pic>
                    </a:graphicData>
                  </a:graphic>
                </wp:inline>
              </w:drawing>
            </w:r>
          </w:p>
        </w:tc>
        <w:tc>
          <w:tcPr>
            <w:tcW w:w="3096" w:type="dxa"/>
            <w:gridSpan w:val="8"/>
          </w:tcPr>
          <w:p w:rsidR="00ED5BBC" w:rsidRPr="00C41C12" w:rsidRDefault="00E145D6" w:rsidP="008F75BD">
            <w:pPr>
              <w:pStyle w:val="Figurephoto"/>
              <w:rPr>
                <w:lang w:eastAsia="en-NZ"/>
              </w:rPr>
            </w:pPr>
            <w:r>
              <w:rPr>
                <w:noProof/>
                <w:lang w:eastAsia="en-NZ"/>
              </w:rPr>
              <w:drawing>
                <wp:inline distT="0" distB="0" distL="0" distR="0">
                  <wp:extent cx="1802896" cy="957714"/>
                  <wp:effectExtent l="19050" t="0" r="6854" b="0"/>
                  <wp:docPr id="58" name="Picture 18" descr="D:\New Laptop Data\Ph.D. help material\Research Proposal_Faheem Butt\secondDamp_vs_PRA(Y)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New Laptop Data\Ph.D. help material\Research Proposal_Faheem Butt\secondDamp_vs_PRA(Y)_AMP.TIF"/>
                          <pic:cNvPicPr>
                            <a:picLocks noChangeAspect="1" noChangeArrowheads="1"/>
                          </pic:cNvPicPr>
                        </pic:nvPicPr>
                        <pic:blipFill>
                          <a:blip r:embed="rId28" cstate="print"/>
                          <a:srcRect b="12162"/>
                          <a:stretch>
                            <a:fillRect/>
                          </a:stretch>
                        </pic:blipFill>
                        <pic:spPr bwMode="auto">
                          <a:xfrm>
                            <a:off x="0" y="0"/>
                            <a:ext cx="1806575" cy="959668"/>
                          </a:xfrm>
                          <a:prstGeom prst="rect">
                            <a:avLst/>
                          </a:prstGeom>
                          <a:noFill/>
                          <a:ln w="9525">
                            <a:noFill/>
                            <a:miter lim="800000"/>
                            <a:headEnd/>
                            <a:tailEnd/>
                          </a:ln>
                        </pic:spPr>
                      </pic:pic>
                    </a:graphicData>
                  </a:graphic>
                </wp:inline>
              </w:drawing>
            </w:r>
          </w:p>
        </w:tc>
        <w:tc>
          <w:tcPr>
            <w:tcW w:w="2990" w:type="dxa"/>
            <w:gridSpan w:val="4"/>
          </w:tcPr>
          <w:p w:rsidR="00ED5BBC" w:rsidRPr="00C41C12" w:rsidRDefault="00E145D6" w:rsidP="008F75BD">
            <w:pPr>
              <w:pStyle w:val="Figurephoto"/>
              <w:rPr>
                <w:lang w:eastAsia="en-NZ"/>
              </w:rPr>
            </w:pPr>
            <w:r>
              <w:rPr>
                <w:noProof/>
                <w:lang w:eastAsia="en-NZ"/>
              </w:rPr>
              <w:drawing>
                <wp:inline distT="0" distB="0" distL="0" distR="0">
                  <wp:extent cx="1735657" cy="957714"/>
                  <wp:effectExtent l="19050" t="0" r="0" b="0"/>
                  <wp:docPr id="59" name="Picture 19" descr="D:\New Laptop Data\Ph.D. help material\Research Proposal_Faheem Butt\thirdDamp_vs_PRA(Y)_AM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New Laptop Data\Ph.D. help material\Research Proposal_Faheem Butt\thirdDamp_vs_PRA(Y)_AMP.TIF"/>
                          <pic:cNvPicPr>
                            <a:picLocks noChangeAspect="1" noChangeArrowheads="1"/>
                          </pic:cNvPicPr>
                        </pic:nvPicPr>
                        <pic:blipFill>
                          <a:blip r:embed="rId29" cstate="print"/>
                          <a:srcRect b="8531"/>
                          <a:stretch>
                            <a:fillRect/>
                          </a:stretch>
                        </pic:blipFill>
                        <pic:spPr bwMode="auto">
                          <a:xfrm>
                            <a:off x="0" y="0"/>
                            <a:ext cx="1736421" cy="958136"/>
                          </a:xfrm>
                          <a:prstGeom prst="rect">
                            <a:avLst/>
                          </a:prstGeom>
                          <a:noFill/>
                          <a:ln w="9525">
                            <a:noFill/>
                            <a:miter lim="800000"/>
                            <a:headEnd/>
                            <a:tailEnd/>
                          </a:ln>
                        </pic:spPr>
                      </pic:pic>
                    </a:graphicData>
                  </a:graphic>
                </wp:inline>
              </w:drawing>
            </w:r>
          </w:p>
        </w:tc>
      </w:tr>
      <w:tr w:rsidR="00312813" w:rsidRPr="00C41C12" w:rsidTr="00242D45">
        <w:trPr>
          <w:trHeight w:hRule="exact" w:val="602"/>
        </w:trPr>
        <w:tc>
          <w:tcPr>
            <w:tcW w:w="9072" w:type="dxa"/>
            <w:gridSpan w:val="16"/>
          </w:tcPr>
          <w:p w:rsidR="00312813" w:rsidRPr="00C41C12" w:rsidRDefault="00312813" w:rsidP="00B33B07">
            <w:pPr>
              <w:pStyle w:val="Figurecaption"/>
              <w:spacing w:before="0"/>
            </w:pPr>
            <w:r w:rsidRPr="00C41C12">
              <w:t xml:space="preserve">Figure </w:t>
            </w:r>
            <w:r w:rsidR="00BE55D4">
              <w:t>9</w:t>
            </w:r>
            <w:r w:rsidRPr="00C41C12">
              <w:t xml:space="preserve">. </w:t>
            </w:r>
            <w:r w:rsidR="00762A26" w:rsidRPr="00C41C12">
              <w:t>I</w:t>
            </w:r>
            <w:r w:rsidRPr="00C41C12">
              <w:t>dentified</w:t>
            </w:r>
            <w:r w:rsidR="00762A26" w:rsidRPr="00C41C12">
              <w:t xml:space="preserve"> damping ratios for building A for 50 earthquakes</w:t>
            </w:r>
            <w:r w:rsidRPr="00C41C12">
              <w:t>: (a) first mode</w:t>
            </w:r>
            <w:r w:rsidR="00762A26" w:rsidRPr="00C41C12">
              <w:t>,</w:t>
            </w:r>
            <w:r w:rsidRPr="00C41C12">
              <w:t xml:space="preserve"> (b) second mode</w:t>
            </w:r>
            <w:r w:rsidR="00762A26" w:rsidRPr="00C41C12">
              <w:t>,</w:t>
            </w:r>
            <w:r w:rsidRPr="00C41C12">
              <w:t xml:space="preserve"> (c) third mode</w:t>
            </w:r>
            <w:r w:rsidR="00E2519E" w:rsidRPr="00C41C12">
              <w:t xml:space="preserve"> </w:t>
            </w:r>
            <w:r w:rsidRPr="00C41C12">
              <w:t xml:space="preserve">vs. </w:t>
            </w:r>
            <w:r w:rsidR="00E2519E" w:rsidRPr="00C41C12">
              <w:t>X-direction</w:t>
            </w:r>
            <w:r w:rsidRPr="00C41C12">
              <w:t xml:space="preserve"> PRA</w:t>
            </w:r>
            <w:r w:rsidR="00762A26" w:rsidRPr="00C41C12">
              <w:t>,</w:t>
            </w:r>
            <w:r w:rsidR="00DF5B28" w:rsidRPr="00C41C12">
              <w:t xml:space="preserve"> (</w:t>
            </w:r>
            <w:r w:rsidR="00E2519E" w:rsidRPr="00C41C12">
              <w:t>d</w:t>
            </w:r>
            <w:r w:rsidR="00DF5B28" w:rsidRPr="00C41C12">
              <w:t>) first mode</w:t>
            </w:r>
            <w:r w:rsidR="00762A26" w:rsidRPr="00C41C12">
              <w:t>,</w:t>
            </w:r>
            <w:r w:rsidR="00DF5B28" w:rsidRPr="00C41C12">
              <w:t xml:space="preserve"> (</w:t>
            </w:r>
            <w:r w:rsidR="00E2519E" w:rsidRPr="00C41C12">
              <w:t>e</w:t>
            </w:r>
            <w:r w:rsidR="00DF5B28" w:rsidRPr="00C41C12">
              <w:t>) second mode</w:t>
            </w:r>
            <w:r w:rsidR="00762A26" w:rsidRPr="00C41C12">
              <w:t>, and</w:t>
            </w:r>
            <w:r w:rsidR="00DF5B28" w:rsidRPr="00C41C12">
              <w:t xml:space="preserve"> (</w:t>
            </w:r>
            <w:r w:rsidR="00E2519E" w:rsidRPr="00C41C12">
              <w:t>f</w:t>
            </w:r>
            <w:r w:rsidR="00DF5B28" w:rsidRPr="00C41C12">
              <w:t xml:space="preserve">) third mode vs. </w:t>
            </w:r>
            <w:r w:rsidR="00E2519E" w:rsidRPr="00C41C12">
              <w:t>Y-direction</w:t>
            </w:r>
            <w:r w:rsidR="00DF5B28" w:rsidRPr="00C41C12">
              <w:t xml:space="preserve"> PRA</w:t>
            </w:r>
          </w:p>
        </w:tc>
      </w:tr>
      <w:tr w:rsidR="006F03DE" w:rsidRPr="00C41C12" w:rsidTr="00242D45">
        <w:trPr>
          <w:trHeight w:hRule="exact" w:val="1493"/>
        </w:trPr>
        <w:tc>
          <w:tcPr>
            <w:tcW w:w="2986" w:type="dxa"/>
            <w:gridSpan w:val="4"/>
          </w:tcPr>
          <w:p w:rsidR="006F03DE" w:rsidRPr="00C41C12" w:rsidRDefault="001B319F" w:rsidP="006F03DE">
            <w:pPr>
              <w:pStyle w:val="Figurephoto"/>
            </w:pPr>
            <w:r>
              <w:rPr>
                <w:noProof/>
                <w:lang w:eastAsia="en-NZ"/>
              </w:rPr>
              <w:drawing>
                <wp:inline distT="0" distB="0" distL="0" distR="0">
                  <wp:extent cx="1751998" cy="917788"/>
                  <wp:effectExtent l="19050" t="0" r="602" b="0"/>
                  <wp:docPr id="60" name="Picture 20" descr="D:\New Laptop Data\Ph.D. help material\Research Proposal_Faheem Butt\firstDamp_vs_PRA(X)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New Laptop Data\Ph.D. help material\Research Proposal_Faheem Butt\firstDamp_vs_PRA(X)_SSPE.TIF"/>
                          <pic:cNvPicPr>
                            <a:picLocks noChangeAspect="1" noChangeArrowheads="1"/>
                          </pic:cNvPicPr>
                        </pic:nvPicPr>
                        <pic:blipFill>
                          <a:blip r:embed="rId30" cstate="print"/>
                          <a:srcRect b="14035"/>
                          <a:stretch>
                            <a:fillRect/>
                          </a:stretch>
                        </pic:blipFill>
                        <pic:spPr bwMode="auto">
                          <a:xfrm>
                            <a:off x="0" y="0"/>
                            <a:ext cx="1754719" cy="919213"/>
                          </a:xfrm>
                          <a:prstGeom prst="rect">
                            <a:avLst/>
                          </a:prstGeom>
                          <a:noFill/>
                          <a:ln w="9525">
                            <a:noFill/>
                            <a:miter lim="800000"/>
                            <a:headEnd/>
                            <a:tailEnd/>
                          </a:ln>
                        </pic:spPr>
                      </pic:pic>
                    </a:graphicData>
                  </a:graphic>
                </wp:inline>
              </w:drawing>
            </w:r>
          </w:p>
        </w:tc>
        <w:tc>
          <w:tcPr>
            <w:tcW w:w="3096" w:type="dxa"/>
            <w:gridSpan w:val="8"/>
          </w:tcPr>
          <w:p w:rsidR="006F03DE" w:rsidRPr="00C41C12" w:rsidRDefault="00AD4314" w:rsidP="006F03DE">
            <w:pPr>
              <w:pStyle w:val="Figurephoto"/>
            </w:pPr>
            <w:r>
              <w:rPr>
                <w:noProof/>
                <w:lang w:eastAsia="en-NZ"/>
              </w:rPr>
              <w:drawing>
                <wp:inline distT="0" distB="0" distL="0" distR="0">
                  <wp:extent cx="1759452" cy="919213"/>
                  <wp:effectExtent l="19050" t="0" r="0" b="0"/>
                  <wp:docPr id="61" name="Picture 21" descr="D:\New Laptop Data\Ph.D. help material\Research Proposal_Faheem Butt\secondDamp_vs_PRA(X)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New Laptop Data\Ph.D. help material\Research Proposal_Faheem Butt\secondDamp_vs_PRA(X)_SSPE.TIF"/>
                          <pic:cNvPicPr>
                            <a:picLocks noChangeAspect="1" noChangeArrowheads="1"/>
                          </pic:cNvPicPr>
                        </pic:nvPicPr>
                        <pic:blipFill>
                          <a:blip r:embed="rId31" cstate="print"/>
                          <a:srcRect b="10994"/>
                          <a:stretch>
                            <a:fillRect/>
                          </a:stretch>
                        </pic:blipFill>
                        <pic:spPr bwMode="auto">
                          <a:xfrm>
                            <a:off x="0" y="0"/>
                            <a:ext cx="1762938" cy="921034"/>
                          </a:xfrm>
                          <a:prstGeom prst="rect">
                            <a:avLst/>
                          </a:prstGeom>
                          <a:noFill/>
                          <a:ln w="9525">
                            <a:noFill/>
                            <a:miter lim="800000"/>
                            <a:headEnd/>
                            <a:tailEnd/>
                          </a:ln>
                        </pic:spPr>
                      </pic:pic>
                    </a:graphicData>
                  </a:graphic>
                </wp:inline>
              </w:drawing>
            </w:r>
          </w:p>
        </w:tc>
        <w:tc>
          <w:tcPr>
            <w:tcW w:w="2990" w:type="dxa"/>
            <w:gridSpan w:val="4"/>
          </w:tcPr>
          <w:p w:rsidR="006F03DE" w:rsidRPr="00C41C12" w:rsidRDefault="00AD4314" w:rsidP="006F03DE">
            <w:pPr>
              <w:pStyle w:val="Figurephoto"/>
            </w:pPr>
            <w:r>
              <w:rPr>
                <w:noProof/>
                <w:lang w:eastAsia="en-NZ"/>
              </w:rPr>
              <w:drawing>
                <wp:inline distT="0" distB="0" distL="0" distR="0">
                  <wp:extent cx="1718310" cy="918868"/>
                  <wp:effectExtent l="19050" t="0" r="0" b="0"/>
                  <wp:docPr id="62" name="Picture 22" descr="D:\New Laptop Data\Ph.D. help material\Research Proposal_Faheem Butt\thirdDamp_vs_PRA(X)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New Laptop Data\Ph.D. help material\Research Proposal_Faheem Butt\thirdDamp_vs_PRA(X)_SSPE.TIF"/>
                          <pic:cNvPicPr>
                            <a:picLocks noChangeAspect="1" noChangeArrowheads="1"/>
                          </pic:cNvPicPr>
                        </pic:nvPicPr>
                        <pic:blipFill>
                          <a:blip r:embed="rId32" cstate="print"/>
                          <a:srcRect b="7368"/>
                          <a:stretch>
                            <a:fillRect/>
                          </a:stretch>
                        </pic:blipFill>
                        <pic:spPr bwMode="auto">
                          <a:xfrm>
                            <a:off x="0" y="0"/>
                            <a:ext cx="1718954" cy="919213"/>
                          </a:xfrm>
                          <a:prstGeom prst="rect">
                            <a:avLst/>
                          </a:prstGeom>
                          <a:noFill/>
                          <a:ln w="9525">
                            <a:noFill/>
                            <a:miter lim="800000"/>
                            <a:headEnd/>
                            <a:tailEnd/>
                          </a:ln>
                        </pic:spPr>
                      </pic:pic>
                    </a:graphicData>
                  </a:graphic>
                </wp:inline>
              </w:drawing>
            </w:r>
          </w:p>
        </w:tc>
      </w:tr>
      <w:tr w:rsidR="006F03DE" w:rsidRPr="00C41C12" w:rsidTr="00B33B07">
        <w:trPr>
          <w:trHeight w:hRule="exact" w:val="1545"/>
        </w:trPr>
        <w:tc>
          <w:tcPr>
            <w:tcW w:w="2986" w:type="dxa"/>
            <w:gridSpan w:val="4"/>
          </w:tcPr>
          <w:p w:rsidR="006F03DE" w:rsidRPr="00C41C12" w:rsidRDefault="00AD4314" w:rsidP="006F03DE">
            <w:pPr>
              <w:pStyle w:val="Figurephoto"/>
            </w:pPr>
            <w:r>
              <w:rPr>
                <w:noProof/>
                <w:lang w:eastAsia="en-NZ"/>
              </w:rPr>
              <w:drawing>
                <wp:inline distT="0" distB="0" distL="0" distR="0">
                  <wp:extent cx="1751998" cy="957564"/>
                  <wp:effectExtent l="19050" t="0" r="602" b="0"/>
                  <wp:docPr id="63" name="Picture 23" descr="D:\New Laptop Data\Ph.D. help material\Research Proposal_Faheem Butt\firstDamp_vs_PRA(Y)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New Laptop Data\Ph.D. help material\Research Proposal_Faheem Butt\firstDamp_vs_PRA(Y)_SSPE.TIF"/>
                          <pic:cNvPicPr>
                            <a:picLocks noChangeAspect="1" noChangeArrowheads="1"/>
                          </pic:cNvPicPr>
                        </pic:nvPicPr>
                        <pic:blipFill>
                          <a:blip r:embed="rId33" cstate="print"/>
                          <a:srcRect b="13518"/>
                          <a:stretch>
                            <a:fillRect/>
                          </a:stretch>
                        </pic:blipFill>
                        <pic:spPr bwMode="auto">
                          <a:xfrm>
                            <a:off x="0" y="0"/>
                            <a:ext cx="1754100" cy="958713"/>
                          </a:xfrm>
                          <a:prstGeom prst="rect">
                            <a:avLst/>
                          </a:prstGeom>
                          <a:noFill/>
                          <a:ln w="9525">
                            <a:noFill/>
                            <a:miter lim="800000"/>
                            <a:headEnd/>
                            <a:tailEnd/>
                          </a:ln>
                        </pic:spPr>
                      </pic:pic>
                    </a:graphicData>
                  </a:graphic>
                </wp:inline>
              </w:drawing>
            </w:r>
          </w:p>
        </w:tc>
        <w:tc>
          <w:tcPr>
            <w:tcW w:w="3096" w:type="dxa"/>
            <w:gridSpan w:val="8"/>
          </w:tcPr>
          <w:p w:rsidR="006F03DE" w:rsidRPr="00C41C12" w:rsidRDefault="00AD4314" w:rsidP="006F03DE">
            <w:pPr>
              <w:pStyle w:val="Figurephoto"/>
            </w:pPr>
            <w:r>
              <w:rPr>
                <w:noProof/>
                <w:lang w:eastAsia="en-NZ"/>
              </w:rPr>
              <w:drawing>
                <wp:inline distT="0" distB="0" distL="0" distR="0">
                  <wp:extent cx="1804937" cy="957442"/>
                  <wp:effectExtent l="19050" t="0" r="4813" b="0"/>
                  <wp:docPr id="64" name="Picture 24" descr="D:\New Laptop Data\Ph.D. help material\Research Proposal_Faheem Butt\secondDamp_vs_PRA(Y)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New Laptop Data\Ph.D. help material\Research Proposal_Faheem Butt\secondDamp_vs_PRA(Y)_SSPE.TIF"/>
                          <pic:cNvPicPr>
                            <a:picLocks noChangeAspect="1" noChangeArrowheads="1"/>
                          </pic:cNvPicPr>
                        </pic:nvPicPr>
                        <pic:blipFill>
                          <a:blip r:embed="rId34" cstate="print"/>
                          <a:srcRect b="11431"/>
                          <a:stretch>
                            <a:fillRect/>
                          </a:stretch>
                        </pic:blipFill>
                        <pic:spPr bwMode="auto">
                          <a:xfrm>
                            <a:off x="0" y="0"/>
                            <a:ext cx="1808042" cy="959089"/>
                          </a:xfrm>
                          <a:prstGeom prst="rect">
                            <a:avLst/>
                          </a:prstGeom>
                          <a:noFill/>
                          <a:ln w="9525">
                            <a:noFill/>
                            <a:miter lim="800000"/>
                            <a:headEnd/>
                            <a:tailEnd/>
                          </a:ln>
                        </pic:spPr>
                      </pic:pic>
                    </a:graphicData>
                  </a:graphic>
                </wp:inline>
              </w:drawing>
            </w:r>
          </w:p>
        </w:tc>
        <w:tc>
          <w:tcPr>
            <w:tcW w:w="2990" w:type="dxa"/>
            <w:gridSpan w:val="4"/>
          </w:tcPr>
          <w:p w:rsidR="006F03DE" w:rsidRPr="00C41C12" w:rsidRDefault="00AD4314" w:rsidP="006F03DE">
            <w:pPr>
              <w:pStyle w:val="Figurephoto"/>
            </w:pPr>
            <w:r>
              <w:rPr>
                <w:noProof/>
                <w:lang w:eastAsia="en-NZ"/>
              </w:rPr>
              <w:drawing>
                <wp:inline distT="0" distB="0" distL="0" distR="0">
                  <wp:extent cx="1727935" cy="957266"/>
                  <wp:effectExtent l="19050" t="0" r="5615" b="0"/>
                  <wp:docPr id="65" name="Picture 25" descr="D:\New Laptop Data\Ph.D. help material\Research Proposal_Faheem Butt\thirdDamp_vs_PRA(Y)_SSP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New Laptop Data\Ph.D. help material\Research Proposal_Faheem Butt\thirdDamp_vs_PRA(Y)_SSPE.TIF"/>
                          <pic:cNvPicPr>
                            <a:picLocks noChangeAspect="1" noChangeArrowheads="1"/>
                          </pic:cNvPicPr>
                        </pic:nvPicPr>
                        <pic:blipFill>
                          <a:blip r:embed="rId35" cstate="print"/>
                          <a:srcRect b="9239"/>
                          <a:stretch>
                            <a:fillRect/>
                          </a:stretch>
                        </pic:blipFill>
                        <pic:spPr bwMode="auto">
                          <a:xfrm>
                            <a:off x="0" y="0"/>
                            <a:ext cx="1730420" cy="958643"/>
                          </a:xfrm>
                          <a:prstGeom prst="rect">
                            <a:avLst/>
                          </a:prstGeom>
                          <a:noFill/>
                          <a:ln w="9525">
                            <a:noFill/>
                            <a:miter lim="800000"/>
                            <a:headEnd/>
                            <a:tailEnd/>
                          </a:ln>
                        </pic:spPr>
                      </pic:pic>
                    </a:graphicData>
                  </a:graphic>
                </wp:inline>
              </w:drawing>
            </w:r>
          </w:p>
        </w:tc>
      </w:tr>
      <w:tr w:rsidR="006F03DE" w:rsidRPr="00C41C12" w:rsidTr="00242D45">
        <w:trPr>
          <w:trHeight w:hRule="exact" w:val="628"/>
        </w:trPr>
        <w:tc>
          <w:tcPr>
            <w:tcW w:w="9072" w:type="dxa"/>
            <w:gridSpan w:val="16"/>
          </w:tcPr>
          <w:p w:rsidR="006F03DE" w:rsidRPr="00C41C12" w:rsidRDefault="00BE55D4" w:rsidP="00B33B07">
            <w:pPr>
              <w:pStyle w:val="Figurecaption"/>
              <w:spacing w:before="0"/>
            </w:pPr>
            <w:r>
              <w:t>Figure 10</w:t>
            </w:r>
            <w:r w:rsidR="006F03DE" w:rsidRPr="00C41C12">
              <w:t>. Identified damping ratios for building B for 50 earthquakes: (a) first mode, (b) second mode, (c) third mode vs. X-direction PRA, (d) first mode, (e) second mode, and (f) third mode vs. Y-direction PRA</w:t>
            </w:r>
          </w:p>
        </w:tc>
      </w:tr>
    </w:tbl>
    <w:p w:rsidR="003E71C1" w:rsidRPr="00C41C12" w:rsidRDefault="003E71C1" w:rsidP="003E71C1">
      <w:pPr>
        <w:pStyle w:val="Heading1"/>
      </w:pPr>
      <w:r w:rsidRPr="00C41C12">
        <w:t>Conclusions</w:t>
      </w:r>
    </w:p>
    <w:p w:rsidR="003E71C1" w:rsidRPr="00C41C12" w:rsidRDefault="003E71C1" w:rsidP="003E71C1">
      <w:r w:rsidRPr="00C41C12">
        <w:t>In this study, system identification using a state-space subspace system identification technique was used to identify natural frequenci</w:t>
      </w:r>
      <w:r w:rsidR="00D9608F">
        <w:t>es and damping ratios of two th</w:t>
      </w:r>
      <w:r w:rsidRPr="00C41C12">
        <w:t>r</w:t>
      </w:r>
      <w:r w:rsidR="00D9608F">
        <w:t>ee</w:t>
      </w:r>
      <w:r w:rsidRPr="00C41C12">
        <w:t xml:space="preserve"> storey RC concrete frame buildings; one of them with a shear core and the other without a shear core. This technique is considered as the most powerful technique for the natural input in the time domain. To evaluate the variation in the dynamic response, the relationships between the first three natural frequencies and corresponding damping ratios with PRA were developed for 50 recorded earthquakes. The main findings of this research are as follows:</w:t>
      </w:r>
    </w:p>
    <w:p w:rsidR="003E71C1" w:rsidRPr="00C41C12" w:rsidRDefault="003E71C1" w:rsidP="003E71C1">
      <w:pPr>
        <w:pStyle w:val="ListParagraph"/>
        <w:numPr>
          <w:ilvl w:val="0"/>
          <w:numId w:val="13"/>
        </w:numPr>
      </w:pPr>
      <w:r w:rsidRPr="00C41C12">
        <w:t>Due to unsymmetrical distribution of stiffness, all modes are coupled translational-torsional.</w:t>
      </w:r>
    </w:p>
    <w:p w:rsidR="003E71C1" w:rsidRPr="00C41C12" w:rsidRDefault="003E71C1" w:rsidP="003E71C1">
      <w:pPr>
        <w:pStyle w:val="ListParagraph"/>
        <w:numPr>
          <w:ilvl w:val="0"/>
          <w:numId w:val="13"/>
        </w:numPr>
      </w:pPr>
      <w:r w:rsidRPr="00C41C12">
        <w:t>PGA and PRA have very good correlation along both X- and Y- directions.</w:t>
      </w:r>
    </w:p>
    <w:p w:rsidR="003E71C1" w:rsidRPr="00C41C12" w:rsidRDefault="003E71C1" w:rsidP="003E71C1">
      <w:pPr>
        <w:pStyle w:val="ListParagraph"/>
        <w:numPr>
          <w:ilvl w:val="0"/>
          <w:numId w:val="13"/>
        </w:numPr>
      </w:pPr>
      <w:r w:rsidRPr="00C41C12">
        <w:t xml:space="preserve">Modal frequencies are decreasing and damping ratios are increasing with the increase in the level of excitation except the case of nearly purely torsional mode where damping ratio shows </w:t>
      </w:r>
      <w:r w:rsidRPr="00C41C12">
        <w:lastRenderedPageBreak/>
        <w:t>no clear trend. The natural frequencies show a much clearer trend while damping ratios have more scattered values.</w:t>
      </w:r>
    </w:p>
    <w:p w:rsidR="003E71C1" w:rsidRPr="00C41C12" w:rsidRDefault="003E71C1" w:rsidP="003E71C1">
      <w:pPr>
        <w:pStyle w:val="ListParagraph"/>
        <w:numPr>
          <w:ilvl w:val="0"/>
          <w:numId w:val="13"/>
        </w:numPr>
      </w:pPr>
      <w:r w:rsidRPr="00C41C12">
        <w:t>State-space subspace system identification technique has the ability to identify very closely spaced modes.</w:t>
      </w:r>
    </w:p>
    <w:p w:rsidR="003E71C1" w:rsidRPr="00C41C12" w:rsidRDefault="003E71C1" w:rsidP="003E71C1">
      <w:pPr>
        <w:pStyle w:val="ListParagraph"/>
        <w:numPr>
          <w:ilvl w:val="0"/>
          <w:numId w:val="13"/>
        </w:numPr>
      </w:pPr>
      <w:r w:rsidRPr="00C41C12">
        <w:t>Since most of the earthquakes recorded so far are of low to medium intensity, it would be interesting to study the response of the buildings during stronger events.</w:t>
      </w:r>
    </w:p>
    <w:p w:rsidR="003E71C1" w:rsidRPr="00C41C12" w:rsidRDefault="003E71C1" w:rsidP="003E71C1">
      <w:pPr>
        <w:pStyle w:val="ListParagraph"/>
        <w:numPr>
          <w:ilvl w:val="0"/>
          <w:numId w:val="13"/>
        </w:numPr>
      </w:pPr>
      <w:r w:rsidRPr="00C41C12">
        <w:t>In some events, it is observed that the first, second, third or any two of the modes are missing in the identification results. This finding shows that dynamic response of the building is sensitive to the frequency content of the earthquakes.</w:t>
      </w:r>
    </w:p>
    <w:p w:rsidR="003E71C1" w:rsidRPr="00C41C12" w:rsidRDefault="003E71C1" w:rsidP="003E71C1">
      <w:pPr>
        <w:pStyle w:val="Headingwithoutnumber"/>
      </w:pPr>
      <w:r w:rsidRPr="00C41C12">
        <w:t>Acknowledgement</w:t>
      </w:r>
    </w:p>
    <w:p w:rsidR="003E71C1" w:rsidRPr="00C41C12" w:rsidRDefault="003E71C1" w:rsidP="003E71C1">
      <w:r w:rsidRPr="00C41C12">
        <w:t>The authors would like to acknowledge GeoNet staff for facilitating this research. Particular thanks go to Dr Jim Cousins, Dr S.R. Uma and Dr. Ken Gledhill.</w:t>
      </w:r>
    </w:p>
    <w:p w:rsidR="003E71C1" w:rsidRPr="00C41C12" w:rsidRDefault="003E71C1" w:rsidP="003E71C1">
      <w:pPr>
        <w:pStyle w:val="Headingwithoutnumber"/>
      </w:pPr>
      <w:r w:rsidRPr="00C41C12">
        <w:t xml:space="preserve">References: </w:t>
      </w:r>
    </w:p>
    <w:p w:rsidR="003E71C1" w:rsidRPr="00C41C12" w:rsidRDefault="003E71C1" w:rsidP="003E71C1">
      <w:pPr>
        <w:pStyle w:val="Referencetext"/>
      </w:pPr>
      <w:r w:rsidRPr="00C41C12">
        <w:t xml:space="preserve">Brownjohn, J.M.W. &amp; Xia, P.Q. 2000. Dynamic assessment of curved cable-stayed bridge by model updating, </w:t>
      </w:r>
      <w:r w:rsidRPr="00C41C12">
        <w:rPr>
          <w:i/>
        </w:rPr>
        <w:t>Journal of Structural Engineering, ASCE</w:t>
      </w:r>
      <w:r w:rsidRPr="00C41C12">
        <w:t>, Vol 126(2): 252-260.</w:t>
      </w:r>
    </w:p>
    <w:p w:rsidR="003E71C1" w:rsidRPr="00C41C12" w:rsidRDefault="001D7096" w:rsidP="003E71C1">
      <w:pPr>
        <w:pStyle w:val="Referencetext"/>
      </w:pPr>
      <w:r w:rsidRPr="00C41C12">
        <w:fldChar w:fldCharType="begin"/>
      </w:r>
      <w:r w:rsidR="003E71C1" w:rsidRPr="00C41C12">
        <w:instrText xml:space="preserve"> ADDIN EN.REFLIST </w:instrText>
      </w:r>
      <w:r w:rsidRPr="00C41C12">
        <w:fldChar w:fldCharType="end"/>
      </w:r>
      <w:r w:rsidR="003E71C1" w:rsidRPr="00C41C12">
        <w:t xml:space="preserve"> Celebi, M. 2006. Recorded earthquake responses from the integrated seismic monitoring network of the Atwood Building, Anchorage, Alaska, </w:t>
      </w:r>
      <w:r w:rsidR="003E71C1" w:rsidRPr="00C41C12">
        <w:rPr>
          <w:i/>
        </w:rPr>
        <w:t>Earthquake Spectra</w:t>
      </w:r>
      <w:r w:rsidR="003E71C1" w:rsidRPr="00C41C12">
        <w:t>, Vol 22(4): 847-864.</w:t>
      </w:r>
    </w:p>
    <w:p w:rsidR="003E71C1" w:rsidRDefault="003E71C1" w:rsidP="003E71C1">
      <w:pPr>
        <w:pStyle w:val="Referencetext"/>
        <w:jc w:val="left"/>
      </w:pPr>
      <w:r w:rsidRPr="00C41C12">
        <w:t xml:space="preserve">Comerio, M., Arendt, L., Bay, G., </w:t>
      </w:r>
      <w:r w:rsidRPr="00C41C12">
        <w:rPr>
          <w:szCs w:val="32"/>
        </w:rPr>
        <w:t>Bruneau</w:t>
      </w:r>
      <w:r w:rsidRPr="00C41C12">
        <w:t xml:space="preserve">, M., Dusicka, P., Gavin, H., Roeder, C., Turner, F., Lai, T., Williams, R., Boyd, O., Anagnostopoulou, M., Holmes, W. &amp; O’Rourke, T. 2010. Learning from Earthquakes: The Mw 7.1 Darfield (Canterbury), New Zealand Earthquake of September 4, 2010, Report, </w:t>
      </w:r>
      <w:r w:rsidRPr="00C41C12">
        <w:rPr>
          <w:i/>
        </w:rPr>
        <w:t>Earthquake Engineering Research Institute (EERI)</w:t>
      </w:r>
      <w:r w:rsidRPr="00C41C12">
        <w:t xml:space="preserve">, </w:t>
      </w:r>
      <w:hyperlink r:id="rId36" w:history="1">
        <w:r w:rsidRPr="00C41C12">
          <w:rPr>
            <w:rStyle w:val="Hyperlink"/>
          </w:rPr>
          <w:t>http://www.eeri.org/site/images/eeri_newsletter/2010_pdf/EERI_NewZealand_EQRpt-web.pdf</w:t>
        </w:r>
      </w:hyperlink>
    </w:p>
    <w:p w:rsidR="003E71C1" w:rsidRDefault="003E71C1" w:rsidP="003E71C1">
      <w:pPr>
        <w:pStyle w:val="Referencetext"/>
        <w:rPr>
          <w:lang w:eastAsia="en-NZ"/>
        </w:rPr>
      </w:pPr>
      <w:r>
        <w:rPr>
          <w:lang w:eastAsia="en-NZ"/>
        </w:rPr>
        <w:t xml:space="preserve">Deam, B.L. &amp; Cousins, W.J. 2002. Strong-motion instrumentation of buildings in New Zealand, </w:t>
      </w:r>
      <w:r w:rsidRPr="0027351C">
        <w:rPr>
          <w:i/>
          <w:lang w:eastAsia="en-NZ"/>
        </w:rPr>
        <w:t>New Zealand Society for Earthquake Engineering Conference; Proc. Intern. Conf.</w:t>
      </w:r>
      <w:r>
        <w:rPr>
          <w:lang w:eastAsia="en-NZ"/>
        </w:rPr>
        <w:t>, Napier, 15-17 March 2002.</w:t>
      </w:r>
    </w:p>
    <w:p w:rsidR="003E71C1" w:rsidRPr="00C41C12" w:rsidRDefault="003E71C1" w:rsidP="003E71C1">
      <w:pPr>
        <w:pStyle w:val="Referencetext"/>
      </w:pPr>
      <w:r w:rsidRPr="00C41C12">
        <w:t xml:space="preserve">Dowrick, D.J. 1994. Damage and intensities in the magnitude 7.8 1929 Muchison, New Zealand earthquake, </w:t>
      </w:r>
      <w:r w:rsidRPr="00C41C12">
        <w:rPr>
          <w:i/>
        </w:rPr>
        <w:t>Bulletin of the New Zealand National Society for Earthquake Engineering</w:t>
      </w:r>
      <w:r w:rsidRPr="00C41C12">
        <w:t>, Vol 27(3):190-204.</w:t>
      </w:r>
    </w:p>
    <w:p w:rsidR="003E71C1" w:rsidRDefault="003E71C1" w:rsidP="003E71C1">
      <w:pPr>
        <w:pStyle w:val="Referencetext"/>
      </w:pPr>
      <w:r w:rsidRPr="00C41C12">
        <w:t xml:space="preserve">Dowrick, D.J. 1998. Damage and intensities in the magnitude 7.8 1931 Hawke's Bay, New Zealand, earthquake, </w:t>
      </w:r>
      <w:r w:rsidRPr="00C41C12">
        <w:rPr>
          <w:i/>
        </w:rPr>
        <w:t xml:space="preserve">Bulletin of the New </w:t>
      </w:r>
      <w:r w:rsidRPr="00C41C12">
        <w:t>Zealand</w:t>
      </w:r>
      <w:r w:rsidRPr="00C41C12">
        <w:rPr>
          <w:i/>
        </w:rPr>
        <w:t xml:space="preserve"> National Society for Earthquake Engineering, </w:t>
      </w:r>
      <w:r w:rsidRPr="00C41C12">
        <w:t>Vol</w:t>
      </w:r>
      <w:r w:rsidRPr="00C41C12">
        <w:rPr>
          <w:i/>
        </w:rPr>
        <w:t xml:space="preserve"> </w:t>
      </w:r>
      <w:r w:rsidRPr="00C41C12">
        <w:t>31(3 ):139-162</w:t>
      </w:r>
      <w:r>
        <w:t>.</w:t>
      </w:r>
    </w:p>
    <w:p w:rsidR="003E71C1" w:rsidRDefault="003E71C1" w:rsidP="003E71C1">
      <w:pPr>
        <w:pStyle w:val="Referencetext"/>
        <w:rPr>
          <w:lang w:eastAsia="en-NZ"/>
        </w:rPr>
      </w:pPr>
      <w:r>
        <w:rPr>
          <w:lang w:eastAsia="en-NZ"/>
        </w:rPr>
        <w:t xml:space="preserve">Ewins, D.J. 2000. </w:t>
      </w:r>
      <w:r>
        <w:rPr>
          <w:i/>
          <w:iCs/>
          <w:lang w:eastAsia="en-NZ"/>
        </w:rPr>
        <w:t>Modal Testing: Theory, Practice and Application.</w:t>
      </w:r>
      <w:r>
        <w:rPr>
          <w:lang w:eastAsia="en-NZ"/>
        </w:rPr>
        <w:t xml:space="preserve"> Baldock, Hertfordshire, UK: Research Studies Press Ltd., </w:t>
      </w:r>
    </w:p>
    <w:p w:rsidR="003E71C1" w:rsidRPr="00C41C12" w:rsidRDefault="003E71C1" w:rsidP="003E71C1">
      <w:pPr>
        <w:pStyle w:val="Referencetext"/>
        <w:rPr>
          <w:lang w:eastAsia="en-NZ"/>
        </w:rPr>
      </w:pPr>
      <w:r w:rsidRPr="00C41C12">
        <w:rPr>
          <w:lang w:eastAsia="en-NZ"/>
        </w:rPr>
        <w:t xml:space="preserve">Farrar, C.R., Sohn, H. &amp; Doebling, S.W. 2000. Structural health monitoring at Los Alamos National Laboratory, </w:t>
      </w:r>
      <w:r w:rsidRPr="00C41C12">
        <w:rPr>
          <w:i/>
          <w:lang w:eastAsia="en-NZ"/>
        </w:rPr>
        <w:t>US-Korea Conference on Science and Technology, Entrepreneurship, and Leadership</w:t>
      </w:r>
      <w:r w:rsidRPr="00C41C12">
        <w:rPr>
          <w:lang w:eastAsia="en-NZ"/>
        </w:rPr>
        <w:t xml:space="preserve">; </w:t>
      </w:r>
      <w:r w:rsidRPr="00C41C12">
        <w:rPr>
          <w:i/>
          <w:lang w:eastAsia="en-NZ"/>
        </w:rPr>
        <w:t>Proc. Intern. Conf.</w:t>
      </w:r>
      <w:r w:rsidRPr="00C41C12">
        <w:rPr>
          <w:lang w:eastAsia="en-NZ"/>
        </w:rPr>
        <w:t xml:space="preserve">, </w:t>
      </w:r>
      <w:r w:rsidRPr="00C41C12">
        <w:rPr>
          <w:i/>
          <w:lang w:eastAsia="en-NZ"/>
        </w:rPr>
        <w:t>Chicago, 2-5 September 2000</w:t>
      </w:r>
      <w:r w:rsidRPr="00C41C12">
        <w:rPr>
          <w:lang w:eastAsia="en-NZ"/>
        </w:rPr>
        <w:t>.</w:t>
      </w:r>
    </w:p>
    <w:p w:rsidR="003E71C1" w:rsidRDefault="003E71C1" w:rsidP="003E71C1">
      <w:pPr>
        <w:pStyle w:val="Referencetext"/>
      </w:pPr>
      <w:r w:rsidRPr="00C41C12">
        <w:t xml:space="preserve">Hart, G.C. &amp; Yao, J.T.P. 1976. System identification in structural dynamics, </w:t>
      </w:r>
      <w:r w:rsidRPr="00C41C12">
        <w:rPr>
          <w:i/>
        </w:rPr>
        <w:t>Journal of Engineering Mechanics</w:t>
      </w:r>
      <w:r w:rsidRPr="00C41C12">
        <w:t xml:space="preserve">, </w:t>
      </w:r>
      <w:r w:rsidRPr="00C41C12">
        <w:rPr>
          <w:i/>
        </w:rPr>
        <w:t>ASC</w:t>
      </w:r>
      <w:r w:rsidRPr="00C41C12">
        <w:t>E Vol 103: 1089-1104</w:t>
      </w:r>
      <w:r w:rsidR="007625A4">
        <w:t>.</w:t>
      </w:r>
    </w:p>
    <w:p w:rsidR="007625A4" w:rsidRPr="00C41C12" w:rsidRDefault="007625A4" w:rsidP="007625A4">
      <w:pPr>
        <w:pStyle w:val="Referencetext"/>
      </w:pPr>
      <w:r w:rsidRPr="00C41C12">
        <w:t xml:space="preserve">Saito, T. &amp; Yokota, H. 1996. Evaluation of dynamic characteristics of high-rise buildings using system identification techniques, </w:t>
      </w:r>
      <w:r w:rsidRPr="00C41C12">
        <w:rPr>
          <w:i/>
        </w:rPr>
        <w:t>Journal of Wind Engineering and Industrial Aerodynamics,</w:t>
      </w:r>
      <w:r w:rsidRPr="00C41C12">
        <w:t xml:space="preserve"> Vol 59(2-3): 299-307.</w:t>
      </w:r>
    </w:p>
    <w:p w:rsidR="007625A4" w:rsidRDefault="007625A4" w:rsidP="007625A4">
      <w:pPr>
        <w:pStyle w:val="Referencetext"/>
      </w:pPr>
      <w:r w:rsidRPr="00C41C12">
        <w:t xml:space="preserve">Satake, N. &amp; Yokota, H. 1996. Evaluation of vibration properties of high-rise steel buildings using data of vibration tests and earthquake observations, </w:t>
      </w:r>
      <w:r w:rsidRPr="00C41C12">
        <w:rPr>
          <w:i/>
        </w:rPr>
        <w:t>Journal of Wind Engineering and Industrial Aerodynamics</w:t>
      </w:r>
      <w:r w:rsidRPr="00C41C12">
        <w:t>, Vol 59(2-3): 265-282</w:t>
      </w:r>
      <w:r>
        <w:t>.</w:t>
      </w:r>
    </w:p>
    <w:p w:rsidR="007625A4" w:rsidRPr="003E71C1" w:rsidRDefault="007625A4" w:rsidP="007625A4">
      <w:pPr>
        <w:pStyle w:val="Referencetext"/>
      </w:pPr>
      <w:r w:rsidRPr="00C41C12">
        <w:t xml:space="preserve">Trifunac, M.D., Ivanovic, S.S. &amp; Todorovska, M.I. 2001. Apparent periods of a building I: Fourier analysis, </w:t>
      </w:r>
      <w:r w:rsidRPr="00C41C12">
        <w:rPr>
          <w:i/>
        </w:rPr>
        <w:t>Journal of Structural Engineering, ASCE</w:t>
      </w:r>
      <w:r w:rsidRPr="00C41C12">
        <w:t>, Vol 127(5): 517-526.</w:t>
      </w:r>
    </w:p>
    <w:p w:rsidR="00985D70" w:rsidRPr="00985D70" w:rsidRDefault="00985D70" w:rsidP="00985D70">
      <w:pPr>
        <w:pStyle w:val="Referencetext"/>
      </w:pPr>
      <w:r w:rsidRPr="00985D70">
        <w:t xml:space="preserve">Uma, S., King, A., Cousins, J. </w:t>
      </w:r>
      <w:r>
        <w:t>&amp;</w:t>
      </w:r>
      <w:r w:rsidRPr="00985D70">
        <w:t xml:space="preserve"> Gledhill, K. </w:t>
      </w:r>
      <w:r w:rsidR="007B4010">
        <w:t>2011</w:t>
      </w:r>
      <w:r w:rsidR="007B4010" w:rsidRPr="007B4010">
        <w:t xml:space="preserve"> </w:t>
      </w:r>
      <w:r w:rsidR="007B4010">
        <w:t>in press</w:t>
      </w:r>
      <w:r>
        <w:t xml:space="preserve">. </w:t>
      </w:r>
      <w:r w:rsidRPr="00985D70">
        <w:t xml:space="preserve">The GeoNet building instrumentation programme, </w:t>
      </w:r>
      <w:r w:rsidRPr="00985D70">
        <w:rPr>
          <w:i/>
        </w:rPr>
        <w:t>Bulletin of the New Zealand Society for Earthquake Engineering</w:t>
      </w:r>
    </w:p>
    <w:p w:rsidR="003E71C1" w:rsidRPr="00C41C12" w:rsidRDefault="003E71C1" w:rsidP="003E71C1">
      <w:pPr>
        <w:pStyle w:val="Referencetext"/>
      </w:pPr>
      <w:r w:rsidRPr="00C41C12">
        <w:t xml:space="preserve">Van Overschee, P. &amp; De Moor, B. 1994. N4SID: Subspace algorithm for the identification of combined deterministic-stochastic systems, </w:t>
      </w:r>
      <w:r w:rsidRPr="00C41C12">
        <w:rPr>
          <w:i/>
        </w:rPr>
        <w:t>Automatica</w:t>
      </w:r>
      <w:r w:rsidRPr="00C41C12">
        <w:t xml:space="preserve">, Vol 30(1): 75-93. </w:t>
      </w:r>
    </w:p>
    <w:p w:rsidR="003E71C1" w:rsidRPr="003E71C1" w:rsidRDefault="003E71C1" w:rsidP="00E711B3">
      <w:pPr>
        <w:pStyle w:val="Referencetext"/>
      </w:pPr>
      <w:r w:rsidRPr="00C41C12">
        <w:t xml:space="preserve">Van Overschee, P. &amp; De Moor, B. 1996. Subspace identification for linear systems, Dordrecht, the Netherlands: Kluwer Academic Publishers. </w:t>
      </w:r>
    </w:p>
    <w:sectPr w:rsidR="003E71C1" w:rsidRPr="003E71C1" w:rsidSect="001701A0">
      <w:footerReference w:type="even" r:id="rId37"/>
      <w:footerReference w:type="default" r:id="rId38"/>
      <w:headerReference w:type="first" r:id="rId39"/>
      <w:footerReference w:type="first" r:id="rId40"/>
      <w:type w:val="continuous"/>
      <w:pgSz w:w="11907" w:h="16840" w:code="9"/>
      <w:pgMar w:top="1418" w:right="1418" w:bottom="1276" w:left="1418" w:header="0" w:footer="680" w:gutter="0"/>
      <w:cols w:space="284"/>
      <w:formProt w:val="0"/>
      <w:noEndnote/>
      <w:titlePg/>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1"/>
    </wne:keymap>
    <wne:keymap wne:kcmPrimary="0446">
      <wne:acd wne:acdName="acd3"/>
    </wne:keymap>
    <wne:keymap wne:kcmPrimary="044E">
      <wne:acd wne:acdName="acd0"/>
    </wne:keymap>
  </wne:keymaps>
  <wne:toolbars>
    <wne:acdManifest>
      <wne:acdEntry wne:acdName="acd0"/>
      <wne:acdEntry wne:acdName="acd1"/>
      <wne:acdEntry wne:acdName="acd2"/>
      <wne:acdEntry wne:acdName="acd3"/>
    </wne:acdManifest>
  </wne:toolbars>
  <wne:acds>
    <wne:acd wne:argValue="AgBOAG8AcgBtAGEAbAAsAHQAZQB4AHQA" wne:acdName="acd0" wne:fciIndexBasedOn="0065"/>
    <wne:acd wne:argValue="AgBIAGUAYQBkAGkAbgBnACAAMgAsAGgAZQBhAGQAaQBuAGcAIAAyAA==" wne:acdName="acd1" wne:fciIndexBasedOn="0065"/>
    <wne:acd wne:argValue="AgBIAGUAYQBkAGkAbgBnACAAMQAsAGgAZQBhAGQAaQBuAGcAIAAxAA==" wne:acdName="acd2" wne:fciIndexBasedOn="0065"/>
    <wne:acd wne:argValue="AgBGAGkAZwB1AHIAZQAgAGMAYQBwAHQAaQBvAG4A" wne:acdName="acd3"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3299" w:rsidRDefault="00CD3299">
      <w:pPr>
        <w:spacing w:before="0" w:line="240" w:lineRule="auto"/>
      </w:pPr>
      <w:r>
        <w:separator/>
      </w:r>
    </w:p>
  </w:endnote>
  <w:endnote w:type="continuationSeparator" w:id="1">
    <w:p w:rsidR="00CD3299" w:rsidRDefault="00CD3299">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37B5" w:rsidRDefault="001D7096">
    <w:pPr>
      <w:pStyle w:val="Footer"/>
      <w:ind w:right="360"/>
      <w:jc w:val="center"/>
    </w:pPr>
    <w:fldSimple w:instr=" PAGE ">
      <w:r w:rsidR="004337B5">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37B5" w:rsidRDefault="001D7096">
    <w:pPr>
      <w:pStyle w:val="Footer"/>
      <w:tabs>
        <w:tab w:val="clear" w:pos="4153"/>
        <w:tab w:val="clear" w:pos="8306"/>
      </w:tabs>
      <w:ind w:right="-1"/>
      <w:jc w:val="center"/>
    </w:pPr>
    <w:fldSimple w:instr=" PAGE ">
      <w:r w:rsidR="00AD4314">
        <w:rPr>
          <w:noProof/>
        </w:rPr>
        <w:t>7</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37B5" w:rsidRDefault="004337B5">
    <w:pPr>
      <w:pStyle w:val="Footer"/>
      <w:tabs>
        <w:tab w:val="clear" w:pos="4153"/>
        <w:tab w:val="clear" w:pos="8306"/>
      </w:tabs>
      <w:jc w:val="center"/>
    </w:pPr>
    <w:r>
      <w:t xml:space="preserve">Paper Number </w:t>
    </w:r>
    <w:r w:rsidR="00B0107C">
      <w:t>220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3299" w:rsidRDefault="00CD3299">
      <w:pPr>
        <w:spacing w:before="0" w:line="240" w:lineRule="auto"/>
      </w:pPr>
      <w:r>
        <w:separator/>
      </w:r>
    </w:p>
  </w:footnote>
  <w:footnote w:type="continuationSeparator" w:id="1">
    <w:p w:rsidR="00CD3299" w:rsidRDefault="00CD3299">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657" w:rsidRPr="00841E5E" w:rsidRDefault="008200E4" w:rsidP="00DF4657">
    <w:pPr>
      <w:pStyle w:val="Header"/>
      <w:tabs>
        <w:tab w:val="clear" w:pos="4320"/>
        <w:tab w:val="clear" w:pos="8640"/>
        <w:tab w:val="right" w:pos="8931"/>
      </w:tabs>
    </w:pPr>
    <w:r>
      <w:rPr>
        <w:noProof/>
        <w:lang w:eastAsia="en-NZ"/>
      </w:rPr>
      <w:drawing>
        <wp:anchor distT="0" distB="0" distL="114300" distR="114300" simplePos="0" relativeHeight="251657728" behindDoc="0" locked="0" layoutInCell="1" allowOverlap="1">
          <wp:simplePos x="0" y="0"/>
          <wp:positionH relativeFrom="column">
            <wp:posOffset>-79375</wp:posOffset>
          </wp:positionH>
          <wp:positionV relativeFrom="paragraph">
            <wp:posOffset>267335</wp:posOffset>
          </wp:positionV>
          <wp:extent cx="1221740" cy="897255"/>
          <wp:effectExtent l="19050" t="0" r="0" b="0"/>
          <wp:wrapNone/>
          <wp:docPr id="5" name="Picture 3" descr="Heade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der4"/>
                  <pic:cNvPicPr>
                    <a:picLocks noChangeAspect="1" noChangeArrowheads="1"/>
                  </pic:cNvPicPr>
                </pic:nvPicPr>
                <pic:blipFill>
                  <a:blip r:embed="rId1"/>
                  <a:srcRect/>
                  <a:stretch>
                    <a:fillRect/>
                  </a:stretch>
                </pic:blipFill>
                <pic:spPr bwMode="auto">
                  <a:xfrm>
                    <a:off x="0" y="0"/>
                    <a:ext cx="1221740" cy="897255"/>
                  </a:xfrm>
                  <a:prstGeom prst="rect">
                    <a:avLst/>
                  </a:prstGeom>
                  <a:noFill/>
                  <a:ln w="9525">
                    <a:noFill/>
                    <a:miter lim="800000"/>
                    <a:headEnd/>
                    <a:tailEnd/>
                  </a:ln>
                </pic:spPr>
              </pic:pic>
            </a:graphicData>
          </a:graphic>
        </wp:anchor>
      </w:drawing>
    </w:r>
    <w:r w:rsidR="00DF4657" w:rsidRPr="00841E5E">
      <w:tab/>
    </w:r>
    <w:r w:rsidR="00DF4657" w:rsidRPr="00841E5E">
      <w:tab/>
    </w:r>
  </w:p>
  <w:p w:rsidR="00DF4657" w:rsidRPr="00841E5E" w:rsidRDefault="00DF4657" w:rsidP="00841E5E">
    <w:pPr>
      <w:pStyle w:val="Header"/>
      <w:tabs>
        <w:tab w:val="clear" w:pos="4320"/>
        <w:tab w:val="clear" w:pos="8640"/>
        <w:tab w:val="right" w:pos="8931"/>
      </w:tabs>
      <w:spacing w:line="240" w:lineRule="auto"/>
      <w:jc w:val="right"/>
    </w:pPr>
    <w:r w:rsidRPr="00841E5E">
      <w:t>Proceedings of the Ninth Pacific Conference on Earthquake Engineering</w:t>
    </w:r>
  </w:p>
  <w:p w:rsidR="00841E5E" w:rsidRPr="00841E5E" w:rsidRDefault="00841E5E" w:rsidP="00841E5E">
    <w:pPr>
      <w:pStyle w:val="Header"/>
      <w:tabs>
        <w:tab w:val="clear" w:pos="4320"/>
        <w:tab w:val="clear" w:pos="8640"/>
        <w:tab w:val="right" w:pos="8931"/>
      </w:tabs>
      <w:spacing w:before="0" w:line="240" w:lineRule="auto"/>
      <w:jc w:val="right"/>
    </w:pPr>
    <w:r w:rsidRPr="00841E5E">
      <w:t>Building an Earthquake-Resilient Society</w:t>
    </w:r>
  </w:p>
  <w:p w:rsidR="00DF4657" w:rsidRDefault="00DF4657" w:rsidP="00841E5E">
    <w:pPr>
      <w:pStyle w:val="Header"/>
      <w:tabs>
        <w:tab w:val="clear" w:pos="4320"/>
        <w:tab w:val="clear" w:pos="8640"/>
        <w:tab w:val="right" w:pos="8931"/>
      </w:tabs>
      <w:spacing w:before="0" w:line="240" w:lineRule="auto"/>
      <w:jc w:val="right"/>
    </w:pPr>
    <w:r w:rsidRPr="00841E5E">
      <w:t>14-16</w:t>
    </w:r>
    <w:r w:rsidR="000F1588" w:rsidRPr="00841E5E">
      <w:t xml:space="preserve"> April</w:t>
    </w:r>
    <w:r w:rsidRPr="00841E5E">
      <w:t>, 2011, Auckland, New Zealand</w:t>
    </w:r>
  </w:p>
  <w:p w:rsidR="00841E5E" w:rsidRPr="00841E5E" w:rsidRDefault="00841E5E" w:rsidP="00841E5E">
    <w:pPr>
      <w:pStyle w:val="Header"/>
      <w:tabs>
        <w:tab w:val="clear" w:pos="4320"/>
        <w:tab w:val="clear" w:pos="8640"/>
        <w:tab w:val="right" w:pos="8931"/>
      </w:tabs>
      <w:spacing w:before="0" w:after="240" w:line="240" w:lineRule="aut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A3D486C0"/>
    <w:lvl w:ilvl="0">
      <w:start w:val="1"/>
      <w:numFmt w:val="decimal"/>
      <w:pStyle w:val="Heading1"/>
      <w:lvlText w:val="%1"/>
      <w:legacy w:legacy="1" w:legacySpace="153" w:legacyIndent="0"/>
      <w:lvlJc w:val="left"/>
      <w:rPr>
        <w:rFonts w:ascii="Times New Roman" w:hAnsi="Times New Roman" w:hint="default"/>
        <w:b/>
        <w:i w:val="0"/>
        <w:sz w:val="22"/>
      </w:rPr>
    </w:lvl>
    <w:lvl w:ilvl="1">
      <w:start w:val="1"/>
      <w:numFmt w:val="decimal"/>
      <w:pStyle w:val="Heading2"/>
      <w:lvlText w:val="%1.%2"/>
      <w:legacy w:legacy="1" w:legacySpace="153" w:legacyIndent="0"/>
      <w:lvlJc w:val="left"/>
      <w:pPr>
        <w:ind w:left="0" w:firstLine="0"/>
      </w:pPr>
      <w:rPr>
        <w:rFonts w:ascii="Times New Roman" w:hAnsi="Times New Roman" w:hint="default"/>
        <w:b w:val="0"/>
        <w:i w:val="0"/>
        <w:sz w:val="22"/>
      </w:rPr>
    </w:lvl>
    <w:lvl w:ilvl="2">
      <w:start w:val="1"/>
      <w:numFmt w:val="decimal"/>
      <w:pStyle w:val="Heading3"/>
      <w:lvlText w:val="%1.%2.%3"/>
      <w:legacy w:legacy="1" w:legacySpace="153" w:legacyIndent="0"/>
      <w:lvlJc w:val="left"/>
      <w:pPr>
        <w:ind w:left="0" w:firstLine="0"/>
      </w:pPr>
      <w:rPr>
        <w:rFonts w:ascii="Times New Roman" w:hAnsi="Times New Roman" w:hint="default"/>
        <w:b w:val="0"/>
        <w:i w:val="0"/>
        <w:sz w:val="22"/>
      </w:rPr>
    </w:lvl>
    <w:lvl w:ilvl="3">
      <w:start w:val="1"/>
      <w:numFmt w:val="decimal"/>
      <w:pStyle w:val="Heading4"/>
      <w:lvlText w:val="%1.%2.%3.%4"/>
      <w:legacy w:legacy="1" w:legacySpace="153" w:legacyIndent="0"/>
      <w:lvlJc w:val="left"/>
      <w:pPr>
        <w:ind w:left="0" w:firstLine="0"/>
      </w:pPr>
      <w:rPr>
        <w:rFonts w:ascii="Times New Roman" w:hAnsi="Times New Roman" w:hint="default"/>
        <w:b w:val="0"/>
        <w:i w:val="0"/>
        <w:sz w:val="22"/>
      </w:rPr>
    </w:lvl>
    <w:lvl w:ilvl="4">
      <w:start w:val="1"/>
      <w:numFmt w:val="decimal"/>
      <w:pStyle w:val="Heading5"/>
      <w:lvlText w:val="(%5)"/>
      <w:legacy w:legacy="1" w:legacySpace="0" w:legacyIndent="708"/>
      <w:lvlJc w:val="left"/>
      <w:pPr>
        <w:ind w:left="708" w:hanging="708"/>
      </w:pPr>
    </w:lvl>
    <w:lvl w:ilvl="5">
      <w:start w:val="1"/>
      <w:numFmt w:val="lowerLetter"/>
      <w:pStyle w:val="Heading6"/>
      <w:lvlText w:val="(%6)"/>
      <w:legacy w:legacy="1" w:legacySpace="0" w:legacyIndent="708"/>
      <w:lvlJc w:val="left"/>
      <w:pPr>
        <w:ind w:left="1416" w:hanging="708"/>
      </w:pPr>
    </w:lvl>
    <w:lvl w:ilvl="6">
      <w:start w:val="1"/>
      <w:numFmt w:val="lowerRoman"/>
      <w:pStyle w:val="Heading7"/>
      <w:lvlText w:val="(%7)"/>
      <w:legacy w:legacy="1" w:legacySpace="0" w:legacyIndent="708"/>
      <w:lvlJc w:val="left"/>
      <w:pPr>
        <w:ind w:left="2124" w:hanging="708"/>
      </w:pPr>
    </w:lvl>
    <w:lvl w:ilvl="7">
      <w:start w:val="1"/>
      <w:numFmt w:val="lowerLetter"/>
      <w:pStyle w:val="Heading8"/>
      <w:lvlText w:val="(%8)"/>
      <w:legacy w:legacy="1" w:legacySpace="0" w:legacyIndent="708"/>
      <w:lvlJc w:val="left"/>
      <w:pPr>
        <w:ind w:left="2832" w:hanging="708"/>
      </w:pPr>
    </w:lvl>
    <w:lvl w:ilvl="8">
      <w:start w:val="1"/>
      <w:numFmt w:val="lowerRoman"/>
      <w:pStyle w:val="Heading9"/>
      <w:lvlText w:val="(%9)"/>
      <w:legacy w:legacy="1" w:legacySpace="0" w:legacyIndent="708"/>
      <w:lvlJc w:val="left"/>
      <w:pPr>
        <w:ind w:left="3540" w:hanging="708"/>
      </w:pPr>
    </w:lvl>
  </w:abstractNum>
  <w:abstractNum w:abstractNumId="1">
    <w:nsid w:val="FFFFFFFE"/>
    <w:multiLevelType w:val="singleLevel"/>
    <w:tmpl w:val="271000F2"/>
    <w:lvl w:ilvl="0">
      <w:numFmt w:val="decimal"/>
      <w:lvlText w:val="*"/>
      <w:lvlJc w:val="left"/>
    </w:lvl>
  </w:abstractNum>
  <w:abstractNum w:abstractNumId="2">
    <w:nsid w:val="1DC4311E"/>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58E6E8D"/>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720"/>
        </w:tabs>
        <w:ind w:left="72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BC72172"/>
    <w:multiLevelType w:val="hybridMultilevel"/>
    <w:tmpl w:val="1394798C"/>
    <w:lvl w:ilvl="0" w:tplc="0409000F">
      <w:start w:val="1"/>
      <w:numFmt w:val="decimal"/>
      <w:lvlText w:val="%1."/>
      <w:lvlJc w:val="left"/>
      <w:pPr>
        <w:tabs>
          <w:tab w:val="num" w:pos="770"/>
        </w:tabs>
        <w:ind w:left="770" w:hanging="360"/>
      </w:p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5">
    <w:nsid w:val="47DF742B"/>
    <w:multiLevelType w:val="singleLevel"/>
    <w:tmpl w:val="B4E8B2FE"/>
    <w:lvl w:ilvl="0">
      <w:start w:val="1"/>
      <w:numFmt w:val="decimal"/>
      <w:lvlText w:val="%1"/>
      <w:legacy w:legacy="1" w:legacySpace="0" w:legacyIndent="283"/>
      <w:lvlJc w:val="left"/>
      <w:pPr>
        <w:ind w:left="283" w:hanging="283"/>
      </w:pPr>
      <w:rPr>
        <w:rFonts w:ascii="Times New Roman" w:hAnsi="Times New Roman" w:cs="Times New Roman" w:hint="default"/>
        <w:b w:val="0"/>
        <w:i w:val="0"/>
        <w:sz w:val="24"/>
      </w:rPr>
    </w:lvl>
  </w:abstractNum>
  <w:abstractNum w:abstractNumId="6">
    <w:nsid w:val="5949088F"/>
    <w:multiLevelType w:val="hybridMultilevel"/>
    <w:tmpl w:val="1394798C"/>
    <w:lvl w:ilvl="0" w:tplc="04090001">
      <w:start w:val="1"/>
      <w:numFmt w:val="bullet"/>
      <w:lvlText w:val=""/>
      <w:lvlJc w:val="left"/>
      <w:pPr>
        <w:tabs>
          <w:tab w:val="num" w:pos="770"/>
        </w:tabs>
        <w:ind w:left="770" w:hanging="360"/>
      </w:pPr>
      <w:rPr>
        <w:rFonts w:ascii="Symbol" w:hAnsi="Symbol" w:hint="default"/>
      </w:r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7">
    <w:nsid w:val="7A376120"/>
    <w:multiLevelType w:val="hybridMultilevel"/>
    <w:tmpl w:val="85DE05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7B73420D"/>
    <w:multiLevelType w:val="hybridMultilevel"/>
    <w:tmpl w:val="53AE996C"/>
    <w:lvl w:ilvl="0" w:tplc="B1F69C22">
      <w:start w:val="1"/>
      <w:numFmt w:val="bullet"/>
      <w:lvlText w:val=""/>
      <w:lvlJc w:val="left"/>
      <w:pPr>
        <w:tabs>
          <w:tab w:val="num" w:pos="947"/>
        </w:tabs>
        <w:ind w:left="947" w:hanging="360"/>
      </w:pPr>
      <w:rPr>
        <w:rFonts w:ascii="Symbol" w:hAnsi="Symbol" w:hint="default"/>
      </w:rPr>
    </w:lvl>
    <w:lvl w:ilvl="1" w:tplc="5434C1CC" w:tentative="1">
      <w:start w:val="1"/>
      <w:numFmt w:val="bullet"/>
      <w:lvlText w:val="o"/>
      <w:lvlJc w:val="left"/>
      <w:pPr>
        <w:tabs>
          <w:tab w:val="num" w:pos="1667"/>
        </w:tabs>
        <w:ind w:left="1667" w:hanging="360"/>
      </w:pPr>
      <w:rPr>
        <w:rFonts w:ascii="Courier New" w:hAnsi="Courier New" w:hint="default"/>
      </w:rPr>
    </w:lvl>
    <w:lvl w:ilvl="2" w:tplc="1F94BA4C" w:tentative="1">
      <w:start w:val="1"/>
      <w:numFmt w:val="bullet"/>
      <w:lvlText w:val=""/>
      <w:lvlJc w:val="left"/>
      <w:pPr>
        <w:tabs>
          <w:tab w:val="num" w:pos="2387"/>
        </w:tabs>
        <w:ind w:left="2387" w:hanging="360"/>
      </w:pPr>
      <w:rPr>
        <w:rFonts w:ascii="Wingdings" w:hAnsi="Wingdings" w:hint="default"/>
      </w:rPr>
    </w:lvl>
    <w:lvl w:ilvl="3" w:tplc="6660E98A" w:tentative="1">
      <w:start w:val="1"/>
      <w:numFmt w:val="bullet"/>
      <w:lvlText w:val=""/>
      <w:lvlJc w:val="left"/>
      <w:pPr>
        <w:tabs>
          <w:tab w:val="num" w:pos="3107"/>
        </w:tabs>
        <w:ind w:left="3107" w:hanging="360"/>
      </w:pPr>
      <w:rPr>
        <w:rFonts w:ascii="Symbol" w:hAnsi="Symbol" w:hint="default"/>
      </w:rPr>
    </w:lvl>
    <w:lvl w:ilvl="4" w:tplc="186EA664" w:tentative="1">
      <w:start w:val="1"/>
      <w:numFmt w:val="bullet"/>
      <w:lvlText w:val="o"/>
      <w:lvlJc w:val="left"/>
      <w:pPr>
        <w:tabs>
          <w:tab w:val="num" w:pos="3827"/>
        </w:tabs>
        <w:ind w:left="3827" w:hanging="360"/>
      </w:pPr>
      <w:rPr>
        <w:rFonts w:ascii="Courier New" w:hAnsi="Courier New" w:hint="default"/>
      </w:rPr>
    </w:lvl>
    <w:lvl w:ilvl="5" w:tplc="F290208C" w:tentative="1">
      <w:start w:val="1"/>
      <w:numFmt w:val="bullet"/>
      <w:lvlText w:val=""/>
      <w:lvlJc w:val="left"/>
      <w:pPr>
        <w:tabs>
          <w:tab w:val="num" w:pos="4547"/>
        </w:tabs>
        <w:ind w:left="4547" w:hanging="360"/>
      </w:pPr>
      <w:rPr>
        <w:rFonts w:ascii="Wingdings" w:hAnsi="Wingdings" w:hint="default"/>
      </w:rPr>
    </w:lvl>
    <w:lvl w:ilvl="6" w:tplc="E35A728A" w:tentative="1">
      <w:start w:val="1"/>
      <w:numFmt w:val="bullet"/>
      <w:lvlText w:val=""/>
      <w:lvlJc w:val="left"/>
      <w:pPr>
        <w:tabs>
          <w:tab w:val="num" w:pos="5267"/>
        </w:tabs>
        <w:ind w:left="5267" w:hanging="360"/>
      </w:pPr>
      <w:rPr>
        <w:rFonts w:ascii="Symbol" w:hAnsi="Symbol" w:hint="default"/>
      </w:rPr>
    </w:lvl>
    <w:lvl w:ilvl="7" w:tplc="86805DC2" w:tentative="1">
      <w:start w:val="1"/>
      <w:numFmt w:val="bullet"/>
      <w:lvlText w:val="o"/>
      <w:lvlJc w:val="left"/>
      <w:pPr>
        <w:tabs>
          <w:tab w:val="num" w:pos="5987"/>
        </w:tabs>
        <w:ind w:left="5987" w:hanging="360"/>
      </w:pPr>
      <w:rPr>
        <w:rFonts w:ascii="Courier New" w:hAnsi="Courier New" w:hint="default"/>
      </w:rPr>
    </w:lvl>
    <w:lvl w:ilvl="8" w:tplc="4F3E957C" w:tentative="1">
      <w:start w:val="1"/>
      <w:numFmt w:val="bullet"/>
      <w:lvlText w:val=""/>
      <w:lvlJc w:val="left"/>
      <w:pPr>
        <w:tabs>
          <w:tab w:val="num" w:pos="6707"/>
        </w:tabs>
        <w:ind w:left="6707" w:hanging="360"/>
      </w:pPr>
      <w:rPr>
        <w:rFonts w:ascii="Wingdings" w:hAnsi="Wingdings" w:hint="default"/>
      </w:rPr>
    </w:lvl>
  </w:abstractNum>
  <w:abstractNum w:abstractNumId="9">
    <w:nsid w:val="7E33495C"/>
    <w:multiLevelType w:val="hybridMultilevel"/>
    <w:tmpl w:val="1E4C8ED8"/>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0"/>
  </w:num>
  <w:num w:numId="2">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
    <w:lvlOverride w:ilvl="0">
      <w:lvl w:ilvl="0">
        <w:start w:val="1"/>
        <w:numFmt w:val="bullet"/>
        <w:lvlText w:val=""/>
        <w:legacy w:legacy="1" w:legacySpace="0" w:legacyIndent="230"/>
        <w:lvlJc w:val="left"/>
        <w:pPr>
          <w:ind w:left="230" w:hanging="230"/>
        </w:pPr>
        <w:rPr>
          <w:rFonts w:ascii="Symbol" w:hAnsi="Symbol" w:hint="default"/>
        </w:rPr>
      </w:lvl>
    </w:lvlOverride>
  </w:num>
  <w:num w:numId="4">
    <w:abstractNumId w:val="8"/>
  </w:num>
  <w:num w:numId="5">
    <w:abstractNumId w:val="1"/>
    <w:lvlOverride w:ilvl="0">
      <w:lvl w:ilvl="0">
        <w:start w:val="1"/>
        <w:numFmt w:val="bullet"/>
        <w:lvlText w:val=""/>
        <w:legacy w:legacy="1" w:legacySpace="0" w:legacyIndent="283"/>
        <w:lvlJc w:val="left"/>
        <w:pPr>
          <w:ind w:left="283" w:hanging="283"/>
        </w:pPr>
        <w:rPr>
          <w:rFonts w:ascii="Courier New" w:hAnsi="Courier New" w:hint="default"/>
        </w:rPr>
      </w:lvl>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4"/>
  </w:num>
  <w:num w:numId="9">
    <w:abstractNumId w:val="2"/>
  </w:num>
  <w:num w:numId="10">
    <w:abstractNumId w:val="3"/>
  </w:num>
  <w:num w:numId="11">
    <w:abstractNumId w:val="7"/>
  </w:num>
  <w:num w:numId="12">
    <w:abstractNumId w:val="5"/>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attachedTemplate r:id="rId1"/>
  <w:linkStyles/>
  <w:defaultTabStop w:val="227"/>
  <w:autoHyphenation/>
  <w:consecutiveHyphenLimit w:val="3"/>
  <w:hyphenationZone w:val="48"/>
  <w:drawingGridHorizontalSpacing w:val="120"/>
  <w:drawingGridVerticalSpacing w:val="120"/>
  <w:displayVerticalDrawingGridEvery w:val="0"/>
  <w:doNotUseMarginsForDrawingGridOrigin/>
  <w:noPunctuationKerning/>
  <w:characterSpacingControl w:val="doNotCompress"/>
  <w:hdrShapeDefaults>
    <o:shapedefaults v:ext="edit" spidmax="6146"/>
  </w:hdrShapeDefaults>
  <w:footnotePr>
    <w:footnote w:id="0"/>
    <w:footnote w:id="1"/>
  </w:footnotePr>
  <w:endnotePr>
    <w:endnote w:id="0"/>
    <w:endnote w:id="1"/>
  </w:endnotePr>
  <w:compat/>
  <w:rsids>
    <w:rsidRoot w:val="00DF4657"/>
    <w:rsid w:val="0002264F"/>
    <w:rsid w:val="000233E1"/>
    <w:rsid w:val="0003170A"/>
    <w:rsid w:val="00033A87"/>
    <w:rsid w:val="0004070B"/>
    <w:rsid w:val="00057808"/>
    <w:rsid w:val="000914AD"/>
    <w:rsid w:val="000A1E39"/>
    <w:rsid w:val="000A700A"/>
    <w:rsid w:val="000A79B5"/>
    <w:rsid w:val="000B61BA"/>
    <w:rsid w:val="000D6CE6"/>
    <w:rsid w:val="000E3D44"/>
    <w:rsid w:val="000F1588"/>
    <w:rsid w:val="000F7071"/>
    <w:rsid w:val="001167ED"/>
    <w:rsid w:val="001170D0"/>
    <w:rsid w:val="00131088"/>
    <w:rsid w:val="00132C21"/>
    <w:rsid w:val="00134D2E"/>
    <w:rsid w:val="001358DE"/>
    <w:rsid w:val="0014083A"/>
    <w:rsid w:val="001701A0"/>
    <w:rsid w:val="00197B3D"/>
    <w:rsid w:val="001B0DA3"/>
    <w:rsid w:val="001B319F"/>
    <w:rsid w:val="001D4830"/>
    <w:rsid w:val="001D7096"/>
    <w:rsid w:val="001D7EE0"/>
    <w:rsid w:val="001E3E2E"/>
    <w:rsid w:val="001E4C5C"/>
    <w:rsid w:val="001F0793"/>
    <w:rsid w:val="0020571B"/>
    <w:rsid w:val="00205D63"/>
    <w:rsid w:val="0021139E"/>
    <w:rsid w:val="00211586"/>
    <w:rsid w:val="00220F1E"/>
    <w:rsid w:val="00235E12"/>
    <w:rsid w:val="002361B9"/>
    <w:rsid w:val="00242D45"/>
    <w:rsid w:val="002461D0"/>
    <w:rsid w:val="00266B66"/>
    <w:rsid w:val="00271B33"/>
    <w:rsid w:val="0027351C"/>
    <w:rsid w:val="002770A3"/>
    <w:rsid w:val="00281EDB"/>
    <w:rsid w:val="00282237"/>
    <w:rsid w:val="00290525"/>
    <w:rsid w:val="002947D2"/>
    <w:rsid w:val="002A36A8"/>
    <w:rsid w:val="002A6302"/>
    <w:rsid w:val="002C0E9E"/>
    <w:rsid w:val="002E03A6"/>
    <w:rsid w:val="002E3BAA"/>
    <w:rsid w:val="002F53CF"/>
    <w:rsid w:val="00306FB6"/>
    <w:rsid w:val="00307278"/>
    <w:rsid w:val="00311879"/>
    <w:rsid w:val="00312813"/>
    <w:rsid w:val="00326EF4"/>
    <w:rsid w:val="00334FBA"/>
    <w:rsid w:val="00344F79"/>
    <w:rsid w:val="00365DE2"/>
    <w:rsid w:val="003865D2"/>
    <w:rsid w:val="0039249C"/>
    <w:rsid w:val="003A25BE"/>
    <w:rsid w:val="003A77B1"/>
    <w:rsid w:val="003C4245"/>
    <w:rsid w:val="003C78E4"/>
    <w:rsid w:val="003D0B2D"/>
    <w:rsid w:val="003D7C31"/>
    <w:rsid w:val="003D7F9B"/>
    <w:rsid w:val="003E3366"/>
    <w:rsid w:val="003E4538"/>
    <w:rsid w:val="003E5FDC"/>
    <w:rsid w:val="003E71C1"/>
    <w:rsid w:val="00420D84"/>
    <w:rsid w:val="004248BA"/>
    <w:rsid w:val="00425831"/>
    <w:rsid w:val="00432F27"/>
    <w:rsid w:val="004337B5"/>
    <w:rsid w:val="00446CBD"/>
    <w:rsid w:val="00497F07"/>
    <w:rsid w:val="004A01FC"/>
    <w:rsid w:val="004C17F6"/>
    <w:rsid w:val="004C1C82"/>
    <w:rsid w:val="004C2EE2"/>
    <w:rsid w:val="004D0B8E"/>
    <w:rsid w:val="004D7A86"/>
    <w:rsid w:val="004F10E6"/>
    <w:rsid w:val="005013ED"/>
    <w:rsid w:val="0050396F"/>
    <w:rsid w:val="00505268"/>
    <w:rsid w:val="0051046B"/>
    <w:rsid w:val="00545721"/>
    <w:rsid w:val="00550A5E"/>
    <w:rsid w:val="005611FA"/>
    <w:rsid w:val="00572876"/>
    <w:rsid w:val="0059016A"/>
    <w:rsid w:val="005A536A"/>
    <w:rsid w:val="005A7DF8"/>
    <w:rsid w:val="005B246F"/>
    <w:rsid w:val="005C0A8D"/>
    <w:rsid w:val="005E623D"/>
    <w:rsid w:val="00604792"/>
    <w:rsid w:val="00617572"/>
    <w:rsid w:val="0063577D"/>
    <w:rsid w:val="006A6BD2"/>
    <w:rsid w:val="006B04AA"/>
    <w:rsid w:val="006B6040"/>
    <w:rsid w:val="006C1C6A"/>
    <w:rsid w:val="006D05D8"/>
    <w:rsid w:val="006E5ED4"/>
    <w:rsid w:val="006F03DE"/>
    <w:rsid w:val="006F09A4"/>
    <w:rsid w:val="006F3978"/>
    <w:rsid w:val="00707C69"/>
    <w:rsid w:val="0072477F"/>
    <w:rsid w:val="00751301"/>
    <w:rsid w:val="007625A4"/>
    <w:rsid w:val="00762A26"/>
    <w:rsid w:val="0077448E"/>
    <w:rsid w:val="00781A4A"/>
    <w:rsid w:val="007834C9"/>
    <w:rsid w:val="00787299"/>
    <w:rsid w:val="007936C3"/>
    <w:rsid w:val="007950CD"/>
    <w:rsid w:val="00795D9D"/>
    <w:rsid w:val="007A4C0F"/>
    <w:rsid w:val="007B25D4"/>
    <w:rsid w:val="007B4010"/>
    <w:rsid w:val="007B4B28"/>
    <w:rsid w:val="007C0A24"/>
    <w:rsid w:val="007D62B1"/>
    <w:rsid w:val="007F0487"/>
    <w:rsid w:val="007F0492"/>
    <w:rsid w:val="007F4E0C"/>
    <w:rsid w:val="0080597C"/>
    <w:rsid w:val="00817110"/>
    <w:rsid w:val="008200E4"/>
    <w:rsid w:val="00826548"/>
    <w:rsid w:val="00841E5E"/>
    <w:rsid w:val="00852243"/>
    <w:rsid w:val="00872EFE"/>
    <w:rsid w:val="008742E7"/>
    <w:rsid w:val="00877630"/>
    <w:rsid w:val="00887228"/>
    <w:rsid w:val="00894179"/>
    <w:rsid w:val="00897893"/>
    <w:rsid w:val="008A2C0A"/>
    <w:rsid w:val="008B2A6A"/>
    <w:rsid w:val="008C0883"/>
    <w:rsid w:val="008C44A6"/>
    <w:rsid w:val="008D379D"/>
    <w:rsid w:val="008D4165"/>
    <w:rsid w:val="008D6E10"/>
    <w:rsid w:val="008E1157"/>
    <w:rsid w:val="008E75B0"/>
    <w:rsid w:val="008F40A0"/>
    <w:rsid w:val="008F748A"/>
    <w:rsid w:val="008F75BD"/>
    <w:rsid w:val="00901F92"/>
    <w:rsid w:val="00903DA6"/>
    <w:rsid w:val="00905AA7"/>
    <w:rsid w:val="00926E43"/>
    <w:rsid w:val="0094348E"/>
    <w:rsid w:val="0094740C"/>
    <w:rsid w:val="00950546"/>
    <w:rsid w:val="00953E4B"/>
    <w:rsid w:val="0098137D"/>
    <w:rsid w:val="00985D70"/>
    <w:rsid w:val="00986005"/>
    <w:rsid w:val="00990800"/>
    <w:rsid w:val="0099476B"/>
    <w:rsid w:val="00994D2B"/>
    <w:rsid w:val="009C224B"/>
    <w:rsid w:val="009C6F51"/>
    <w:rsid w:val="00A16B54"/>
    <w:rsid w:val="00A401EA"/>
    <w:rsid w:val="00A62EDF"/>
    <w:rsid w:val="00A77E9E"/>
    <w:rsid w:val="00A87455"/>
    <w:rsid w:val="00A90B01"/>
    <w:rsid w:val="00A91F52"/>
    <w:rsid w:val="00AA201B"/>
    <w:rsid w:val="00AD4314"/>
    <w:rsid w:val="00AD66C5"/>
    <w:rsid w:val="00AF2BE7"/>
    <w:rsid w:val="00AF492E"/>
    <w:rsid w:val="00B0107C"/>
    <w:rsid w:val="00B33B07"/>
    <w:rsid w:val="00B53ABC"/>
    <w:rsid w:val="00B65849"/>
    <w:rsid w:val="00B74D50"/>
    <w:rsid w:val="00B93205"/>
    <w:rsid w:val="00BC0A5E"/>
    <w:rsid w:val="00BC0AC3"/>
    <w:rsid w:val="00BD15ED"/>
    <w:rsid w:val="00BE4737"/>
    <w:rsid w:val="00BE55D4"/>
    <w:rsid w:val="00BF56F7"/>
    <w:rsid w:val="00C04CB6"/>
    <w:rsid w:val="00C410B3"/>
    <w:rsid w:val="00C41C12"/>
    <w:rsid w:val="00C42A6A"/>
    <w:rsid w:val="00C65572"/>
    <w:rsid w:val="00C6614A"/>
    <w:rsid w:val="00C71230"/>
    <w:rsid w:val="00CB2794"/>
    <w:rsid w:val="00CB53A1"/>
    <w:rsid w:val="00CB7B84"/>
    <w:rsid w:val="00CC041C"/>
    <w:rsid w:val="00CD2617"/>
    <w:rsid w:val="00CD2C5C"/>
    <w:rsid w:val="00CD3299"/>
    <w:rsid w:val="00CE156A"/>
    <w:rsid w:val="00CE48EB"/>
    <w:rsid w:val="00CF3861"/>
    <w:rsid w:val="00CF4F76"/>
    <w:rsid w:val="00D26BB1"/>
    <w:rsid w:val="00D40D4C"/>
    <w:rsid w:val="00D5122E"/>
    <w:rsid w:val="00D51483"/>
    <w:rsid w:val="00D52213"/>
    <w:rsid w:val="00D57CA5"/>
    <w:rsid w:val="00D70E18"/>
    <w:rsid w:val="00D75AAE"/>
    <w:rsid w:val="00D75B95"/>
    <w:rsid w:val="00D80C63"/>
    <w:rsid w:val="00D83A38"/>
    <w:rsid w:val="00D9608F"/>
    <w:rsid w:val="00DA2481"/>
    <w:rsid w:val="00DC382C"/>
    <w:rsid w:val="00DD5BB8"/>
    <w:rsid w:val="00DE25A6"/>
    <w:rsid w:val="00DF2C0D"/>
    <w:rsid w:val="00DF4657"/>
    <w:rsid w:val="00DF5B28"/>
    <w:rsid w:val="00E023E4"/>
    <w:rsid w:val="00E145D6"/>
    <w:rsid w:val="00E2519E"/>
    <w:rsid w:val="00E56E19"/>
    <w:rsid w:val="00E711B3"/>
    <w:rsid w:val="00E718ED"/>
    <w:rsid w:val="00E85CF5"/>
    <w:rsid w:val="00EA0E6A"/>
    <w:rsid w:val="00EA1AD6"/>
    <w:rsid w:val="00EA2708"/>
    <w:rsid w:val="00EC7882"/>
    <w:rsid w:val="00ED0C79"/>
    <w:rsid w:val="00ED5BBC"/>
    <w:rsid w:val="00EF11F1"/>
    <w:rsid w:val="00F16094"/>
    <w:rsid w:val="00F616F9"/>
    <w:rsid w:val="00F6360B"/>
    <w:rsid w:val="00F80163"/>
    <w:rsid w:val="00F8048A"/>
    <w:rsid w:val="00F8272F"/>
    <w:rsid w:val="00F8400E"/>
    <w:rsid w:val="00F85D75"/>
    <w:rsid w:val="00FB6CC9"/>
    <w:rsid w:val="00FB6FF1"/>
    <w:rsid w:val="00FD40E9"/>
    <w:rsid w:val="00FD57BD"/>
  </w:rsids>
  <m:mathPr>
    <m:mathFont m:val="Cambria Math"/>
    <m:brkBin m:val="before"/>
    <m:brkBinSub m:val="--"/>
    <m:smallFrac m:val="off"/>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NZ" w:eastAsia="en-N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8ED"/>
    <w:pPr>
      <w:widowControl w:val="0"/>
      <w:suppressAutoHyphens/>
      <w:overflowPunct w:val="0"/>
      <w:autoSpaceDE w:val="0"/>
      <w:autoSpaceDN w:val="0"/>
      <w:adjustRightInd w:val="0"/>
      <w:spacing w:before="120" w:line="240" w:lineRule="atLeast"/>
      <w:jc w:val="both"/>
      <w:textAlignment w:val="baseline"/>
    </w:pPr>
    <w:rPr>
      <w:sz w:val="22"/>
      <w:lang w:eastAsia="en-US"/>
    </w:rPr>
  </w:style>
  <w:style w:type="paragraph" w:styleId="Heading1">
    <w:name w:val="heading 1"/>
    <w:basedOn w:val="Normal"/>
    <w:next w:val="Normal"/>
    <w:link w:val="Heading1Char"/>
    <w:qFormat/>
    <w:rsid w:val="001D7096"/>
    <w:pPr>
      <w:keepNext/>
      <w:keepLines/>
      <w:numPr>
        <w:numId w:val="1"/>
      </w:numPr>
      <w:spacing w:before="360" w:after="120"/>
      <w:jc w:val="left"/>
      <w:outlineLvl w:val="0"/>
    </w:pPr>
    <w:rPr>
      <w:b/>
      <w:caps/>
    </w:rPr>
  </w:style>
  <w:style w:type="paragraph" w:styleId="Heading2">
    <w:name w:val="heading 2"/>
    <w:basedOn w:val="Normal"/>
    <w:next w:val="Normal"/>
    <w:qFormat/>
    <w:rsid w:val="001D7096"/>
    <w:pPr>
      <w:keepNext/>
      <w:keepLines/>
      <w:numPr>
        <w:ilvl w:val="1"/>
        <w:numId w:val="1"/>
      </w:numPr>
      <w:spacing w:before="240" w:after="120"/>
      <w:jc w:val="left"/>
      <w:outlineLvl w:val="1"/>
    </w:pPr>
    <w:rPr>
      <w:i/>
    </w:rPr>
  </w:style>
  <w:style w:type="paragraph" w:styleId="Heading3">
    <w:name w:val="heading 3"/>
    <w:basedOn w:val="Normal"/>
    <w:next w:val="Normal"/>
    <w:qFormat/>
    <w:rsid w:val="001D7096"/>
    <w:pPr>
      <w:keepNext/>
      <w:keepLines/>
      <w:numPr>
        <w:ilvl w:val="2"/>
        <w:numId w:val="1"/>
      </w:numPr>
      <w:spacing w:before="240"/>
      <w:jc w:val="left"/>
      <w:outlineLvl w:val="2"/>
    </w:pPr>
    <w:rPr>
      <w:i/>
    </w:rPr>
  </w:style>
  <w:style w:type="paragraph" w:styleId="Heading4">
    <w:name w:val="heading 4"/>
    <w:basedOn w:val="Normal"/>
    <w:next w:val="Normal"/>
    <w:qFormat/>
    <w:rsid w:val="001D7096"/>
    <w:pPr>
      <w:keepNext/>
      <w:numPr>
        <w:ilvl w:val="3"/>
        <w:numId w:val="1"/>
      </w:numPr>
      <w:spacing w:before="240"/>
      <w:outlineLvl w:val="3"/>
    </w:pPr>
  </w:style>
  <w:style w:type="paragraph" w:styleId="Heading5">
    <w:name w:val="heading 5"/>
    <w:basedOn w:val="Normal"/>
    <w:next w:val="Normal"/>
    <w:link w:val="Heading5Char"/>
    <w:qFormat/>
    <w:rsid w:val="001D7096"/>
    <w:pPr>
      <w:numPr>
        <w:ilvl w:val="4"/>
        <w:numId w:val="1"/>
      </w:numPr>
      <w:spacing w:before="240" w:after="60"/>
      <w:outlineLvl w:val="4"/>
    </w:pPr>
    <w:rPr>
      <w:rFonts w:ascii="Arial" w:hAnsi="Arial"/>
    </w:rPr>
  </w:style>
  <w:style w:type="paragraph" w:styleId="Heading6">
    <w:name w:val="heading 6"/>
    <w:basedOn w:val="Normal"/>
    <w:next w:val="Normal"/>
    <w:qFormat/>
    <w:rsid w:val="001D7096"/>
    <w:pPr>
      <w:numPr>
        <w:ilvl w:val="5"/>
        <w:numId w:val="1"/>
      </w:numPr>
      <w:spacing w:before="240" w:after="60"/>
      <w:outlineLvl w:val="5"/>
    </w:pPr>
    <w:rPr>
      <w:rFonts w:ascii="Arial" w:hAnsi="Arial"/>
      <w:i/>
    </w:rPr>
  </w:style>
  <w:style w:type="paragraph" w:styleId="Heading7">
    <w:name w:val="heading 7"/>
    <w:basedOn w:val="Normal"/>
    <w:next w:val="Normal"/>
    <w:qFormat/>
    <w:rsid w:val="001D7096"/>
    <w:pPr>
      <w:numPr>
        <w:ilvl w:val="6"/>
        <w:numId w:val="1"/>
      </w:numPr>
      <w:spacing w:before="240" w:after="60"/>
      <w:outlineLvl w:val="6"/>
    </w:pPr>
    <w:rPr>
      <w:rFonts w:ascii="Arial" w:hAnsi="Arial"/>
      <w:sz w:val="20"/>
    </w:rPr>
  </w:style>
  <w:style w:type="paragraph" w:styleId="Heading8">
    <w:name w:val="heading 8"/>
    <w:basedOn w:val="Normal"/>
    <w:next w:val="Normal"/>
    <w:qFormat/>
    <w:rsid w:val="001D7096"/>
    <w:pPr>
      <w:numPr>
        <w:ilvl w:val="7"/>
        <w:numId w:val="1"/>
      </w:numPr>
      <w:spacing w:before="240" w:after="60"/>
      <w:outlineLvl w:val="7"/>
    </w:pPr>
    <w:rPr>
      <w:rFonts w:ascii="Arial" w:hAnsi="Arial"/>
      <w:i/>
      <w:sz w:val="20"/>
    </w:rPr>
  </w:style>
  <w:style w:type="paragraph" w:styleId="Heading9">
    <w:name w:val="heading 9"/>
    <w:basedOn w:val="Normal"/>
    <w:next w:val="Normal"/>
    <w:qFormat/>
    <w:rsid w:val="001D7096"/>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basedOn w:val="Normal"/>
    <w:next w:val="Normal"/>
    <w:rsid w:val="001D7096"/>
    <w:pPr>
      <w:spacing w:after="360" w:line="360" w:lineRule="exact"/>
      <w:jc w:val="center"/>
    </w:pPr>
    <w:rPr>
      <w:sz w:val="32"/>
    </w:rPr>
  </w:style>
  <w:style w:type="paragraph" w:customStyle="1" w:styleId="Tableheading">
    <w:name w:val="Table heading"/>
    <w:basedOn w:val="Tabletext"/>
    <w:rsid w:val="001D7096"/>
    <w:pPr>
      <w:spacing w:before="40" w:after="40"/>
      <w:jc w:val="center"/>
    </w:pPr>
    <w:rPr>
      <w:b/>
      <w:bCs/>
    </w:rPr>
  </w:style>
  <w:style w:type="paragraph" w:customStyle="1" w:styleId="Tabletext">
    <w:name w:val="Table text"/>
    <w:basedOn w:val="Normal"/>
    <w:rsid w:val="001D7096"/>
    <w:pPr>
      <w:jc w:val="left"/>
    </w:pPr>
  </w:style>
  <w:style w:type="paragraph" w:customStyle="1" w:styleId="Headingwithoutnumber">
    <w:name w:val="Heading without number"/>
    <w:basedOn w:val="Normal"/>
    <w:next w:val="Referencetext"/>
    <w:rsid w:val="001D7096"/>
    <w:pPr>
      <w:keepNext/>
      <w:spacing w:before="360" w:after="120"/>
      <w:jc w:val="left"/>
    </w:pPr>
    <w:rPr>
      <w:caps/>
    </w:rPr>
  </w:style>
  <w:style w:type="paragraph" w:customStyle="1" w:styleId="Referencetext">
    <w:name w:val="Reference text"/>
    <w:basedOn w:val="Normal"/>
    <w:rsid w:val="001D7096"/>
    <w:pPr>
      <w:spacing w:line="220" w:lineRule="exact"/>
      <w:ind w:left="230" w:hanging="230"/>
    </w:pPr>
    <w:rPr>
      <w:sz w:val="20"/>
    </w:rPr>
  </w:style>
  <w:style w:type="paragraph" w:customStyle="1" w:styleId="Author">
    <w:name w:val="Author"/>
    <w:basedOn w:val="Normal"/>
    <w:next w:val="Affiliation"/>
    <w:rsid w:val="001D7096"/>
    <w:pPr>
      <w:tabs>
        <w:tab w:val="left" w:pos="4706"/>
      </w:tabs>
      <w:spacing w:line="280" w:lineRule="exact"/>
      <w:ind w:left="567" w:right="567"/>
    </w:pPr>
    <w:rPr>
      <w:sz w:val="24"/>
    </w:rPr>
  </w:style>
  <w:style w:type="paragraph" w:customStyle="1" w:styleId="Affiliation">
    <w:name w:val="Affiliation"/>
    <w:basedOn w:val="Author"/>
    <w:next w:val="Author"/>
    <w:rsid w:val="001D7096"/>
    <w:pPr>
      <w:spacing w:after="120" w:line="220" w:lineRule="exact"/>
    </w:pPr>
    <w:rPr>
      <w:i/>
      <w:sz w:val="20"/>
    </w:rPr>
  </w:style>
  <w:style w:type="paragraph" w:customStyle="1" w:styleId="Figurecaption">
    <w:name w:val="Figure caption"/>
    <w:basedOn w:val="Normal"/>
    <w:next w:val="Normal"/>
    <w:rsid w:val="001D7096"/>
    <w:pPr>
      <w:spacing w:after="120" w:line="220" w:lineRule="exact"/>
      <w:jc w:val="left"/>
    </w:pPr>
    <w:rPr>
      <w:sz w:val="20"/>
    </w:rPr>
  </w:style>
  <w:style w:type="paragraph" w:customStyle="1" w:styleId="Equation">
    <w:name w:val="Equation"/>
    <w:basedOn w:val="Normal"/>
    <w:next w:val="Normal"/>
    <w:rsid w:val="001D7096"/>
    <w:pPr>
      <w:tabs>
        <w:tab w:val="right" w:pos="8505"/>
      </w:tabs>
      <w:spacing w:before="100" w:after="100" w:line="240" w:lineRule="auto"/>
      <w:ind w:left="680"/>
      <w:jc w:val="left"/>
    </w:pPr>
  </w:style>
  <w:style w:type="paragraph" w:customStyle="1" w:styleId="Tablecaption">
    <w:name w:val="Table caption"/>
    <w:basedOn w:val="Normal"/>
    <w:next w:val="Normal"/>
    <w:rsid w:val="001D7096"/>
    <w:pPr>
      <w:keepNext/>
      <w:spacing w:before="240" w:after="120" w:line="220" w:lineRule="exact"/>
      <w:jc w:val="center"/>
    </w:pPr>
    <w:rPr>
      <w:b/>
      <w:bCs/>
      <w:sz w:val="20"/>
    </w:rPr>
  </w:style>
  <w:style w:type="paragraph" w:customStyle="1" w:styleId="Figurephoto">
    <w:name w:val="Figure/photo"/>
    <w:basedOn w:val="Normal"/>
    <w:next w:val="Figurecaption"/>
    <w:rsid w:val="001D7096"/>
    <w:pPr>
      <w:widowControl/>
      <w:spacing w:before="0" w:line="240" w:lineRule="auto"/>
      <w:jc w:val="center"/>
    </w:pPr>
  </w:style>
  <w:style w:type="paragraph" w:styleId="Footer">
    <w:name w:val="footer"/>
    <w:basedOn w:val="Normal"/>
    <w:semiHidden/>
    <w:rsid w:val="001D7096"/>
    <w:pPr>
      <w:tabs>
        <w:tab w:val="center" w:pos="4153"/>
        <w:tab w:val="right" w:pos="8306"/>
      </w:tabs>
    </w:pPr>
  </w:style>
  <w:style w:type="paragraph" w:styleId="Header">
    <w:name w:val="header"/>
    <w:basedOn w:val="Normal"/>
    <w:semiHidden/>
    <w:rsid w:val="001D7096"/>
    <w:pPr>
      <w:tabs>
        <w:tab w:val="center" w:pos="4320"/>
        <w:tab w:val="right" w:pos="8640"/>
      </w:tabs>
    </w:pPr>
  </w:style>
  <w:style w:type="paragraph" w:styleId="BalloonText">
    <w:name w:val="Balloon Text"/>
    <w:basedOn w:val="Normal"/>
    <w:link w:val="BalloonTextChar"/>
    <w:uiPriority w:val="99"/>
    <w:semiHidden/>
    <w:unhideWhenUsed/>
    <w:rsid w:val="00290525"/>
    <w:pPr>
      <w:spacing w:before="0" w:line="240" w:lineRule="auto"/>
    </w:pPr>
    <w:rPr>
      <w:rFonts w:ascii="Tahoma" w:hAnsi="Tahoma" w:cs="Tahoma"/>
      <w:sz w:val="16"/>
      <w:szCs w:val="16"/>
    </w:rPr>
  </w:style>
  <w:style w:type="paragraph" w:customStyle="1" w:styleId="Abstract">
    <w:name w:val="Abstract"/>
    <w:basedOn w:val="Normal"/>
    <w:rsid w:val="001D7096"/>
    <w:pPr>
      <w:spacing w:before="240"/>
      <w:ind w:left="567" w:right="566"/>
    </w:pPr>
  </w:style>
  <w:style w:type="character" w:customStyle="1" w:styleId="BalloonTextChar">
    <w:name w:val="Balloon Text Char"/>
    <w:basedOn w:val="DefaultParagraphFont"/>
    <w:link w:val="BalloonText"/>
    <w:uiPriority w:val="99"/>
    <w:semiHidden/>
    <w:rsid w:val="00290525"/>
    <w:rPr>
      <w:rFonts w:ascii="Tahoma" w:hAnsi="Tahoma" w:cs="Tahoma"/>
      <w:sz w:val="16"/>
      <w:szCs w:val="16"/>
      <w:lang w:eastAsia="en-US"/>
    </w:rPr>
  </w:style>
  <w:style w:type="character" w:styleId="PlaceholderText">
    <w:name w:val="Placeholder Text"/>
    <w:basedOn w:val="DefaultParagraphFont"/>
    <w:uiPriority w:val="99"/>
    <w:semiHidden/>
    <w:rsid w:val="00290525"/>
    <w:rPr>
      <w:color w:val="808080"/>
    </w:rPr>
  </w:style>
  <w:style w:type="character" w:styleId="Hyperlink">
    <w:name w:val="Hyperlink"/>
    <w:basedOn w:val="DefaultParagraphFont"/>
    <w:uiPriority w:val="99"/>
    <w:unhideWhenUsed/>
    <w:rsid w:val="00897893"/>
    <w:rPr>
      <w:rFonts w:cs="Times New Roman"/>
      <w:color w:val="0000FF"/>
      <w:u w:val="single"/>
    </w:rPr>
  </w:style>
  <w:style w:type="character" w:customStyle="1" w:styleId="Heading1Char">
    <w:name w:val="Heading 1 Char"/>
    <w:basedOn w:val="DefaultParagraphFont"/>
    <w:link w:val="Heading1"/>
    <w:rsid w:val="00132C21"/>
    <w:rPr>
      <w:b/>
      <w:caps/>
      <w:sz w:val="22"/>
      <w:lang w:eastAsia="en-US"/>
    </w:rPr>
  </w:style>
  <w:style w:type="table" w:styleId="TableGrid">
    <w:name w:val="Table Grid"/>
    <w:basedOn w:val="TableNormal"/>
    <w:uiPriority w:val="59"/>
    <w:rsid w:val="00D83A3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istnumbers">
    <w:name w:val="List numbers"/>
    <w:basedOn w:val="Normal"/>
    <w:rsid w:val="003A77B1"/>
    <w:pPr>
      <w:widowControl/>
      <w:suppressAutoHyphens w:val="0"/>
      <w:spacing w:before="0" w:line="260" w:lineRule="exact"/>
      <w:ind w:left="283" w:hanging="283"/>
    </w:pPr>
    <w:rPr>
      <w:sz w:val="24"/>
      <w:lang w:val="en-US"/>
    </w:rPr>
  </w:style>
  <w:style w:type="paragraph" w:styleId="ListParagraph">
    <w:name w:val="List Paragraph"/>
    <w:basedOn w:val="Normal"/>
    <w:uiPriority w:val="34"/>
    <w:qFormat/>
    <w:rsid w:val="003A77B1"/>
    <w:pPr>
      <w:ind w:left="720"/>
      <w:contextualSpacing/>
    </w:pPr>
  </w:style>
  <w:style w:type="character" w:customStyle="1" w:styleId="Heading5Char">
    <w:name w:val="Heading 5 Char"/>
    <w:basedOn w:val="DefaultParagraphFont"/>
    <w:link w:val="Heading5"/>
    <w:rsid w:val="003A77B1"/>
    <w:rPr>
      <w:rFonts w:ascii="Arial" w:hAnsi="Arial"/>
      <w:sz w:val="22"/>
      <w:lang w:eastAsia="en-US"/>
    </w:rPr>
  </w:style>
  <w:style w:type="character" w:styleId="CommentReference">
    <w:name w:val="annotation reference"/>
    <w:basedOn w:val="DefaultParagraphFont"/>
    <w:uiPriority w:val="99"/>
    <w:semiHidden/>
    <w:unhideWhenUsed/>
    <w:rsid w:val="00311879"/>
    <w:rPr>
      <w:sz w:val="16"/>
      <w:szCs w:val="16"/>
    </w:rPr>
  </w:style>
  <w:style w:type="paragraph" w:styleId="CommentText">
    <w:name w:val="annotation text"/>
    <w:basedOn w:val="Normal"/>
    <w:link w:val="CommentTextChar"/>
    <w:uiPriority w:val="99"/>
    <w:semiHidden/>
    <w:unhideWhenUsed/>
    <w:rsid w:val="00311879"/>
    <w:rPr>
      <w:sz w:val="20"/>
    </w:rPr>
  </w:style>
  <w:style w:type="character" w:customStyle="1" w:styleId="CommentTextChar">
    <w:name w:val="Comment Text Char"/>
    <w:basedOn w:val="DefaultParagraphFont"/>
    <w:link w:val="CommentText"/>
    <w:uiPriority w:val="99"/>
    <w:semiHidden/>
    <w:rsid w:val="00311879"/>
    <w:rPr>
      <w:lang w:eastAsia="en-US"/>
    </w:rPr>
  </w:style>
  <w:style w:type="paragraph" w:styleId="CommentSubject">
    <w:name w:val="annotation subject"/>
    <w:basedOn w:val="CommentText"/>
    <w:next w:val="CommentText"/>
    <w:link w:val="CommentSubjectChar"/>
    <w:uiPriority w:val="99"/>
    <w:semiHidden/>
    <w:unhideWhenUsed/>
    <w:rsid w:val="00311879"/>
    <w:rPr>
      <w:b/>
      <w:bCs/>
    </w:rPr>
  </w:style>
  <w:style w:type="character" w:customStyle="1" w:styleId="CommentSubjectChar">
    <w:name w:val="Comment Subject Char"/>
    <w:basedOn w:val="CommentTextChar"/>
    <w:link w:val="CommentSubject"/>
    <w:uiPriority w:val="99"/>
    <w:semiHidden/>
    <w:rsid w:val="00311879"/>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eonet.org.nz" TargetMode="External"/><Relationship Id="rId13" Type="http://schemas.openxmlformats.org/officeDocument/2006/relationships/image" Target="media/image5.png"/><Relationship Id="rId18" Type="http://schemas.openxmlformats.org/officeDocument/2006/relationships/image" Target="media/image10.tiff"/><Relationship Id="rId26" Type="http://schemas.openxmlformats.org/officeDocument/2006/relationships/image" Target="media/image18.tiff"/><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tiff"/><Relationship Id="rId34" Type="http://schemas.openxmlformats.org/officeDocument/2006/relationships/image" Target="media/image26.tiff"/><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tiff"/><Relationship Id="rId25" Type="http://schemas.openxmlformats.org/officeDocument/2006/relationships/image" Target="media/image17.tiff"/><Relationship Id="rId33" Type="http://schemas.openxmlformats.org/officeDocument/2006/relationships/image" Target="media/image25.tiff"/><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2.tiff"/><Relationship Id="rId29" Type="http://schemas.openxmlformats.org/officeDocument/2006/relationships/image" Target="media/image21.tiff"/><Relationship Id="rId41"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tiff"/><Relationship Id="rId32" Type="http://schemas.openxmlformats.org/officeDocument/2006/relationships/image" Target="media/image24.tiff"/><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tiff"/><Relationship Id="rId28" Type="http://schemas.openxmlformats.org/officeDocument/2006/relationships/image" Target="media/image20.tiff"/><Relationship Id="rId36" Type="http://schemas.openxmlformats.org/officeDocument/2006/relationships/hyperlink" Target="http://www.eeri.org/site/images/eeri_newsletter/2010_pdf/EERI_NewZealand_EQRpt-web.pdf" TargetMode="External"/><Relationship Id="rId10" Type="http://schemas.openxmlformats.org/officeDocument/2006/relationships/image" Target="media/image2.png"/><Relationship Id="rId19" Type="http://schemas.openxmlformats.org/officeDocument/2006/relationships/image" Target="media/image11.tiff"/><Relationship Id="rId31" Type="http://schemas.openxmlformats.org/officeDocument/2006/relationships/image" Target="media/image23.tif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tiff"/><Relationship Id="rId27" Type="http://schemas.openxmlformats.org/officeDocument/2006/relationships/image" Target="media/image19.tiff"/><Relationship Id="rId30" Type="http://schemas.openxmlformats.org/officeDocument/2006/relationships/image" Target="media/image22.tiff"/><Relationship Id="rId35" Type="http://schemas.openxmlformats.org/officeDocument/2006/relationships/image" Target="media/image27.tiff"/></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_rels/settings.xml.rels><?xml version="1.0" encoding="UTF-8" standalone="yes"?>
<Relationships xmlns="http://schemas.openxmlformats.org/package/2006/relationships"><Relationship Id="rId1" Type="http://schemas.openxmlformats.org/officeDocument/2006/relationships/attachedTemplate" Target="file:///C:\ABK\NZNSEE\Pubs\NZSEE_Conf00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NZSEE_Conf00_Template</Template>
  <TotalTime>120</TotalTime>
  <Pages>8</Pages>
  <Words>3905</Words>
  <Characters>22259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2011 PCEE Paper Template</vt:lpstr>
    </vt:vector>
  </TitlesOfParts>
  <Company>Faculty of Engineering, The University of Auckland</Company>
  <LinksUpToDate>false</LinksUpToDate>
  <CharactersWithSpaces>26112</CharactersWithSpaces>
  <SharedDoc>false</SharedDoc>
  <HLinks>
    <vt:vector size="12" baseType="variant">
      <vt:variant>
        <vt:i4>196609</vt:i4>
      </vt:variant>
      <vt:variant>
        <vt:i4>20</vt:i4>
      </vt:variant>
      <vt:variant>
        <vt:i4>0</vt:i4>
      </vt:variant>
      <vt:variant>
        <vt:i4>5</vt:i4>
      </vt:variant>
      <vt:variant>
        <vt:lpwstr>http://www.eeri.org/site/images/eeri_newsletter/2010_pdf/EERI_NewZealand_EQRpt-web.pdf</vt:lpwstr>
      </vt:variant>
      <vt:variant>
        <vt:lpwstr/>
      </vt:variant>
      <vt:variant>
        <vt:i4>5111881</vt:i4>
      </vt:variant>
      <vt:variant>
        <vt:i4>3</vt:i4>
      </vt:variant>
      <vt:variant>
        <vt:i4>0</vt:i4>
      </vt:variant>
      <vt:variant>
        <vt:i4>5</vt:i4>
      </vt:variant>
      <vt:variant>
        <vt:lpwstr>http://www.geonet.org.nz/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 PCEE Paper Template</dc:title>
  <dc:creator>Quincy Ma</dc:creator>
  <cp:lastModifiedBy>faheem</cp:lastModifiedBy>
  <cp:revision>20</cp:revision>
  <cp:lastPrinted>2011-03-12T20:21:00Z</cp:lastPrinted>
  <dcterms:created xsi:type="dcterms:W3CDTF">2011-03-12T19:17:00Z</dcterms:created>
  <dcterms:modified xsi:type="dcterms:W3CDTF">2011-03-12T21:18:00Z</dcterms:modified>
</cp:coreProperties>
</file>