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2C4A" w:rsidRDefault="00A23445" w:rsidP="00EA2C4A">
      <w:pPr>
        <w:jc w:val="center"/>
        <w:rPr>
          <w:b/>
        </w:rPr>
      </w:pPr>
      <w:r>
        <w:rPr>
          <w:b/>
        </w:rPr>
        <w:t xml:space="preserve">INTERPRETING SECTION </w:t>
      </w:r>
      <w:r w:rsidR="00EA2C4A">
        <w:rPr>
          <w:b/>
        </w:rPr>
        <w:t xml:space="preserve">36 </w:t>
      </w:r>
      <w:r w:rsidR="00642FFE">
        <w:rPr>
          <w:b/>
        </w:rPr>
        <w:t xml:space="preserve">OF THE </w:t>
      </w:r>
      <w:r w:rsidR="00EA2C4A">
        <w:rPr>
          <w:b/>
        </w:rPr>
        <w:t>ELECTRICITY ACT 1989: HAS CLARITY BEEN RESTORED?</w:t>
      </w:r>
    </w:p>
    <w:p w:rsidR="00EA2C4A" w:rsidRPr="00EA2C4A" w:rsidRDefault="00EA2C4A" w:rsidP="00EA2C4A">
      <w:pPr>
        <w:jc w:val="center"/>
        <w:rPr>
          <w:b/>
          <w:i/>
        </w:rPr>
      </w:pPr>
      <w:r>
        <w:rPr>
          <w:b/>
          <w:i/>
        </w:rPr>
        <w:t>Olivia Woolley*</w:t>
      </w:r>
    </w:p>
    <w:p w:rsidR="00126A09" w:rsidRDefault="00126A09" w:rsidP="00E81AFF">
      <w:pPr>
        <w:jc w:val="both"/>
      </w:pPr>
      <w:r>
        <w:t xml:space="preserve">This </w:t>
      </w:r>
      <w:r w:rsidR="000C165C">
        <w:t>article</w:t>
      </w:r>
      <w:r>
        <w:t xml:space="preserve"> considers three re</w:t>
      </w:r>
      <w:r w:rsidR="008B572A">
        <w:t>cent decisions by the Court of S</w:t>
      </w:r>
      <w:r>
        <w:t>ession on applications for judicial review</w:t>
      </w:r>
      <w:r w:rsidR="008B572A">
        <w:t xml:space="preserve"> concern</w:t>
      </w:r>
      <w:r w:rsidR="00E375DD">
        <w:t>ing</w:t>
      </w:r>
      <w:r w:rsidR="008B572A">
        <w:t xml:space="preserve"> </w:t>
      </w:r>
      <w:r>
        <w:t xml:space="preserve">awards by the Scottish Government </w:t>
      </w:r>
      <w:r w:rsidR="007E7AAB">
        <w:t>of</w:t>
      </w:r>
      <w:r>
        <w:t xml:space="preserve"> consent</w:t>
      </w:r>
      <w:r w:rsidR="007E7AAB">
        <w:t>s</w:t>
      </w:r>
      <w:r>
        <w:t xml:space="preserve"> to construct and operate wind farms under section 36 of the Electricity Act 1989 (‘the 1989 Act’). The first </w:t>
      </w:r>
      <w:r w:rsidR="00E375DD">
        <w:t>decision</w:t>
      </w:r>
      <w:r>
        <w:t xml:space="preserve">, </w:t>
      </w:r>
      <w:r w:rsidR="00E375DD">
        <w:t xml:space="preserve">made </w:t>
      </w:r>
      <w:r w:rsidR="00AE6B6C">
        <w:t xml:space="preserve">in September 2013 </w:t>
      </w:r>
      <w:r w:rsidR="00E375DD">
        <w:t>by</w:t>
      </w:r>
      <w:r w:rsidR="007E7AAB">
        <w:t xml:space="preserve"> Lady Clark of </w:t>
      </w:r>
      <w:proofErr w:type="spellStart"/>
      <w:r w:rsidR="007E7AAB">
        <w:t>Calton</w:t>
      </w:r>
      <w:proofErr w:type="spellEnd"/>
      <w:r w:rsidR="007E7AAB">
        <w:t xml:space="preserve"> </w:t>
      </w:r>
      <w:r w:rsidR="000C165C">
        <w:t xml:space="preserve">in </w:t>
      </w:r>
      <w:r w:rsidR="007E7AAB">
        <w:t xml:space="preserve">the </w:t>
      </w:r>
      <w:r w:rsidR="00AE6B6C">
        <w:t>Outer</w:t>
      </w:r>
      <w:r w:rsidR="007E7AAB">
        <w:t xml:space="preserve"> House</w:t>
      </w:r>
      <w:r>
        <w:t xml:space="preserve"> in the </w:t>
      </w:r>
      <w:r w:rsidR="00BF448A" w:rsidRPr="00BF448A">
        <w:rPr>
          <w:i/>
        </w:rPr>
        <w:t>Sustainable Shetland</w:t>
      </w:r>
      <w:r>
        <w:t xml:space="preserve"> case</w:t>
      </w:r>
      <w:r w:rsidR="005D6911">
        <w:t>,</w:t>
      </w:r>
      <w:r>
        <w:t xml:space="preserve"> concluded that section 36 consents could only be issued competently to applicants already holding a licence to generate</w:t>
      </w:r>
      <w:r w:rsidR="007E7AAB">
        <w:t xml:space="preserve"> electricity </w:t>
      </w:r>
      <w:r>
        <w:t>under section 4 of the 1989 Act.</w:t>
      </w:r>
      <w:r w:rsidR="0050794F">
        <w:rPr>
          <w:rStyle w:val="FootnoteReference"/>
        </w:rPr>
        <w:footnoteReference w:id="1"/>
      </w:r>
      <w:r>
        <w:t xml:space="preserve"> This </w:t>
      </w:r>
      <w:r w:rsidR="00994A20">
        <w:t xml:space="preserve">interpretation </w:t>
      </w:r>
      <w:r>
        <w:t xml:space="preserve">flew in the face of the established understanding of the law and </w:t>
      </w:r>
      <w:r w:rsidR="007E7AAB">
        <w:t xml:space="preserve">of </w:t>
      </w:r>
      <w:r>
        <w:t xml:space="preserve">corresponding industry practice, and gave rise to concerns that </w:t>
      </w:r>
      <w:r w:rsidR="007E7AAB">
        <w:t xml:space="preserve">existing and future </w:t>
      </w:r>
      <w:r>
        <w:t xml:space="preserve">consents granted to </w:t>
      </w:r>
      <w:r w:rsidR="00707CAB">
        <w:t>persons</w:t>
      </w:r>
      <w:r w:rsidR="00994A20">
        <w:t xml:space="preserve"> without a generating licence</w:t>
      </w:r>
      <w:r w:rsidR="00441F58">
        <w:t xml:space="preserve"> at the time of application</w:t>
      </w:r>
      <w:r w:rsidR="00994A20">
        <w:t xml:space="preserve"> c</w:t>
      </w:r>
      <w:r>
        <w:t>ould be vulnerable to legal challenge.</w:t>
      </w:r>
      <w:r w:rsidR="0050794F">
        <w:rPr>
          <w:rStyle w:val="FootnoteReference"/>
        </w:rPr>
        <w:footnoteReference w:id="2"/>
      </w:r>
      <w:r>
        <w:t xml:space="preserve">    </w:t>
      </w:r>
      <w:r w:rsidR="00E81AFF">
        <w:t xml:space="preserve">    </w:t>
      </w:r>
    </w:p>
    <w:p w:rsidR="004A30DE" w:rsidRDefault="004A30DE" w:rsidP="00E81AFF">
      <w:pPr>
        <w:jc w:val="both"/>
      </w:pPr>
      <w:r>
        <w:t xml:space="preserve">Different </w:t>
      </w:r>
      <w:r w:rsidR="00994A20">
        <w:t>views</w:t>
      </w:r>
      <w:r>
        <w:t xml:space="preserve"> on </w:t>
      </w:r>
      <w:r w:rsidR="00994A20">
        <w:t xml:space="preserve">competency to </w:t>
      </w:r>
      <w:r w:rsidR="00441F58">
        <w:t>apply for</w:t>
      </w:r>
      <w:r w:rsidR="00994A20">
        <w:t xml:space="preserve"> </w:t>
      </w:r>
      <w:proofErr w:type="gramStart"/>
      <w:r w:rsidR="00994A20">
        <w:t>a section</w:t>
      </w:r>
      <w:proofErr w:type="gramEnd"/>
      <w:r w:rsidR="00994A20">
        <w:t xml:space="preserve"> 36 consent </w:t>
      </w:r>
      <w:r>
        <w:t>have been reached in</w:t>
      </w:r>
      <w:r w:rsidR="00165F37">
        <w:t xml:space="preserve"> </w:t>
      </w:r>
      <w:r>
        <w:t>two subsequent decisions.</w:t>
      </w:r>
      <w:r w:rsidR="003B3D0A">
        <w:t xml:space="preserve"> </w:t>
      </w:r>
      <w:r>
        <w:t xml:space="preserve">In February 2004, </w:t>
      </w:r>
      <w:r w:rsidR="000C165C" w:rsidRPr="000C165C">
        <w:t>in</w:t>
      </w:r>
      <w:r w:rsidR="000C165C">
        <w:t xml:space="preserve"> the </w:t>
      </w:r>
      <w:r w:rsidR="000C165C">
        <w:rPr>
          <w:i/>
        </w:rPr>
        <w:t xml:space="preserve">Trump </w:t>
      </w:r>
      <w:r w:rsidR="000C165C">
        <w:t xml:space="preserve">case, </w:t>
      </w:r>
      <w:r w:rsidRPr="000C165C">
        <w:t>Lord</w:t>
      </w:r>
      <w:r>
        <w:t xml:space="preserve"> Doherty</w:t>
      </w:r>
      <w:r w:rsidR="007E7AAB">
        <w:t xml:space="preserve">, also </w:t>
      </w:r>
      <w:r w:rsidR="000C165C">
        <w:t xml:space="preserve">in </w:t>
      </w:r>
      <w:r w:rsidR="007E7AAB">
        <w:t xml:space="preserve">the </w:t>
      </w:r>
      <w:r w:rsidR="00994A20">
        <w:t>Outer</w:t>
      </w:r>
      <w:r w:rsidR="007E7AAB">
        <w:t xml:space="preserve"> House,</w:t>
      </w:r>
      <w:r>
        <w:t xml:space="preserve"> rejected an argument</w:t>
      </w:r>
      <w:r w:rsidR="00B840AA">
        <w:t>,</w:t>
      </w:r>
      <w:r>
        <w:t xml:space="preserve"> introduced fol</w:t>
      </w:r>
      <w:r w:rsidR="00EA2C4A">
        <w:t xml:space="preserve">lowing the </w:t>
      </w:r>
      <w:r w:rsidR="00BF448A" w:rsidRPr="00BF448A">
        <w:rPr>
          <w:i/>
        </w:rPr>
        <w:t>Sustainable Shetland</w:t>
      </w:r>
      <w:r>
        <w:t xml:space="preserve"> </w:t>
      </w:r>
      <w:r w:rsidR="00E375DD">
        <w:t>judgment,</w:t>
      </w:r>
      <w:r>
        <w:t xml:space="preserve"> that the Scottish </w:t>
      </w:r>
      <w:r w:rsidR="00E375DD">
        <w:t>M</w:t>
      </w:r>
      <w:r>
        <w:t>inisters</w:t>
      </w:r>
      <w:r w:rsidR="00994A20">
        <w:t>’</w:t>
      </w:r>
      <w:r>
        <w:t xml:space="preserve"> decision to approve an offshore wind farm should be reduced on grounds of lack of competence to issue a section 36 consent to a party not holding a licence to generate.</w:t>
      </w:r>
      <w:r w:rsidR="0050794F">
        <w:rPr>
          <w:rStyle w:val="FootnoteReference"/>
        </w:rPr>
        <w:footnoteReference w:id="3"/>
      </w:r>
      <w:r>
        <w:t xml:space="preserve"> He could find no basis </w:t>
      </w:r>
      <w:r w:rsidR="00E375DD">
        <w:t>on his analysis of the 198</w:t>
      </w:r>
      <w:r w:rsidR="00994A20">
        <w:t>9</w:t>
      </w:r>
      <w:r w:rsidR="00E375DD">
        <w:t xml:space="preserve"> Act </w:t>
      </w:r>
      <w:r>
        <w:t xml:space="preserve">for concluding that obtaining the </w:t>
      </w:r>
      <w:r w:rsidR="007E7AAB">
        <w:t>latter</w:t>
      </w:r>
      <w:r>
        <w:t xml:space="preserve"> was</w:t>
      </w:r>
      <w:r w:rsidR="00994A20">
        <w:t xml:space="preserve"> intended to be</w:t>
      </w:r>
      <w:r>
        <w:t xml:space="preserve"> a condition precedent to applying for the </w:t>
      </w:r>
      <w:r w:rsidR="007E7AAB">
        <w:t>former</w:t>
      </w:r>
      <w:r>
        <w:t>. The judgment of</w:t>
      </w:r>
      <w:r w:rsidR="00994A20">
        <w:t xml:space="preserve"> July 2014 of</w:t>
      </w:r>
      <w:r>
        <w:t xml:space="preserve"> Lord Brodie</w:t>
      </w:r>
      <w:r w:rsidR="00994A20">
        <w:t xml:space="preserve"> and his colleagues</w:t>
      </w:r>
      <w:r>
        <w:t xml:space="preserve"> on the appeal of </w:t>
      </w:r>
      <w:r w:rsidR="00BF448A" w:rsidRPr="00BF448A">
        <w:rPr>
          <w:i/>
        </w:rPr>
        <w:t>Sustainable Shetland</w:t>
      </w:r>
      <w:r>
        <w:t xml:space="preserve"> to the Inner House</w:t>
      </w:r>
      <w:r w:rsidR="00E375DD">
        <w:t xml:space="preserve"> </w:t>
      </w:r>
      <w:r>
        <w:t>fully endorse</w:t>
      </w:r>
      <w:r w:rsidR="00E375DD">
        <w:t>s</w:t>
      </w:r>
      <w:r>
        <w:t xml:space="preserve"> Lord Doherty’s reasoning on the competency point.</w:t>
      </w:r>
      <w:r w:rsidR="0050794F">
        <w:rPr>
          <w:rStyle w:val="FootnoteReference"/>
        </w:rPr>
        <w:footnoteReference w:id="4"/>
      </w:r>
      <w:r>
        <w:t xml:space="preserve">  </w:t>
      </w:r>
    </w:p>
    <w:p w:rsidR="005A4825" w:rsidRDefault="004A30DE" w:rsidP="00E81AFF">
      <w:pPr>
        <w:jc w:val="both"/>
      </w:pPr>
      <w:r>
        <w:t xml:space="preserve">The following sections review the differing positions of </w:t>
      </w:r>
      <w:r w:rsidR="007E7AAB">
        <w:t xml:space="preserve">Lady Clark and </w:t>
      </w:r>
      <w:r w:rsidR="00E375DD">
        <w:t xml:space="preserve">of </w:t>
      </w:r>
      <w:r w:rsidR="007E7AAB">
        <w:t>Lords Doherty and Brodie</w:t>
      </w:r>
      <w:r>
        <w:t xml:space="preserve"> on the </w:t>
      </w:r>
      <w:r w:rsidR="00E375DD">
        <w:t>competency</w:t>
      </w:r>
      <w:r w:rsidR="00994A20">
        <w:t xml:space="preserve"> issue</w:t>
      </w:r>
      <w:r>
        <w:t>.</w:t>
      </w:r>
      <w:r w:rsidR="008D0B21">
        <w:t xml:space="preserve"> The </w:t>
      </w:r>
      <w:r w:rsidR="00672A99">
        <w:t xml:space="preserve">final section concludes that </w:t>
      </w:r>
      <w:r w:rsidR="00994A20">
        <w:t>Lord Doherty’</w:t>
      </w:r>
      <w:r w:rsidR="00BA681F">
        <w:t>s rejection of Lady Clark’s</w:t>
      </w:r>
      <w:r w:rsidR="00B840AA">
        <w:t xml:space="preserve"> interpretation of the 1989 Act</w:t>
      </w:r>
      <w:r w:rsidR="00BA681F">
        <w:t xml:space="preserve"> and </w:t>
      </w:r>
      <w:r w:rsidR="008D0B21">
        <w:t xml:space="preserve">the successful appeal by the Scottish Ministers </w:t>
      </w:r>
      <w:r w:rsidR="000C165C">
        <w:t xml:space="preserve">in </w:t>
      </w:r>
      <w:r w:rsidR="008D0B21">
        <w:t xml:space="preserve">the </w:t>
      </w:r>
      <w:r w:rsidR="00BF448A" w:rsidRPr="00BF448A">
        <w:rPr>
          <w:i/>
        </w:rPr>
        <w:t>Sustainable Shetland</w:t>
      </w:r>
      <w:r w:rsidR="008D0B21">
        <w:t xml:space="preserve"> case close the door to subsequent challenges to licensing decisions based on </w:t>
      </w:r>
      <w:r w:rsidR="00BA681F">
        <w:t xml:space="preserve">grounds of </w:t>
      </w:r>
      <w:r w:rsidR="00994A20">
        <w:t>competency</w:t>
      </w:r>
      <w:r w:rsidR="0050794F">
        <w:t xml:space="preserve"> to apply for and award a section 36 consent</w:t>
      </w:r>
      <w:r w:rsidR="008D0B21">
        <w:t>.</w:t>
      </w:r>
      <w:r w:rsidR="00BA681F">
        <w:t xml:space="preserve">  </w:t>
      </w:r>
    </w:p>
    <w:p w:rsidR="008D0B21" w:rsidRDefault="00363786" w:rsidP="00E81AFF">
      <w:pPr>
        <w:jc w:val="both"/>
        <w:rPr>
          <w:b/>
        </w:rPr>
      </w:pPr>
      <w:r>
        <w:rPr>
          <w:b/>
        </w:rPr>
        <w:t>Lady Clark’s Interpretation</w:t>
      </w:r>
    </w:p>
    <w:p w:rsidR="00251FF9" w:rsidRDefault="001237B3" w:rsidP="00E81AFF">
      <w:pPr>
        <w:jc w:val="both"/>
      </w:pPr>
      <w:r>
        <w:t xml:space="preserve">The </w:t>
      </w:r>
      <w:r w:rsidR="00DA2259">
        <w:t>1989</w:t>
      </w:r>
      <w:r>
        <w:t xml:space="preserve"> Act establishes two regimes for </w:t>
      </w:r>
      <w:r w:rsidR="00DA2259">
        <w:t xml:space="preserve">regulating </w:t>
      </w:r>
      <w:r>
        <w:t>electricity generation. Persons who generate electricity for the purposes of supply are guilty of a criminal offence unless they hold a licence authorising them to do so</w:t>
      </w:r>
      <w:r w:rsidR="003A2079">
        <w:t xml:space="preserve"> under section 4</w:t>
      </w:r>
      <w:r>
        <w:t xml:space="preserve">. Responsibility for awarding this licence lies with </w:t>
      </w:r>
      <w:r w:rsidR="00BE5663">
        <w:t>Ofgem, the regulator of gas and electricity markets in the UK</w:t>
      </w:r>
      <w:r>
        <w:t xml:space="preserve">. In addition, </w:t>
      </w:r>
      <w:r w:rsidR="00DA2259">
        <w:t xml:space="preserve">section 36 requires that </w:t>
      </w:r>
      <w:r w:rsidR="003A2079">
        <w:t>a</w:t>
      </w:r>
      <w:r>
        <w:t xml:space="preserve"> </w:t>
      </w:r>
      <w:r w:rsidR="00DA2259">
        <w:t>consent</w:t>
      </w:r>
      <w:r>
        <w:t xml:space="preserve"> must be obtained for the constructi</w:t>
      </w:r>
      <w:r w:rsidR="003A2079">
        <w:t>on</w:t>
      </w:r>
      <w:r>
        <w:t xml:space="preserve"> and operation of </w:t>
      </w:r>
      <w:r w:rsidR="003A2079">
        <w:t xml:space="preserve">a </w:t>
      </w:r>
      <w:r>
        <w:t>generating station with a capacity exceeding 50MW</w:t>
      </w:r>
      <w:r w:rsidR="000C165C">
        <w:t xml:space="preserve"> onshore, or </w:t>
      </w:r>
      <w:r w:rsidR="00E369AA">
        <w:t>above</w:t>
      </w:r>
      <w:r w:rsidR="000C165C">
        <w:t xml:space="preserve"> 1MW offshore</w:t>
      </w:r>
      <w:r>
        <w:t>. This requirement has been replaced in England and Wales by the development consent process under the Planning Act 2008</w:t>
      </w:r>
      <w:r w:rsidR="0050794F">
        <w:t>, and, for offshore wind farms under 100MW, by the licensing regime under the Marine and Coastal Access Act 2009</w:t>
      </w:r>
      <w:r w:rsidR="003A2079">
        <w:t>.</w:t>
      </w:r>
      <w:r w:rsidR="0050794F">
        <w:rPr>
          <w:rStyle w:val="FootnoteReference"/>
        </w:rPr>
        <w:footnoteReference w:id="5"/>
      </w:r>
      <w:r w:rsidR="003A2079">
        <w:t xml:space="preserve"> It </w:t>
      </w:r>
      <w:r>
        <w:t>remains in force in Scotland with decisions being made by the Scottish Ministers.</w:t>
      </w:r>
      <w:r w:rsidR="00D66F3F">
        <w:t xml:space="preserve">  No restriction is placed by this provision on persons that may apply for</w:t>
      </w:r>
      <w:r w:rsidR="00CD010D">
        <w:t xml:space="preserve"> a </w:t>
      </w:r>
      <w:r w:rsidR="00D66F3F">
        <w:t>consent.</w:t>
      </w:r>
      <w:r>
        <w:t xml:space="preserve">  </w:t>
      </w:r>
    </w:p>
    <w:p w:rsidR="00F91AF7" w:rsidRDefault="00CD010D" w:rsidP="00E81AFF">
      <w:pPr>
        <w:jc w:val="both"/>
      </w:pPr>
      <w:r>
        <w:t>Paragraph 3(1)</w:t>
      </w:r>
      <w:r w:rsidR="00707CAB">
        <w:t xml:space="preserve"> </w:t>
      </w:r>
      <w:r>
        <w:t xml:space="preserve">of </w:t>
      </w:r>
      <w:r w:rsidR="001237B3">
        <w:t xml:space="preserve">Schedule 9 of the </w:t>
      </w:r>
      <w:r w:rsidR="00DA2259">
        <w:t>1989</w:t>
      </w:r>
      <w:r w:rsidR="001237B3">
        <w:t xml:space="preserve"> Act </w:t>
      </w:r>
      <w:r>
        <w:t>imposes</w:t>
      </w:r>
      <w:r w:rsidR="001237B3">
        <w:t xml:space="preserve"> dut</w:t>
      </w:r>
      <w:r w:rsidR="00707CAB">
        <w:t>ies</w:t>
      </w:r>
      <w:r w:rsidR="001237B3">
        <w:t xml:space="preserve"> on holders of </w:t>
      </w:r>
      <w:r w:rsidR="00E369AA">
        <w:t xml:space="preserve">electricity generation </w:t>
      </w:r>
      <w:r w:rsidR="001237B3">
        <w:t xml:space="preserve">licences and on persons exempt </w:t>
      </w:r>
      <w:r w:rsidR="00251FF9">
        <w:t xml:space="preserve">from obtaining them to “have regard” to the desirability of </w:t>
      </w:r>
      <w:r>
        <w:t xml:space="preserve">certain </w:t>
      </w:r>
      <w:r w:rsidR="00251FF9">
        <w:lastRenderedPageBreak/>
        <w:t>matters, including preserving natural beauty and conserving flora and fauna, in formulating proposals for the construction and extension of generating plant with a capacity exceeding 10MW</w:t>
      </w:r>
      <w:r>
        <w:t xml:space="preserve"> (‘relevant proposals’)</w:t>
      </w:r>
      <w:r w:rsidR="00707CAB">
        <w:t>, and to do what they can to mitigate the effects of their proposals on them</w:t>
      </w:r>
      <w:r w:rsidR="00251FF9">
        <w:t>. The Scottish Ministers must also have regard to the</w:t>
      </w:r>
      <w:r w:rsidR="00DA2259">
        <w:t>se</w:t>
      </w:r>
      <w:r w:rsidR="00251FF9">
        <w:t xml:space="preserve"> matters and to the e</w:t>
      </w:r>
      <w:r w:rsidR="00D66F3F">
        <w:t xml:space="preserve">xtent to which those </w:t>
      </w:r>
      <w:r>
        <w:t>subject to the duty</w:t>
      </w:r>
      <w:r w:rsidR="00D66F3F">
        <w:t xml:space="preserve"> </w:t>
      </w:r>
      <w:r w:rsidR="00707CAB">
        <w:t xml:space="preserve">to mitigate the effects of their proposals </w:t>
      </w:r>
      <w:r w:rsidR="00D66F3F">
        <w:t xml:space="preserve">have complied with </w:t>
      </w:r>
      <w:r>
        <w:t>it when</w:t>
      </w:r>
      <w:r w:rsidR="00D66F3F">
        <w:t xml:space="preserve"> </w:t>
      </w:r>
      <w:r>
        <w:t xml:space="preserve">they </w:t>
      </w:r>
      <w:r w:rsidR="00D66F3F">
        <w:t xml:space="preserve">consider </w:t>
      </w:r>
      <w:r>
        <w:t>applications for the award of a section 36 consent</w:t>
      </w:r>
      <w:r w:rsidR="00D66F3F">
        <w:t xml:space="preserve"> </w:t>
      </w:r>
      <w:r>
        <w:t>to ‘relevant proposals’</w:t>
      </w:r>
      <w:r w:rsidR="00D66F3F">
        <w:t>.</w:t>
      </w:r>
      <w:r w:rsidR="0050794F">
        <w:rPr>
          <w:rStyle w:val="FootnoteReference"/>
        </w:rPr>
        <w:footnoteReference w:id="6"/>
      </w:r>
      <w:r w:rsidR="00D66F3F">
        <w:t xml:space="preserve"> </w:t>
      </w:r>
      <w:r w:rsidR="009B3B73">
        <w:t xml:space="preserve">As a result, persons that already hold a licence or </w:t>
      </w:r>
      <w:r>
        <w:t xml:space="preserve">benefit from an </w:t>
      </w:r>
      <w:r w:rsidR="009B3B73">
        <w:t xml:space="preserve">exemption </w:t>
      </w:r>
      <w:r w:rsidR="00363786">
        <w:t xml:space="preserve">when applying for a consent </w:t>
      </w:r>
      <w:r w:rsidR="009B3B73">
        <w:t>are subject to dut</w:t>
      </w:r>
      <w:r w:rsidR="00707CAB">
        <w:t>ies</w:t>
      </w:r>
      <w:r w:rsidR="009B3B73">
        <w:t xml:space="preserve"> and related ministerial scrutiny </w:t>
      </w:r>
      <w:r>
        <w:t>which</w:t>
      </w:r>
      <w:r w:rsidR="009B3B73">
        <w:t xml:space="preserve"> do not </w:t>
      </w:r>
      <w:r>
        <w:t>affe</w:t>
      </w:r>
      <w:r w:rsidR="009B3B73">
        <w:t>ct</w:t>
      </w:r>
      <w:r w:rsidR="00423084">
        <w:t xml:space="preserve"> </w:t>
      </w:r>
      <w:r w:rsidR="00363786">
        <w:t>applicants</w:t>
      </w:r>
      <w:r>
        <w:t xml:space="preserve"> without a licence or entitleme</w:t>
      </w:r>
      <w:r w:rsidR="00363786">
        <w:t>nt to an exemption</w:t>
      </w:r>
      <w:r w:rsidR="008330BB">
        <w:t xml:space="preserve">.  </w:t>
      </w:r>
    </w:p>
    <w:p w:rsidR="00363786" w:rsidRDefault="00F91AF7" w:rsidP="00E81AFF">
      <w:pPr>
        <w:jc w:val="both"/>
      </w:pPr>
      <w:r>
        <w:t xml:space="preserve">The </w:t>
      </w:r>
      <w:r w:rsidR="00E369AA">
        <w:t>r</w:t>
      </w:r>
      <w:r>
        <w:t xml:space="preserve">espondents </w:t>
      </w:r>
      <w:r w:rsidR="00A22862">
        <w:t xml:space="preserve">in </w:t>
      </w:r>
      <w:r w:rsidR="00CD010D">
        <w:t xml:space="preserve">the </w:t>
      </w:r>
      <w:r w:rsidR="00BF448A" w:rsidRPr="00BF448A">
        <w:rPr>
          <w:i/>
        </w:rPr>
        <w:t>Sustainable Shetland</w:t>
      </w:r>
      <w:r w:rsidR="00A22862">
        <w:t xml:space="preserve"> </w:t>
      </w:r>
      <w:r w:rsidR="00CD010D">
        <w:t>case recognised</w:t>
      </w:r>
      <w:r>
        <w:t xml:space="preserve"> that this interpretation</w:t>
      </w:r>
      <w:r w:rsidR="00A22862">
        <w:t xml:space="preserve"> of the relationship between Section 36 and Schedule 9</w:t>
      </w:r>
      <w:r>
        <w:t xml:space="preserve"> could give rise to odd outcomes, </w:t>
      </w:r>
      <w:r w:rsidR="003A2079">
        <w:t>but</w:t>
      </w:r>
      <w:r w:rsidR="00CD010D">
        <w:t xml:space="preserve"> submitted</w:t>
      </w:r>
      <w:r w:rsidR="003A2079">
        <w:t xml:space="preserve"> that</w:t>
      </w:r>
      <w:r w:rsidR="00CD010D">
        <w:t xml:space="preserve"> </w:t>
      </w:r>
      <w:r w:rsidR="003A2079">
        <w:t xml:space="preserve">it </w:t>
      </w:r>
      <w:r>
        <w:t>was correct</w:t>
      </w:r>
      <w:r w:rsidR="00CD010D">
        <w:t xml:space="preserve"> nonetheless, being entirely consistent with the plain wording of the 1989 Act</w:t>
      </w:r>
      <w:r>
        <w:t>.</w:t>
      </w:r>
      <w:r w:rsidR="00DE57C8">
        <w:rPr>
          <w:rStyle w:val="FootnoteReference"/>
        </w:rPr>
        <w:footnoteReference w:id="7"/>
      </w:r>
      <w:r>
        <w:t xml:space="preserve"> However, Lady Clark did not accept that the legislators could have intended to place differing burdens on actors depending on whether a generating licence had </w:t>
      </w:r>
      <w:r w:rsidR="002824DB">
        <w:t xml:space="preserve">or had not </w:t>
      </w:r>
      <w:r>
        <w:t>been obtained</w:t>
      </w:r>
      <w:r w:rsidR="00CD010D">
        <w:t xml:space="preserve"> by them</w:t>
      </w:r>
      <w:r>
        <w:t xml:space="preserve"> or was not required.</w:t>
      </w:r>
      <w:r w:rsidR="00DE57C8">
        <w:rPr>
          <w:rStyle w:val="FootnoteReference"/>
        </w:rPr>
        <w:footnoteReference w:id="8"/>
      </w:r>
      <w:r w:rsidR="00A22862">
        <w:t xml:space="preserve"> Instead, </w:t>
      </w:r>
      <w:r w:rsidR="002824DB">
        <w:t xml:space="preserve">she concluded that </w:t>
      </w:r>
      <w:r w:rsidR="00A22862">
        <w:t xml:space="preserve">it must have been their intent, although not expressly stated in the Act, to restrict eligibility to apply for </w:t>
      </w:r>
      <w:proofErr w:type="gramStart"/>
      <w:r w:rsidR="00CD010D">
        <w:t xml:space="preserve">a </w:t>
      </w:r>
      <w:r w:rsidR="008B572A">
        <w:t>section</w:t>
      </w:r>
      <w:proofErr w:type="gramEnd"/>
      <w:r w:rsidR="00A22862">
        <w:t xml:space="preserve"> 36 consent to actors </w:t>
      </w:r>
      <w:r w:rsidR="00CD010D">
        <w:t>subject to</w:t>
      </w:r>
      <w:r w:rsidR="00A22862">
        <w:t xml:space="preserve"> </w:t>
      </w:r>
      <w:r w:rsidR="00CD010D">
        <w:t xml:space="preserve">the </w:t>
      </w:r>
      <w:r w:rsidR="00A22862">
        <w:t>dut</w:t>
      </w:r>
      <w:r w:rsidR="00707CAB">
        <w:t>ies</w:t>
      </w:r>
      <w:r w:rsidR="00A22862">
        <w:t xml:space="preserve"> under paragraph 3</w:t>
      </w:r>
      <w:r w:rsidR="00CD010D">
        <w:t>(1)</w:t>
      </w:r>
      <w:r w:rsidR="00A22862">
        <w:t xml:space="preserve"> of Schedule 9 (</w:t>
      </w:r>
      <w:r w:rsidR="00E369AA">
        <w:rPr>
          <w:i/>
        </w:rPr>
        <w:t>i.e.</w:t>
      </w:r>
      <w:r w:rsidR="00A22862">
        <w:t xml:space="preserve"> holders of generating licences and exempt persons).</w:t>
      </w:r>
      <w:r w:rsidR="00DE57C8">
        <w:rPr>
          <w:rStyle w:val="FootnoteReference"/>
        </w:rPr>
        <w:footnoteReference w:id="9"/>
      </w:r>
      <w:r w:rsidR="00666AB2" w:rsidRPr="00666AB2">
        <w:t xml:space="preserve"> </w:t>
      </w:r>
      <w:r w:rsidR="00666AB2">
        <w:t xml:space="preserve">Viking Energy Partnership, the </w:t>
      </w:r>
      <w:r w:rsidR="003A2079">
        <w:t xml:space="preserve">wind farm developers in this case, were not exempt from applying for a generating licence and did not hold one when </w:t>
      </w:r>
      <w:r w:rsidR="003071C1">
        <w:t>seeking</w:t>
      </w:r>
      <w:r w:rsidR="003A2079">
        <w:t xml:space="preserve"> </w:t>
      </w:r>
      <w:proofErr w:type="gramStart"/>
      <w:r w:rsidR="003A2079">
        <w:t>a section</w:t>
      </w:r>
      <w:proofErr w:type="gramEnd"/>
      <w:r w:rsidR="003A2079">
        <w:t xml:space="preserve"> 36 consent</w:t>
      </w:r>
      <w:r w:rsidR="00666AB2">
        <w:t>.</w:t>
      </w:r>
      <w:r w:rsidR="00E369AA">
        <w:t xml:space="preserve"> Accordingly</w:t>
      </w:r>
      <w:r w:rsidR="003A2079">
        <w:t>, Lady Clark held that the award of the consent was not competent, and that the decision of the Scottish Ministers should be reduced on that basis.</w:t>
      </w:r>
      <w:r w:rsidR="00DE57C8">
        <w:rPr>
          <w:rStyle w:val="FootnoteReference"/>
        </w:rPr>
        <w:footnoteReference w:id="10"/>
      </w:r>
      <w:r w:rsidR="00C2718D">
        <w:t xml:space="preserve"> She also found support for her position from the fact that a licence to </w:t>
      </w:r>
      <w:r w:rsidR="00C2718D" w:rsidRPr="00C2718D">
        <w:rPr>
          <w:i/>
        </w:rPr>
        <w:t>generate</w:t>
      </w:r>
      <w:r w:rsidR="00C2718D">
        <w:t xml:space="preserve"> and a consent to </w:t>
      </w:r>
      <w:r w:rsidR="00C2718D" w:rsidRPr="00C2718D">
        <w:rPr>
          <w:i/>
        </w:rPr>
        <w:t>operate</w:t>
      </w:r>
      <w:r w:rsidR="00C2718D">
        <w:t xml:space="preserve"> a generating station amount to permission for the same activity, concluding from this that the Scottish Ministers, in award</w:t>
      </w:r>
      <w:r w:rsidR="00DE57C8">
        <w:t>ing</w:t>
      </w:r>
      <w:r w:rsidR="00C2718D">
        <w:t xml:space="preserve"> a consent to operate to a party without a licence</w:t>
      </w:r>
      <w:r w:rsidR="00363786">
        <w:t>,</w:t>
      </w:r>
      <w:r w:rsidR="00C2718D">
        <w:t xml:space="preserve"> had </w:t>
      </w:r>
      <w:r w:rsidR="00DE57C8">
        <w:t>authorised</w:t>
      </w:r>
      <w:r w:rsidR="00C2718D">
        <w:t xml:space="preserve"> it to commit a criminal offence under</w:t>
      </w:r>
      <w:r w:rsidR="00DE57C8">
        <w:t xml:space="preserve"> section 36(6) of the 1989 Act.</w:t>
      </w:r>
      <w:r w:rsidR="00DE57C8">
        <w:rPr>
          <w:rStyle w:val="FootnoteReference"/>
        </w:rPr>
        <w:footnoteReference w:id="11"/>
      </w:r>
      <w:r w:rsidR="00C2718D">
        <w:t xml:space="preserve">  </w:t>
      </w:r>
      <w:r w:rsidR="003A2079">
        <w:t xml:space="preserve">  </w:t>
      </w:r>
    </w:p>
    <w:p w:rsidR="00A22862" w:rsidRDefault="00363786" w:rsidP="00E81AFF">
      <w:pPr>
        <w:jc w:val="both"/>
      </w:pPr>
      <w:r>
        <w:rPr>
          <w:b/>
        </w:rPr>
        <w:t>Lord Doherty’s Interpretation</w:t>
      </w:r>
      <w:r w:rsidR="003A2079">
        <w:t xml:space="preserve">   </w:t>
      </w:r>
      <w:r w:rsidR="00666AB2">
        <w:t xml:space="preserve">  </w:t>
      </w:r>
    </w:p>
    <w:p w:rsidR="00443766" w:rsidRDefault="00E029B9" w:rsidP="00E81AFF">
      <w:pPr>
        <w:jc w:val="both"/>
      </w:pPr>
      <w:r>
        <w:t xml:space="preserve">The consent complained of in the </w:t>
      </w:r>
      <w:r w:rsidR="00BF448A" w:rsidRPr="00BF448A">
        <w:rPr>
          <w:i/>
        </w:rPr>
        <w:t>Trump</w:t>
      </w:r>
      <w:r>
        <w:t xml:space="preserve"> case was also secured by an applicant that did not hold a generating licence. It is unsurprising therefore that the petitioners latched on to Lady Clark’s judgment, making an amendment to their petition to challenge the Scottish Ministers</w:t>
      </w:r>
      <w:r w:rsidR="00E36F6E">
        <w:t>’</w:t>
      </w:r>
      <w:r>
        <w:t xml:space="preserve"> decision on grounds of competence shortly after it was handed down.</w:t>
      </w:r>
      <w:r w:rsidR="00DE57C8">
        <w:rPr>
          <w:rStyle w:val="FootnoteReference"/>
        </w:rPr>
        <w:footnoteReference w:id="12"/>
      </w:r>
      <w:r>
        <w:t xml:space="preserve"> However, whatever hopes </w:t>
      </w:r>
      <w:r w:rsidR="00E36F6E">
        <w:t>Lady Clark’s</w:t>
      </w:r>
      <w:r>
        <w:t xml:space="preserve"> decision may have raised for Mr Trump’s legal team were quashed by Lord Doherty’s rejection of her interpretation</w:t>
      </w:r>
      <w:r w:rsidR="00E36F6E">
        <w:t xml:space="preserve"> of the 1989 Act</w:t>
      </w:r>
      <w:r>
        <w:t xml:space="preserve">. His judgment </w:t>
      </w:r>
      <w:r w:rsidR="009456D4">
        <w:t>f</w:t>
      </w:r>
      <w:r>
        <w:t>inds no basis, “on an ordinary reading of the Act”, and in the absence of clear wording to that effect</w:t>
      </w:r>
      <w:r w:rsidR="00E36F6E">
        <w:t>,</w:t>
      </w:r>
      <w:r>
        <w:t xml:space="preserve"> for concluding that the right to a</w:t>
      </w:r>
      <w:r w:rsidR="004F4332">
        <w:t>p</w:t>
      </w:r>
      <w:r>
        <w:t xml:space="preserve">ply for a section 36 consent should be limited to those who already hold a generating licence or are </w:t>
      </w:r>
      <w:r w:rsidR="009456D4">
        <w:t>excused from obtaining one by an exemption</w:t>
      </w:r>
      <w:r>
        <w:t>.</w:t>
      </w:r>
      <w:r w:rsidR="00DE57C8">
        <w:rPr>
          <w:rStyle w:val="FootnoteReference"/>
        </w:rPr>
        <w:footnoteReference w:id="13"/>
      </w:r>
      <w:r>
        <w:t xml:space="preserve"> Similarly, he found nothing in the section 4 licensing regime to indicate that this </w:t>
      </w:r>
      <w:r w:rsidR="009456D4">
        <w:t>wa</w:t>
      </w:r>
      <w:r>
        <w:t>s intended</w:t>
      </w:r>
      <w:r w:rsidR="009456D4">
        <w:t xml:space="preserve"> by the legislators</w:t>
      </w:r>
      <w:r>
        <w:t xml:space="preserve"> to regulate the construction of individual generating stations. </w:t>
      </w:r>
      <w:r w:rsidR="00DE57C8">
        <w:rPr>
          <w:rStyle w:val="FootnoteReference"/>
        </w:rPr>
        <w:footnoteReference w:id="14"/>
      </w:r>
      <w:r>
        <w:t xml:space="preserve"> To the con</w:t>
      </w:r>
      <w:r w:rsidR="004F4332">
        <w:t xml:space="preserve">trary, </w:t>
      </w:r>
      <w:r w:rsidR="00E36F6E">
        <w:t xml:space="preserve">the Act creates separate permitting processes, both of which must be negotiated successfully by an actor that wishes to construct and operate a generating station for the purposes of supply. </w:t>
      </w:r>
      <w:r w:rsidR="0021424C">
        <w:t xml:space="preserve">A section 36 consent may be </w:t>
      </w:r>
      <w:r w:rsidR="009456D4">
        <w:t xml:space="preserve">secured </w:t>
      </w:r>
      <w:r w:rsidR="0021424C">
        <w:t xml:space="preserve">first, but it is of no practical </w:t>
      </w:r>
      <w:r w:rsidR="0021424C">
        <w:lastRenderedPageBreak/>
        <w:t>value unless a licence is also obtained entitling the station</w:t>
      </w:r>
      <w:r w:rsidR="009456D4">
        <w:t>’</w:t>
      </w:r>
      <w:r w:rsidR="0021424C">
        <w:t>s constructor and operator to supply electricity.</w:t>
      </w:r>
      <w:r w:rsidR="00DE57C8">
        <w:rPr>
          <w:rStyle w:val="FootnoteReference"/>
        </w:rPr>
        <w:footnoteReference w:id="15"/>
      </w:r>
    </w:p>
    <w:p w:rsidR="002A4903" w:rsidRDefault="00443766" w:rsidP="00E81AFF">
      <w:pPr>
        <w:jc w:val="both"/>
      </w:pPr>
      <w:r>
        <w:t>Lord Doherty draws contrary conclusions to</w:t>
      </w:r>
      <w:r w:rsidR="0021424C">
        <w:t xml:space="preserve"> those of</w:t>
      </w:r>
      <w:r>
        <w:t xml:space="preserve"> Lady Clark from his analysis of </w:t>
      </w:r>
      <w:r w:rsidR="009456D4">
        <w:t>Schedule 9</w:t>
      </w:r>
      <w:r>
        <w:t xml:space="preserve">. He disagrees with </w:t>
      </w:r>
      <w:r w:rsidR="00EE30BB">
        <w:t>her</w:t>
      </w:r>
      <w:r>
        <w:t xml:space="preserve"> </w:t>
      </w:r>
      <w:r w:rsidR="00EE30BB">
        <w:t>view</w:t>
      </w:r>
      <w:r>
        <w:t xml:space="preserve"> that paragraph 3 of the schedule addresses only persons holding licen</w:t>
      </w:r>
      <w:r w:rsidR="003071C1">
        <w:t>c</w:t>
      </w:r>
      <w:r>
        <w:t>es to generate or exemptions from doing so</w:t>
      </w:r>
      <w:r w:rsidR="00EE30BB">
        <w:t>, and with the con</w:t>
      </w:r>
      <w:r w:rsidR="009456D4">
        <w:t>struction</w:t>
      </w:r>
      <w:r w:rsidR="00EE30BB">
        <w:t xml:space="preserve"> based on this that the legislators must have intended </w:t>
      </w:r>
      <w:r w:rsidR="009456D4">
        <w:t>that</w:t>
      </w:r>
      <w:r w:rsidR="00EE30BB">
        <w:t xml:space="preserve"> competency to apply for a section </w:t>
      </w:r>
      <w:proofErr w:type="gramStart"/>
      <w:r w:rsidR="00EE30BB">
        <w:t>36 consent</w:t>
      </w:r>
      <w:proofErr w:type="gramEnd"/>
      <w:r w:rsidR="00EE30BB">
        <w:t xml:space="preserve"> </w:t>
      </w:r>
      <w:r w:rsidR="009456D4">
        <w:t xml:space="preserve">should be limited </w:t>
      </w:r>
      <w:r w:rsidR="00EE30BB">
        <w:t xml:space="preserve">to those actors. </w:t>
      </w:r>
      <w:r>
        <w:t xml:space="preserve">On his interpretation, the duty of </w:t>
      </w:r>
      <w:r w:rsidR="00DE57C8">
        <w:t xml:space="preserve">the Scottish </w:t>
      </w:r>
      <w:r>
        <w:t xml:space="preserve">Ministers to have regard to certain matters when considering applications for consent </w:t>
      </w:r>
      <w:r w:rsidR="00DE57C8">
        <w:t>relates to</w:t>
      </w:r>
      <w:r>
        <w:t xml:space="preserve"> all </w:t>
      </w:r>
      <w:r w:rsidR="009456D4">
        <w:t>‘</w:t>
      </w:r>
      <w:r>
        <w:t>relevant proposals</w:t>
      </w:r>
      <w:r w:rsidR="009456D4">
        <w:t>’,</w:t>
      </w:r>
      <w:r>
        <w:t xml:space="preserve"> a</w:t>
      </w:r>
      <w:r w:rsidR="00173069">
        <w:t>n</w:t>
      </w:r>
      <w:r>
        <w:t xml:space="preserve">d not only </w:t>
      </w:r>
      <w:r w:rsidR="00E821DF">
        <w:t xml:space="preserve">to </w:t>
      </w:r>
      <w:r>
        <w:t xml:space="preserve">those submitted by persons </w:t>
      </w:r>
      <w:r w:rsidR="009456D4">
        <w:t>subject to the dut</w:t>
      </w:r>
      <w:r w:rsidR="00707CAB">
        <w:t>ies</w:t>
      </w:r>
      <w:r>
        <w:t xml:space="preserve"> under paragraph 3</w:t>
      </w:r>
      <w:r w:rsidR="009456D4">
        <w:t>(1)</w:t>
      </w:r>
      <w:r>
        <w:t>.</w:t>
      </w:r>
      <w:r w:rsidR="00DE57C8">
        <w:rPr>
          <w:rStyle w:val="FootnoteReference"/>
        </w:rPr>
        <w:footnoteReference w:id="16"/>
      </w:r>
      <w:r>
        <w:t xml:space="preserve"> </w:t>
      </w:r>
      <w:r w:rsidR="00AD1CDF">
        <w:t xml:space="preserve">Accordingly, the schedule contemplates that persons other than those </w:t>
      </w:r>
      <w:r w:rsidR="009456D4">
        <w:t xml:space="preserve">already holding or exempt from obtaining a licence under section 4 </w:t>
      </w:r>
      <w:r w:rsidR="00AD1CDF">
        <w:t xml:space="preserve">may apply for </w:t>
      </w:r>
      <w:r w:rsidR="009456D4">
        <w:t xml:space="preserve">a </w:t>
      </w:r>
      <w:r w:rsidR="00AD1CDF">
        <w:t xml:space="preserve">consent. </w:t>
      </w:r>
      <w:r w:rsidR="00173069">
        <w:t xml:space="preserve">In addition, the </w:t>
      </w:r>
      <w:r w:rsidR="00AD1CDF">
        <w:t xml:space="preserve">1989 </w:t>
      </w:r>
      <w:r w:rsidR="00173069">
        <w:t xml:space="preserve">Act permits developers of offshore wind farms with capacities below 10MW to apply for a section 36 consent although they do not have schedule 9 duties as </w:t>
      </w:r>
      <w:r w:rsidR="002A4903">
        <w:t>the capacity of the projects concerned fall</w:t>
      </w:r>
      <w:r w:rsidR="00363786">
        <w:t>s</w:t>
      </w:r>
      <w:r w:rsidR="002A4903">
        <w:t xml:space="preserve"> bel</w:t>
      </w:r>
      <w:r w:rsidR="00AD1CDF">
        <w:t xml:space="preserve">ow the minimum threshold for a </w:t>
      </w:r>
      <w:r w:rsidR="009456D4">
        <w:t>‘</w:t>
      </w:r>
      <w:r w:rsidR="002A4903">
        <w:t>relevant proposal</w:t>
      </w:r>
      <w:r w:rsidR="009456D4">
        <w:t>’</w:t>
      </w:r>
      <w:r w:rsidR="002A4903">
        <w:t>.</w:t>
      </w:r>
      <w:r w:rsidR="00DE57C8">
        <w:rPr>
          <w:rStyle w:val="FootnoteReference"/>
        </w:rPr>
        <w:footnoteReference w:id="17"/>
      </w:r>
      <w:r w:rsidR="002A4903">
        <w:t xml:space="preserve"> Lord Doherty </w:t>
      </w:r>
      <w:r w:rsidR="009456D4">
        <w:t xml:space="preserve">accepts </w:t>
      </w:r>
      <w:r w:rsidR="00AD1CDF">
        <w:t xml:space="preserve">this as supporting evidence for the view that </w:t>
      </w:r>
      <w:r w:rsidR="004669CB">
        <w:t xml:space="preserve">prior subjection to </w:t>
      </w:r>
      <w:r w:rsidR="00AD1CDF">
        <w:t>the</w:t>
      </w:r>
      <w:r w:rsidR="00707CAB">
        <w:t>se duties</w:t>
      </w:r>
      <w:r w:rsidR="00AD1CDF">
        <w:t xml:space="preserve"> cannot </w:t>
      </w:r>
      <w:r w:rsidR="004669CB">
        <w:t>have been intended to be</w:t>
      </w:r>
      <w:r w:rsidR="00AD1CDF">
        <w:t xml:space="preserve"> a prerequisite for </w:t>
      </w:r>
      <w:r w:rsidR="004669CB">
        <w:t>mak</w:t>
      </w:r>
      <w:r w:rsidR="00AD1CDF">
        <w:t>ing a consent application</w:t>
      </w:r>
      <w:r w:rsidR="002A4903">
        <w:t>.</w:t>
      </w:r>
      <w:r w:rsidR="00DE57C8">
        <w:rPr>
          <w:rStyle w:val="FootnoteReference"/>
        </w:rPr>
        <w:footnoteReference w:id="18"/>
      </w:r>
    </w:p>
    <w:p w:rsidR="00772F4C" w:rsidRDefault="00472053" w:rsidP="00E81AFF">
      <w:pPr>
        <w:jc w:val="both"/>
      </w:pPr>
      <w:r>
        <w:t>Lord Doherty</w:t>
      </w:r>
      <w:r w:rsidR="00F03A67">
        <w:t xml:space="preserve">’s judgment also takes issue with submissions made by the petitioners that </w:t>
      </w:r>
      <w:r w:rsidR="004669CB">
        <w:t xml:space="preserve">absurd outcomes would flow from </w:t>
      </w:r>
      <w:r>
        <w:t xml:space="preserve">an interpretation </w:t>
      </w:r>
      <w:r w:rsidR="00F03A67">
        <w:t xml:space="preserve">of the 1989 Act which </w:t>
      </w:r>
      <w:r w:rsidR="004669CB">
        <w:t>does not restrict those competent</w:t>
      </w:r>
      <w:r w:rsidR="00F03A67">
        <w:t xml:space="preserve"> to apply for a section 36 consent</w:t>
      </w:r>
      <w:r w:rsidR="00363786">
        <w:t xml:space="preserve"> to licenc</w:t>
      </w:r>
      <w:r w:rsidR="004669CB">
        <w:t>e holders and exempt persons</w:t>
      </w:r>
      <w:r>
        <w:t xml:space="preserve">. </w:t>
      </w:r>
      <w:r w:rsidR="004669CB">
        <w:t>Firstly, h</w:t>
      </w:r>
      <w:r>
        <w:t xml:space="preserve">e notes that it is common in legislative drafting to place duties only on certain actors falling within a class, and that this </w:t>
      </w:r>
      <w:r w:rsidR="000A5944">
        <w:t xml:space="preserve">mirrors the </w:t>
      </w:r>
      <w:r w:rsidR="00F03A67">
        <w:t xml:space="preserve">imposition under </w:t>
      </w:r>
      <w:r w:rsidR="000A5944">
        <w:t xml:space="preserve">predecessors to the </w:t>
      </w:r>
      <w:r w:rsidR="00F03A67">
        <w:t>198</w:t>
      </w:r>
      <w:r w:rsidR="00E821DF">
        <w:t>9</w:t>
      </w:r>
      <w:r w:rsidR="00F03A67">
        <w:t xml:space="preserve"> Act of</w:t>
      </w:r>
      <w:r w:rsidR="000A5944">
        <w:t xml:space="preserve"> amenity duties </w:t>
      </w:r>
      <w:r w:rsidR="00F03A67">
        <w:t>o</w:t>
      </w:r>
      <w:r w:rsidR="000A5944">
        <w:t>n the electricity boards</w:t>
      </w:r>
      <w:r w:rsidR="00F03A67">
        <w:t>, but not on</w:t>
      </w:r>
      <w:r w:rsidR="000A5944">
        <w:t xml:space="preserve"> other actors entitled to construct and operate generating plant.</w:t>
      </w:r>
      <w:r w:rsidR="00D677A2">
        <w:rPr>
          <w:rStyle w:val="FootnoteReference"/>
        </w:rPr>
        <w:footnoteReference w:id="19"/>
      </w:r>
      <w:r w:rsidR="00363786">
        <w:t xml:space="preserve"> Further, lightening the regulatory burden for certain actors</w:t>
      </w:r>
      <w:r w:rsidR="004669CB">
        <w:t xml:space="preserve"> is consistent with the 1989 Act’s goals of promoting competition in electricity generation by en</w:t>
      </w:r>
      <w:r w:rsidR="00D677A2">
        <w:t>couraging</w:t>
      </w:r>
      <w:r w:rsidR="004669CB">
        <w:t xml:space="preserve"> persons other than incumbents to construct new generating plant.</w:t>
      </w:r>
      <w:r w:rsidR="00D677A2">
        <w:rPr>
          <w:rStyle w:val="FootnoteReference"/>
        </w:rPr>
        <w:footnoteReference w:id="20"/>
      </w:r>
      <w:r w:rsidR="000A5944">
        <w:t xml:space="preserve"> </w:t>
      </w:r>
      <w:r w:rsidR="004669CB">
        <w:t>Secondly, t</w:t>
      </w:r>
      <w:r w:rsidR="000A5944">
        <w:t xml:space="preserve">he fact that anyone wishing to generate electricity for supply must also obtain a section 4 licence undermines the claim that a standalone section </w:t>
      </w:r>
      <w:r w:rsidR="00F03A67">
        <w:t xml:space="preserve">36 consent process would allow </w:t>
      </w:r>
      <w:r w:rsidR="000A5944">
        <w:t>financially unsuitable persons to participate in electricity markets.</w:t>
      </w:r>
      <w:r w:rsidR="00D677A2">
        <w:rPr>
          <w:rStyle w:val="FootnoteReference"/>
        </w:rPr>
        <w:footnoteReference w:id="21"/>
      </w:r>
      <w:r w:rsidR="000A5944">
        <w:t xml:space="preserve"> Thirdly, legislators at the time of the </w:t>
      </w:r>
      <w:r w:rsidR="00F03A67">
        <w:t>1989</w:t>
      </w:r>
      <w:r w:rsidR="000A5944">
        <w:t xml:space="preserve"> Act’s enactment would have been aware that </w:t>
      </w:r>
      <w:r w:rsidR="003030A7">
        <w:t xml:space="preserve">any development judged likely to have significant environmental impacts would not avoid </w:t>
      </w:r>
      <w:r w:rsidR="00707CAB">
        <w:t>assessment by the Scottish Ministers</w:t>
      </w:r>
      <w:r w:rsidR="003030A7">
        <w:t xml:space="preserve"> of its effects on the matters set out in paragraph 3(1)(a) of Schedule 9</w:t>
      </w:r>
      <w:r w:rsidR="00707CAB">
        <w:t xml:space="preserve"> and of possibilities for mitigating them</w:t>
      </w:r>
      <w:r w:rsidR="003030A7">
        <w:t xml:space="preserve"> due to the earlier introduction of similar requirements</w:t>
      </w:r>
      <w:r w:rsidR="00ED438F">
        <w:t xml:space="preserve"> by implementing legislation for the EU’s Environmental Impact Assessment Directive</w:t>
      </w:r>
      <w:r w:rsidR="00EB1943">
        <w:t>.</w:t>
      </w:r>
      <w:r w:rsidR="00D677A2">
        <w:rPr>
          <w:rStyle w:val="FootnoteReference"/>
        </w:rPr>
        <w:footnoteReference w:id="22"/>
      </w:r>
      <w:r w:rsidR="00EB1943">
        <w:t xml:space="preserve"> The </w:t>
      </w:r>
      <w:r w:rsidR="00ED438F">
        <w:t xml:space="preserve">contention </w:t>
      </w:r>
      <w:r w:rsidR="00EB1943">
        <w:t>that it would be ab</w:t>
      </w:r>
      <w:r w:rsidR="00ED438F">
        <w:t>surd to construe the 1989</w:t>
      </w:r>
      <w:r w:rsidR="00E74F1F">
        <w:t xml:space="preserve"> A</w:t>
      </w:r>
      <w:r w:rsidR="00EB1943">
        <w:t xml:space="preserve">ct in a way which </w:t>
      </w:r>
      <w:r w:rsidR="00ED438F">
        <w:t xml:space="preserve">would allow the award of consents to those not subject to schedule 9 duties should be </w:t>
      </w:r>
      <w:r w:rsidR="00EB1943">
        <w:t>viewed in th</w:t>
      </w:r>
      <w:r w:rsidR="00E74F1F">
        <w:t>at</w:t>
      </w:r>
      <w:r w:rsidR="00EB1943">
        <w:t xml:space="preserve"> context.</w:t>
      </w:r>
      <w:r w:rsidR="00D677A2">
        <w:rPr>
          <w:rStyle w:val="FootnoteReference"/>
        </w:rPr>
        <w:footnoteReference w:id="23"/>
      </w:r>
      <w:r w:rsidR="00EB1943">
        <w:t xml:space="preserve">  </w:t>
      </w:r>
    </w:p>
    <w:p w:rsidR="00EB1943" w:rsidRDefault="00EB1943" w:rsidP="00E81AFF">
      <w:pPr>
        <w:jc w:val="both"/>
      </w:pPr>
      <w:r>
        <w:t>Finally, Lord Doherty observes that the Courts are understandably reluctant to disturb a settled construction of legislation and the practice based on that.</w:t>
      </w:r>
      <w:r w:rsidR="00D677A2">
        <w:rPr>
          <w:rStyle w:val="FootnoteReference"/>
        </w:rPr>
        <w:footnoteReference w:id="24"/>
      </w:r>
      <w:r>
        <w:t xml:space="preserve"> </w:t>
      </w:r>
      <w:r w:rsidR="00772F4C">
        <w:t xml:space="preserve">Whilst this cannot be taken as an endorsement of an incorrect statutory construction, </w:t>
      </w:r>
      <w:r w:rsidR="00363786">
        <w:t>his observation</w:t>
      </w:r>
      <w:r w:rsidR="00772F4C">
        <w:t xml:space="preserve"> implies that Lady Clark should not have been so ready to abandon </w:t>
      </w:r>
      <w:r w:rsidR="00D677A2">
        <w:t>a</w:t>
      </w:r>
      <w:r w:rsidR="00772F4C">
        <w:t xml:space="preserve"> common understanding of the 1989 Act</w:t>
      </w:r>
      <w:r w:rsidR="00D677A2">
        <w:t>’s meaning</w:t>
      </w:r>
      <w:r w:rsidR="00772F4C">
        <w:t xml:space="preserve"> </w:t>
      </w:r>
      <w:r w:rsidR="00363786">
        <w:t xml:space="preserve">of 25 years’ </w:t>
      </w:r>
      <w:r w:rsidR="00363786">
        <w:lastRenderedPageBreak/>
        <w:t>standing</w:t>
      </w:r>
      <w:r w:rsidR="00D677A2">
        <w:t xml:space="preserve"> </w:t>
      </w:r>
      <w:r w:rsidR="00772F4C">
        <w:t>based on an interpretation that, whilst it had merit in her view, was far from being incontrovertible</w:t>
      </w:r>
      <w:r>
        <w:t>.</w:t>
      </w:r>
    </w:p>
    <w:p w:rsidR="00363786" w:rsidRPr="00363786" w:rsidRDefault="00363786" w:rsidP="00E81AFF">
      <w:pPr>
        <w:jc w:val="both"/>
        <w:rPr>
          <w:b/>
        </w:rPr>
      </w:pPr>
      <w:r>
        <w:rPr>
          <w:b/>
        </w:rPr>
        <w:t>The Inner House Endorses Lord Do</w:t>
      </w:r>
      <w:r w:rsidR="00707CAB">
        <w:rPr>
          <w:b/>
        </w:rPr>
        <w:t>herty’s</w:t>
      </w:r>
      <w:r>
        <w:rPr>
          <w:b/>
        </w:rPr>
        <w:t xml:space="preserve"> Interpretation</w:t>
      </w:r>
    </w:p>
    <w:p w:rsidR="00207431" w:rsidRDefault="00772F4C" w:rsidP="00E81AFF">
      <w:pPr>
        <w:jc w:val="both"/>
      </w:pPr>
      <w:r>
        <w:t xml:space="preserve">The Scottish Ministers appealed Lady Clark’s decision to the Inner House.  Sustainable Shetland initially opposed all grounds of appeal, but withdrew its plea to competency </w:t>
      </w:r>
      <w:r w:rsidR="00363786">
        <w:t>before the appeal was heard</w:t>
      </w:r>
      <w:r>
        <w:t>.</w:t>
      </w:r>
      <w:r w:rsidR="00D677A2">
        <w:rPr>
          <w:rStyle w:val="FootnoteReference"/>
        </w:rPr>
        <w:footnoteReference w:id="25"/>
      </w:r>
      <w:r>
        <w:t xml:space="preserve">  Mr Moynihan</w:t>
      </w:r>
      <w:r w:rsidR="00D677A2">
        <w:t xml:space="preserve"> QC</w:t>
      </w:r>
      <w:r>
        <w:t>, the amicus curiae appointed by the Inner House to assist it on questions of competency, also advised before the appeal hearing that he could no longer support the Lord Ordinary’s decision.</w:t>
      </w:r>
      <w:r w:rsidR="00D677A2">
        <w:rPr>
          <w:rStyle w:val="FootnoteReference"/>
        </w:rPr>
        <w:footnoteReference w:id="26"/>
      </w:r>
      <w:r>
        <w:t xml:space="preserve">  Although they were not required to consider the </w:t>
      </w:r>
      <w:r w:rsidR="00207431">
        <w:t xml:space="preserve">competency point, the Lord President, Lord Menzies and Lord Brodie (giving the judgment on </w:t>
      </w:r>
      <w:r w:rsidR="00925807">
        <w:t>behalf of the court</w:t>
      </w:r>
      <w:r w:rsidR="00207431">
        <w:t xml:space="preserve">) let it be known that they agreed “entirely with </w:t>
      </w:r>
      <w:r w:rsidR="00D677A2">
        <w:t>[Lord Doherty’s]</w:t>
      </w:r>
      <w:r w:rsidR="00207431">
        <w:t xml:space="preserve"> reasoning”.</w:t>
      </w:r>
      <w:r w:rsidR="00D677A2">
        <w:rPr>
          <w:rStyle w:val="FootnoteReference"/>
        </w:rPr>
        <w:footnoteReference w:id="27"/>
      </w:r>
      <w:r w:rsidR="00207431">
        <w:t xml:space="preserve"> It was clear, in their view, that the 1989 Act creates two separate permitting regimes for electricity generation, and that the holding of a licence is not a condition precedent to the granting of a section 36 consent.</w:t>
      </w:r>
      <w:r w:rsidR="00D677A2">
        <w:rPr>
          <w:rStyle w:val="FootnoteReference"/>
        </w:rPr>
        <w:footnoteReference w:id="28"/>
      </w:r>
    </w:p>
    <w:p w:rsidR="00363786" w:rsidRDefault="00A23445" w:rsidP="00E81AFF">
      <w:pPr>
        <w:jc w:val="both"/>
        <w:rPr>
          <w:b/>
        </w:rPr>
      </w:pPr>
      <w:r>
        <w:rPr>
          <w:b/>
        </w:rPr>
        <w:t>Has Clarity on the Meaning</w:t>
      </w:r>
      <w:r w:rsidR="00363786">
        <w:rPr>
          <w:b/>
        </w:rPr>
        <w:t xml:space="preserve"> of </w:t>
      </w:r>
      <w:r>
        <w:rPr>
          <w:b/>
        </w:rPr>
        <w:t>Section</w:t>
      </w:r>
      <w:r w:rsidR="00363786">
        <w:rPr>
          <w:b/>
        </w:rPr>
        <w:t xml:space="preserve"> 36 been Restored?</w:t>
      </w:r>
    </w:p>
    <w:p w:rsidR="00715994" w:rsidRDefault="00A23445" w:rsidP="00E81AFF">
      <w:pPr>
        <w:jc w:val="both"/>
      </w:pPr>
      <w:r w:rsidRPr="00A23445">
        <w:t>Regulatory certainty is of great importance for in</w:t>
      </w:r>
      <w:r>
        <w:t xml:space="preserve">vestors in high capital projects such as the construction of new generating plant.  Lord Doherty’s decision and </w:t>
      </w:r>
      <w:r w:rsidR="0005113A">
        <w:t>approval of his views</w:t>
      </w:r>
      <w:r>
        <w:t xml:space="preserve"> from the Inner House have therefore received a warm welcome from the power generation sector</w:t>
      </w:r>
      <w:r w:rsidR="0005113A">
        <w:t>,</w:t>
      </w:r>
      <w:r w:rsidR="00715994">
        <w:rPr>
          <w:rStyle w:val="FootnoteReference"/>
        </w:rPr>
        <w:footnoteReference w:id="29"/>
      </w:r>
      <w:r w:rsidR="0005113A">
        <w:t xml:space="preserve"> </w:t>
      </w:r>
      <w:r>
        <w:t>but have they dispelled completely the doubts over the correct construction of the 1989 Act that Lady Clark’s interpretation raise</w:t>
      </w:r>
      <w:r w:rsidR="0005113A">
        <w:t>d</w:t>
      </w:r>
      <w:r>
        <w:t xml:space="preserve">?  </w:t>
      </w:r>
    </w:p>
    <w:p w:rsidR="00F91AF7" w:rsidRDefault="00A23445" w:rsidP="00E81AFF">
      <w:pPr>
        <w:jc w:val="both"/>
      </w:pPr>
      <w:r>
        <w:t xml:space="preserve">Some of the points on which Lord Doherty relies </w:t>
      </w:r>
      <w:r w:rsidR="00707CAB">
        <w:t xml:space="preserve">to rebut Lady Clark’s reasoning </w:t>
      </w:r>
      <w:r>
        <w:t xml:space="preserve">do not address conclusively the grounds on which </w:t>
      </w:r>
      <w:r w:rsidR="00707CAB">
        <w:t>she</w:t>
      </w:r>
      <w:r>
        <w:t xml:space="preserve"> formed her views.  </w:t>
      </w:r>
      <w:r w:rsidR="0005113A">
        <w:t>For example</w:t>
      </w:r>
      <w:r w:rsidR="00715994">
        <w:t>, h</w:t>
      </w:r>
      <w:r>
        <w:t xml:space="preserve">is interpretation of paragraph 3 of Schedule 9, which </w:t>
      </w:r>
      <w:r w:rsidR="004A5407">
        <w:t>focuses on the wording of one sub-clause,</w:t>
      </w:r>
      <w:r w:rsidR="00715994">
        <w:rPr>
          <w:rStyle w:val="FootnoteReference"/>
        </w:rPr>
        <w:footnoteReference w:id="30"/>
      </w:r>
      <w:r w:rsidR="004A5407">
        <w:t xml:space="preserve"> is </w:t>
      </w:r>
      <w:r w:rsidR="00707CAB">
        <w:t>hard</w:t>
      </w:r>
      <w:r w:rsidR="004A5407">
        <w:t xml:space="preserve"> to sustain when </w:t>
      </w:r>
      <w:r w:rsidR="001C71D5">
        <w:t xml:space="preserve">the </w:t>
      </w:r>
      <w:r w:rsidR="004A5407">
        <w:t>paragraph</w:t>
      </w:r>
      <w:r w:rsidR="00715994">
        <w:t xml:space="preserve"> </w:t>
      </w:r>
      <w:r w:rsidR="004A5407">
        <w:t xml:space="preserve">is considered as a whole.  </w:t>
      </w:r>
      <w:r w:rsidR="00715994">
        <w:t>Even so</w:t>
      </w:r>
      <w:r w:rsidR="00D74E3D">
        <w:t xml:space="preserve">, it is difficult, as the petitioners in </w:t>
      </w:r>
      <w:r w:rsidR="00BF448A" w:rsidRPr="00BF448A">
        <w:rPr>
          <w:i/>
        </w:rPr>
        <w:t>Sustainable Shetland</w:t>
      </w:r>
      <w:r w:rsidR="00D74E3D">
        <w:t xml:space="preserve"> appear to have realised, to disagree with Lord Doherty’s </w:t>
      </w:r>
      <w:r w:rsidR="005F4172">
        <w:t>principal conclusion that obtaining a section 4 licence is not a condition precedent to entitlement to apply for a section 36 consent.  Although some difficulties arise with understanding the relationship between schedule 9 and section 36, the wording of the 1989 Act, on an ordinary reading, does not support such a conclusion.</w:t>
      </w:r>
      <w:r w:rsidR="00A0250F">
        <w:t xml:space="preserve">  </w:t>
      </w:r>
      <w:r w:rsidR="0005113A">
        <w:t xml:space="preserve">In addition, </w:t>
      </w:r>
      <w:r w:rsidR="00B338C6">
        <w:t>the cumulative impression from Lord Doherty’s robust critique</w:t>
      </w:r>
      <w:r w:rsidR="00A0250F">
        <w:t xml:space="preserve"> </w:t>
      </w:r>
      <w:r w:rsidR="00B338C6">
        <w:t>o</w:t>
      </w:r>
      <w:r w:rsidR="00A0250F">
        <w:t xml:space="preserve">f the plea to competency in the </w:t>
      </w:r>
      <w:r w:rsidR="00BF448A" w:rsidRPr="00BF448A">
        <w:rPr>
          <w:i/>
        </w:rPr>
        <w:t>Trump</w:t>
      </w:r>
      <w:r w:rsidR="00A0250F">
        <w:t xml:space="preserve"> case</w:t>
      </w:r>
      <w:r w:rsidR="00B338C6">
        <w:t xml:space="preserve"> is that his interpretation of the 1989 Act, taking into account all of the relevant considerations</w:t>
      </w:r>
      <w:r w:rsidR="00A0250F">
        <w:t>,</w:t>
      </w:r>
      <w:r w:rsidR="00B338C6">
        <w:t xml:space="preserve"> is correct.  S</w:t>
      </w:r>
      <w:r w:rsidR="00A0250F">
        <w:t xml:space="preserve">ome points remain open </w:t>
      </w:r>
      <w:r w:rsidR="0005113A">
        <w:t>for</w:t>
      </w:r>
      <w:r w:rsidR="00A0250F">
        <w:t xml:space="preserve"> debate, </w:t>
      </w:r>
      <w:r w:rsidR="00B338C6">
        <w:t xml:space="preserve">but they are not </w:t>
      </w:r>
      <w:r w:rsidR="00A0250F">
        <w:t>sufficient to sustain a radical re</w:t>
      </w:r>
      <w:r w:rsidR="0005113A">
        <w:t xml:space="preserve">interpretation of the arrangements that the </w:t>
      </w:r>
      <w:r w:rsidR="00B338C6">
        <w:t xml:space="preserve">1989 </w:t>
      </w:r>
      <w:r w:rsidR="00B840AA">
        <w:t>A</w:t>
      </w:r>
      <w:r w:rsidR="0005113A">
        <w:t>ct makes for authorising electricity generation.</w:t>
      </w:r>
      <w:r w:rsidR="00715994">
        <w:t xml:space="preserve">  </w:t>
      </w:r>
      <w:r w:rsidR="0005113A">
        <w:t xml:space="preserve"> </w:t>
      </w:r>
      <w:r w:rsidR="002A4903">
        <w:t xml:space="preserve">  </w:t>
      </w:r>
      <w:r w:rsidR="00E029B9">
        <w:t xml:space="preserve">     </w:t>
      </w:r>
      <w:r w:rsidR="00F91AF7">
        <w:t xml:space="preserve"> </w:t>
      </w:r>
      <w:r w:rsidR="008330BB">
        <w:t xml:space="preserve">  </w:t>
      </w:r>
    </w:p>
    <w:p w:rsidR="00E81AFF" w:rsidRDefault="008330BB" w:rsidP="00E81AFF">
      <w:pPr>
        <w:jc w:val="both"/>
      </w:pPr>
      <w:r>
        <w:t xml:space="preserve">    </w:t>
      </w:r>
      <w:r w:rsidR="00423084">
        <w:t xml:space="preserve">       </w:t>
      </w:r>
      <w:r w:rsidR="00D66F3F">
        <w:t xml:space="preserve">    </w:t>
      </w:r>
      <w:r w:rsidR="00251FF9">
        <w:t xml:space="preserve">    </w:t>
      </w:r>
      <w:r w:rsidR="001237B3">
        <w:t xml:space="preserve">     </w:t>
      </w:r>
      <w:r w:rsidR="008D0B21">
        <w:t xml:space="preserve"> </w:t>
      </w:r>
      <w:r w:rsidR="004A30DE">
        <w:t xml:space="preserve">      </w:t>
      </w:r>
    </w:p>
    <w:p w:rsidR="00B16BEB" w:rsidRDefault="00126A09">
      <w:r>
        <w:t xml:space="preserve">  </w:t>
      </w:r>
    </w:p>
    <w:sectPr w:rsidR="00B16BEB" w:rsidSect="00B16BE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4203" w:rsidRDefault="00084203" w:rsidP="0050794F">
      <w:pPr>
        <w:spacing w:after="0"/>
      </w:pPr>
      <w:r>
        <w:separator/>
      </w:r>
    </w:p>
  </w:endnote>
  <w:endnote w:type="continuationSeparator" w:id="0">
    <w:p w:rsidR="00084203" w:rsidRDefault="00084203" w:rsidP="0050794F">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4203" w:rsidRDefault="00084203" w:rsidP="0050794F">
      <w:pPr>
        <w:spacing w:after="0"/>
      </w:pPr>
      <w:r>
        <w:separator/>
      </w:r>
    </w:p>
  </w:footnote>
  <w:footnote w:type="continuationSeparator" w:id="0">
    <w:p w:rsidR="00084203" w:rsidRDefault="00084203" w:rsidP="0050794F">
      <w:pPr>
        <w:spacing w:after="0"/>
      </w:pPr>
      <w:r>
        <w:continuationSeparator/>
      </w:r>
    </w:p>
  </w:footnote>
  <w:footnote w:id="1">
    <w:p w:rsidR="00EA2C4A" w:rsidRDefault="00EA2C4A">
      <w:pPr>
        <w:pStyle w:val="FootnoteText"/>
      </w:pPr>
      <w:r>
        <w:t>* Lecturer in Law, School of Law, University of Aberdeen. Tel. 01224 272 110.  E-mail: olivia.woolley@abdn.ac.uk.</w:t>
      </w:r>
    </w:p>
    <w:p w:rsidR="0050794F" w:rsidRPr="0050794F" w:rsidRDefault="0050794F">
      <w:pPr>
        <w:pStyle w:val="FootnoteText"/>
      </w:pPr>
      <w:r>
        <w:rPr>
          <w:rStyle w:val="FootnoteReference"/>
        </w:rPr>
        <w:footnoteRef/>
      </w:r>
      <w:r>
        <w:t xml:space="preserve"> </w:t>
      </w:r>
      <w:r>
        <w:rPr>
          <w:i/>
        </w:rPr>
        <w:t>Sustainable Shetland v Scottish Ministers</w:t>
      </w:r>
      <w:r>
        <w:t xml:space="preserve"> [2013] CSOH 158; 2013 S.L.T. 1173 (OH).</w:t>
      </w:r>
    </w:p>
  </w:footnote>
  <w:footnote w:id="2">
    <w:p w:rsidR="0050794F" w:rsidRDefault="0050794F">
      <w:pPr>
        <w:pStyle w:val="FootnoteText"/>
      </w:pPr>
      <w:r>
        <w:rPr>
          <w:rStyle w:val="FootnoteReference"/>
        </w:rPr>
        <w:footnoteRef/>
      </w:r>
      <w:r>
        <w:t xml:space="preserve"> F. Gillies, ‘The implications of the Sustainable Shetland decision’ (2013) </w:t>
      </w:r>
      <w:r>
        <w:rPr>
          <w:i/>
        </w:rPr>
        <w:t>Scottish Planning and Environmental Law</w:t>
      </w:r>
      <w:r>
        <w:t xml:space="preserve">, 132 at 133. </w:t>
      </w:r>
    </w:p>
  </w:footnote>
  <w:footnote w:id="3">
    <w:p w:rsidR="0050794F" w:rsidRDefault="0050794F">
      <w:pPr>
        <w:pStyle w:val="FootnoteText"/>
      </w:pPr>
      <w:r>
        <w:rPr>
          <w:rStyle w:val="FootnoteReference"/>
        </w:rPr>
        <w:footnoteRef/>
      </w:r>
      <w:r>
        <w:t xml:space="preserve"> </w:t>
      </w:r>
      <w:r w:rsidRPr="0050794F">
        <w:rPr>
          <w:i/>
        </w:rPr>
        <w:t>Trump International Golf Club Scotland Ltd v Scottish Ministers</w:t>
      </w:r>
      <w:r>
        <w:t xml:space="preserve"> [2014] CSOH 22; 2014 S.L.T. 406 (OH).</w:t>
      </w:r>
    </w:p>
  </w:footnote>
  <w:footnote w:id="4">
    <w:p w:rsidR="0050794F" w:rsidRPr="0050794F" w:rsidRDefault="0050794F">
      <w:pPr>
        <w:pStyle w:val="FootnoteText"/>
      </w:pPr>
      <w:r>
        <w:rPr>
          <w:rStyle w:val="FootnoteReference"/>
        </w:rPr>
        <w:footnoteRef/>
      </w:r>
      <w:r>
        <w:t xml:space="preserve"> </w:t>
      </w:r>
      <w:r>
        <w:rPr>
          <w:i/>
        </w:rPr>
        <w:t>Sustainable Shetland v Scottish Ministers</w:t>
      </w:r>
      <w:r>
        <w:t xml:space="preserve"> [2014] CSIH 60; S.L.T. 806 (IH (1 Div)).</w:t>
      </w:r>
    </w:p>
  </w:footnote>
  <w:footnote w:id="5">
    <w:p w:rsidR="0050794F" w:rsidRDefault="0050794F">
      <w:pPr>
        <w:pStyle w:val="FootnoteText"/>
      </w:pPr>
      <w:r>
        <w:rPr>
          <w:rStyle w:val="FootnoteReference"/>
        </w:rPr>
        <w:footnoteRef/>
      </w:r>
      <w:r>
        <w:t xml:space="preserve"> Planning Act 2008, s.33(1)(h); Marine and Coastal Access Act 2009, s.12(1).</w:t>
      </w:r>
    </w:p>
  </w:footnote>
  <w:footnote w:id="6">
    <w:p w:rsidR="0050794F" w:rsidRDefault="0050794F">
      <w:pPr>
        <w:pStyle w:val="FootnoteText"/>
      </w:pPr>
      <w:r>
        <w:rPr>
          <w:rStyle w:val="FootnoteReference"/>
        </w:rPr>
        <w:footnoteRef/>
      </w:r>
      <w:r>
        <w:t xml:space="preserve"> </w:t>
      </w:r>
      <w:r w:rsidR="00DE57C8">
        <w:t>Electricity Act 1989, Sch 9 para 3(2).</w:t>
      </w:r>
    </w:p>
  </w:footnote>
  <w:footnote w:id="7">
    <w:p w:rsidR="00DE57C8" w:rsidRDefault="00DE57C8">
      <w:pPr>
        <w:pStyle w:val="FootnoteText"/>
      </w:pPr>
      <w:r>
        <w:rPr>
          <w:rStyle w:val="FootnoteReference"/>
        </w:rPr>
        <w:footnoteRef/>
      </w:r>
      <w:r>
        <w:t xml:space="preserve"> ‘Sustainable Shetland’ [2013], paras 74-81. </w:t>
      </w:r>
    </w:p>
  </w:footnote>
  <w:footnote w:id="8">
    <w:p w:rsidR="00DE57C8" w:rsidRDefault="00DE57C8">
      <w:pPr>
        <w:pStyle w:val="FootnoteText"/>
      </w:pPr>
      <w:r>
        <w:rPr>
          <w:rStyle w:val="FootnoteReference"/>
        </w:rPr>
        <w:footnoteRef/>
      </w:r>
      <w:r>
        <w:t xml:space="preserve"> Ibid., para 101.</w:t>
      </w:r>
    </w:p>
  </w:footnote>
  <w:footnote w:id="9">
    <w:p w:rsidR="00DE57C8" w:rsidRDefault="00DE57C8">
      <w:pPr>
        <w:pStyle w:val="FootnoteText"/>
      </w:pPr>
      <w:r>
        <w:rPr>
          <w:rStyle w:val="FootnoteReference"/>
        </w:rPr>
        <w:footnoteRef/>
      </w:r>
      <w:r>
        <w:t xml:space="preserve"> Ibid., paras 101-9.</w:t>
      </w:r>
    </w:p>
  </w:footnote>
  <w:footnote w:id="10">
    <w:p w:rsidR="00DE57C8" w:rsidRDefault="00DE57C8">
      <w:pPr>
        <w:pStyle w:val="FootnoteText"/>
      </w:pPr>
      <w:r>
        <w:rPr>
          <w:rStyle w:val="FootnoteReference"/>
        </w:rPr>
        <w:footnoteRef/>
      </w:r>
      <w:r>
        <w:t xml:space="preserve"> Ibid., para 115.</w:t>
      </w:r>
    </w:p>
  </w:footnote>
  <w:footnote w:id="11">
    <w:p w:rsidR="00DE57C8" w:rsidRDefault="00DE57C8">
      <w:pPr>
        <w:pStyle w:val="FootnoteText"/>
      </w:pPr>
      <w:r>
        <w:rPr>
          <w:rStyle w:val="FootnoteReference"/>
        </w:rPr>
        <w:footnoteRef/>
      </w:r>
      <w:r>
        <w:t xml:space="preserve"> Ibid. para 113.</w:t>
      </w:r>
    </w:p>
  </w:footnote>
  <w:footnote w:id="12">
    <w:p w:rsidR="00DE57C8" w:rsidRDefault="00DE57C8">
      <w:pPr>
        <w:pStyle w:val="FootnoteText"/>
      </w:pPr>
      <w:r>
        <w:rPr>
          <w:rStyle w:val="FootnoteReference"/>
        </w:rPr>
        <w:footnoteRef/>
      </w:r>
      <w:r>
        <w:t xml:space="preserve"> ‘Trump International’, para 4.</w:t>
      </w:r>
    </w:p>
  </w:footnote>
  <w:footnote w:id="13">
    <w:p w:rsidR="00DE57C8" w:rsidRDefault="00DE57C8">
      <w:pPr>
        <w:pStyle w:val="FootnoteText"/>
      </w:pPr>
      <w:r>
        <w:rPr>
          <w:rStyle w:val="FootnoteReference"/>
        </w:rPr>
        <w:footnoteRef/>
      </w:r>
      <w:r>
        <w:t xml:space="preserve"> Ibid., para 30-4.</w:t>
      </w:r>
    </w:p>
  </w:footnote>
  <w:footnote w:id="14">
    <w:p w:rsidR="00DE57C8" w:rsidRDefault="00DE57C8">
      <w:pPr>
        <w:pStyle w:val="FootnoteText"/>
      </w:pPr>
      <w:r>
        <w:rPr>
          <w:rStyle w:val="FootnoteReference"/>
        </w:rPr>
        <w:footnoteRef/>
      </w:r>
      <w:r>
        <w:t xml:space="preserve"> Ibid.</w:t>
      </w:r>
    </w:p>
  </w:footnote>
  <w:footnote w:id="15">
    <w:p w:rsidR="00DE57C8" w:rsidRDefault="00DE57C8">
      <w:pPr>
        <w:pStyle w:val="FootnoteText"/>
      </w:pPr>
      <w:r>
        <w:rPr>
          <w:rStyle w:val="FootnoteReference"/>
        </w:rPr>
        <w:footnoteRef/>
      </w:r>
      <w:r>
        <w:t xml:space="preserve"> Ibid., para 31.</w:t>
      </w:r>
    </w:p>
  </w:footnote>
  <w:footnote w:id="16">
    <w:p w:rsidR="00DE57C8" w:rsidRDefault="00DE57C8">
      <w:pPr>
        <w:pStyle w:val="FootnoteText"/>
      </w:pPr>
      <w:r>
        <w:rPr>
          <w:rStyle w:val="FootnoteReference"/>
        </w:rPr>
        <w:footnoteRef/>
      </w:r>
      <w:r>
        <w:t xml:space="preserve"> Ibid., paras 34-6.</w:t>
      </w:r>
    </w:p>
  </w:footnote>
  <w:footnote w:id="17">
    <w:p w:rsidR="00DE57C8" w:rsidRDefault="00DE57C8">
      <w:pPr>
        <w:pStyle w:val="FootnoteText"/>
      </w:pPr>
      <w:r>
        <w:rPr>
          <w:rStyle w:val="FootnoteReference"/>
        </w:rPr>
        <w:footnoteRef/>
      </w:r>
      <w:r>
        <w:t xml:space="preserve"> Ibid., paras 35-6.</w:t>
      </w:r>
    </w:p>
  </w:footnote>
  <w:footnote w:id="18">
    <w:p w:rsidR="00DE57C8" w:rsidRDefault="00DE57C8">
      <w:pPr>
        <w:pStyle w:val="FootnoteText"/>
      </w:pPr>
      <w:r>
        <w:rPr>
          <w:rStyle w:val="FootnoteReference"/>
        </w:rPr>
        <w:footnoteRef/>
      </w:r>
      <w:r>
        <w:t xml:space="preserve"> Ibid., </w:t>
      </w:r>
      <w:r w:rsidR="00D677A2">
        <w:t>para 36.</w:t>
      </w:r>
    </w:p>
  </w:footnote>
  <w:footnote w:id="19">
    <w:p w:rsidR="00D677A2" w:rsidRDefault="00D677A2">
      <w:pPr>
        <w:pStyle w:val="FootnoteText"/>
      </w:pPr>
      <w:r>
        <w:rPr>
          <w:rStyle w:val="FootnoteReference"/>
        </w:rPr>
        <w:footnoteRef/>
      </w:r>
      <w:r>
        <w:t xml:space="preserve"> Ibid., para 39.</w:t>
      </w:r>
    </w:p>
  </w:footnote>
  <w:footnote w:id="20">
    <w:p w:rsidR="00D677A2" w:rsidRDefault="00D677A2">
      <w:pPr>
        <w:pStyle w:val="FootnoteText"/>
      </w:pPr>
      <w:r>
        <w:rPr>
          <w:rStyle w:val="FootnoteReference"/>
        </w:rPr>
        <w:footnoteRef/>
      </w:r>
      <w:r>
        <w:t xml:space="preserve"> Ibid., para 36.</w:t>
      </w:r>
    </w:p>
  </w:footnote>
  <w:footnote w:id="21">
    <w:p w:rsidR="00D677A2" w:rsidRDefault="00D677A2">
      <w:pPr>
        <w:pStyle w:val="FootnoteText"/>
      </w:pPr>
      <w:r>
        <w:rPr>
          <w:rStyle w:val="FootnoteReference"/>
        </w:rPr>
        <w:footnoteRef/>
      </w:r>
      <w:r>
        <w:t xml:space="preserve"> Ibid., para 38.</w:t>
      </w:r>
    </w:p>
  </w:footnote>
  <w:footnote w:id="22">
    <w:p w:rsidR="00D677A2" w:rsidRDefault="00D677A2">
      <w:pPr>
        <w:pStyle w:val="FootnoteText"/>
      </w:pPr>
      <w:r>
        <w:rPr>
          <w:rStyle w:val="FootnoteReference"/>
        </w:rPr>
        <w:footnoteRef/>
      </w:r>
      <w:r>
        <w:t xml:space="preserve"> Ibid., paras 41-4.</w:t>
      </w:r>
    </w:p>
  </w:footnote>
  <w:footnote w:id="23">
    <w:p w:rsidR="00D677A2" w:rsidRDefault="00D677A2">
      <w:pPr>
        <w:pStyle w:val="FootnoteText"/>
      </w:pPr>
      <w:r>
        <w:rPr>
          <w:rStyle w:val="FootnoteReference"/>
        </w:rPr>
        <w:footnoteRef/>
      </w:r>
      <w:r>
        <w:t xml:space="preserve"> Ibid., para 41.</w:t>
      </w:r>
    </w:p>
  </w:footnote>
  <w:footnote w:id="24">
    <w:p w:rsidR="00D677A2" w:rsidRDefault="00D677A2">
      <w:pPr>
        <w:pStyle w:val="FootnoteText"/>
      </w:pPr>
      <w:r>
        <w:rPr>
          <w:rStyle w:val="FootnoteReference"/>
        </w:rPr>
        <w:footnoteRef/>
      </w:r>
      <w:r>
        <w:t xml:space="preserve"> Ibid., para 36.</w:t>
      </w:r>
    </w:p>
  </w:footnote>
  <w:footnote w:id="25">
    <w:p w:rsidR="00D677A2" w:rsidRDefault="00D677A2">
      <w:pPr>
        <w:pStyle w:val="FootnoteText"/>
      </w:pPr>
      <w:r>
        <w:rPr>
          <w:rStyle w:val="FootnoteReference"/>
        </w:rPr>
        <w:footnoteRef/>
      </w:r>
      <w:r>
        <w:t xml:space="preserve"> ‘Sustainable Shetland’ [2014], para 17.</w:t>
      </w:r>
    </w:p>
  </w:footnote>
  <w:footnote w:id="26">
    <w:p w:rsidR="00D677A2" w:rsidRDefault="00D677A2">
      <w:pPr>
        <w:pStyle w:val="FootnoteText"/>
      </w:pPr>
      <w:r>
        <w:rPr>
          <w:rStyle w:val="FootnoteReference"/>
        </w:rPr>
        <w:footnoteRef/>
      </w:r>
      <w:r>
        <w:t xml:space="preserve"> Ibid.</w:t>
      </w:r>
    </w:p>
  </w:footnote>
  <w:footnote w:id="27">
    <w:p w:rsidR="00D677A2" w:rsidRDefault="00D677A2">
      <w:pPr>
        <w:pStyle w:val="FootnoteText"/>
      </w:pPr>
      <w:r>
        <w:rPr>
          <w:rStyle w:val="FootnoteReference"/>
        </w:rPr>
        <w:footnoteRef/>
      </w:r>
      <w:r>
        <w:t xml:space="preserve"> Ibid., para 19.</w:t>
      </w:r>
    </w:p>
  </w:footnote>
  <w:footnote w:id="28">
    <w:p w:rsidR="00D677A2" w:rsidRDefault="00D677A2">
      <w:pPr>
        <w:pStyle w:val="FootnoteText"/>
      </w:pPr>
      <w:r>
        <w:rPr>
          <w:rStyle w:val="FootnoteReference"/>
        </w:rPr>
        <w:footnoteRef/>
      </w:r>
      <w:r>
        <w:t xml:space="preserve"> Ibid.</w:t>
      </w:r>
    </w:p>
  </w:footnote>
  <w:footnote w:id="29">
    <w:p w:rsidR="00715994" w:rsidRPr="00715994" w:rsidRDefault="00715994">
      <w:pPr>
        <w:pStyle w:val="FootnoteText"/>
      </w:pPr>
      <w:r>
        <w:rPr>
          <w:rStyle w:val="FootnoteReference"/>
        </w:rPr>
        <w:footnoteRef/>
      </w:r>
      <w:r>
        <w:t xml:space="preserve"> F. Gillies, ‘Clarity in the interpretation of s.36 of the Electricity Act 1989’ (2014) </w:t>
      </w:r>
      <w:r>
        <w:rPr>
          <w:i/>
        </w:rPr>
        <w:t>Scottish Planning and Environmental Law</w:t>
      </w:r>
      <w:r>
        <w:t>, 91 at 92.</w:t>
      </w:r>
    </w:p>
  </w:footnote>
  <w:footnote w:id="30">
    <w:p w:rsidR="00715994" w:rsidRDefault="00715994">
      <w:pPr>
        <w:pStyle w:val="FootnoteText"/>
      </w:pPr>
      <w:r>
        <w:rPr>
          <w:rStyle w:val="FootnoteReference"/>
        </w:rPr>
        <w:footnoteRef/>
      </w:r>
      <w:r>
        <w:t xml:space="preserve"> Electricity Act 1989, Schedule 9 para 3(2)(a).</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footnotePr>
    <w:footnote w:id="-1"/>
    <w:footnote w:id="0"/>
  </w:footnotePr>
  <w:endnotePr>
    <w:endnote w:id="-1"/>
    <w:endnote w:id="0"/>
  </w:endnotePr>
  <w:compat/>
  <w:rsids>
    <w:rsidRoot w:val="00126A09"/>
    <w:rsid w:val="0005113A"/>
    <w:rsid w:val="00084203"/>
    <w:rsid w:val="000A5944"/>
    <w:rsid w:val="000C165C"/>
    <w:rsid w:val="000F4E09"/>
    <w:rsid w:val="001237B3"/>
    <w:rsid w:val="00126A09"/>
    <w:rsid w:val="00153EA4"/>
    <w:rsid w:val="00165F37"/>
    <w:rsid w:val="00173069"/>
    <w:rsid w:val="001C71D5"/>
    <w:rsid w:val="0020072C"/>
    <w:rsid w:val="00207431"/>
    <w:rsid w:val="0021424C"/>
    <w:rsid w:val="00251FF9"/>
    <w:rsid w:val="002773C0"/>
    <w:rsid w:val="002817A3"/>
    <w:rsid w:val="002824DB"/>
    <w:rsid w:val="002A4903"/>
    <w:rsid w:val="003030A7"/>
    <w:rsid w:val="003071C1"/>
    <w:rsid w:val="00320579"/>
    <w:rsid w:val="00363786"/>
    <w:rsid w:val="0036783D"/>
    <w:rsid w:val="003A2079"/>
    <w:rsid w:val="003B3D0A"/>
    <w:rsid w:val="003C6260"/>
    <w:rsid w:val="003E10F0"/>
    <w:rsid w:val="00423084"/>
    <w:rsid w:val="00441F58"/>
    <w:rsid w:val="00443766"/>
    <w:rsid w:val="004669CB"/>
    <w:rsid w:val="00472053"/>
    <w:rsid w:val="00476738"/>
    <w:rsid w:val="004A30DE"/>
    <w:rsid w:val="004A5407"/>
    <w:rsid w:val="004C52DD"/>
    <w:rsid w:val="004D36EC"/>
    <w:rsid w:val="004F4332"/>
    <w:rsid w:val="0050794F"/>
    <w:rsid w:val="00552CF3"/>
    <w:rsid w:val="00552F08"/>
    <w:rsid w:val="005A4825"/>
    <w:rsid w:val="005D6911"/>
    <w:rsid w:val="005E1FBB"/>
    <w:rsid w:val="005F4172"/>
    <w:rsid w:val="006021CF"/>
    <w:rsid w:val="00642FFE"/>
    <w:rsid w:val="00650AFE"/>
    <w:rsid w:val="00666AB2"/>
    <w:rsid w:val="00672A99"/>
    <w:rsid w:val="006E50AD"/>
    <w:rsid w:val="00707CAB"/>
    <w:rsid w:val="00715994"/>
    <w:rsid w:val="00772F4C"/>
    <w:rsid w:val="007E7AAB"/>
    <w:rsid w:val="00800A24"/>
    <w:rsid w:val="00801EDA"/>
    <w:rsid w:val="00832CFC"/>
    <w:rsid w:val="008330BB"/>
    <w:rsid w:val="008B572A"/>
    <w:rsid w:val="008C6091"/>
    <w:rsid w:val="008D0B21"/>
    <w:rsid w:val="00914E39"/>
    <w:rsid w:val="00915DE9"/>
    <w:rsid w:val="00925807"/>
    <w:rsid w:val="009456D4"/>
    <w:rsid w:val="00994A20"/>
    <w:rsid w:val="009B3B73"/>
    <w:rsid w:val="00A0250F"/>
    <w:rsid w:val="00A22862"/>
    <w:rsid w:val="00A23445"/>
    <w:rsid w:val="00A856C0"/>
    <w:rsid w:val="00AD1CDF"/>
    <w:rsid w:val="00AD602A"/>
    <w:rsid w:val="00AD7EF5"/>
    <w:rsid w:val="00AE6B6C"/>
    <w:rsid w:val="00B16BEB"/>
    <w:rsid w:val="00B338C6"/>
    <w:rsid w:val="00B77CA9"/>
    <w:rsid w:val="00B840AA"/>
    <w:rsid w:val="00BA681F"/>
    <w:rsid w:val="00BE4C96"/>
    <w:rsid w:val="00BE5663"/>
    <w:rsid w:val="00BF448A"/>
    <w:rsid w:val="00C00BBA"/>
    <w:rsid w:val="00C2718D"/>
    <w:rsid w:val="00C420D9"/>
    <w:rsid w:val="00CB3092"/>
    <w:rsid w:val="00CD010D"/>
    <w:rsid w:val="00D66F3F"/>
    <w:rsid w:val="00D677A2"/>
    <w:rsid w:val="00D74E3D"/>
    <w:rsid w:val="00DA2259"/>
    <w:rsid w:val="00DE57C8"/>
    <w:rsid w:val="00E029B9"/>
    <w:rsid w:val="00E369AA"/>
    <w:rsid w:val="00E36F6E"/>
    <w:rsid w:val="00E375DD"/>
    <w:rsid w:val="00E40011"/>
    <w:rsid w:val="00E525B6"/>
    <w:rsid w:val="00E52DBA"/>
    <w:rsid w:val="00E70305"/>
    <w:rsid w:val="00E74F1F"/>
    <w:rsid w:val="00E81AFF"/>
    <w:rsid w:val="00E821DF"/>
    <w:rsid w:val="00E84A85"/>
    <w:rsid w:val="00E97757"/>
    <w:rsid w:val="00EA2C4A"/>
    <w:rsid w:val="00EA7BC2"/>
    <w:rsid w:val="00EB1943"/>
    <w:rsid w:val="00ED438F"/>
    <w:rsid w:val="00ED68A4"/>
    <w:rsid w:val="00EE30BB"/>
    <w:rsid w:val="00F03A67"/>
    <w:rsid w:val="00F42C74"/>
    <w:rsid w:val="00F705C9"/>
    <w:rsid w:val="00F91AF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BE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0794F"/>
    <w:pPr>
      <w:spacing w:after="0"/>
    </w:pPr>
    <w:rPr>
      <w:sz w:val="20"/>
      <w:szCs w:val="20"/>
    </w:rPr>
  </w:style>
  <w:style w:type="character" w:customStyle="1" w:styleId="FootnoteTextChar">
    <w:name w:val="Footnote Text Char"/>
    <w:basedOn w:val="DefaultParagraphFont"/>
    <w:link w:val="FootnoteText"/>
    <w:uiPriority w:val="99"/>
    <w:semiHidden/>
    <w:rsid w:val="0050794F"/>
    <w:rPr>
      <w:sz w:val="20"/>
      <w:szCs w:val="20"/>
    </w:rPr>
  </w:style>
  <w:style w:type="character" w:styleId="FootnoteReference">
    <w:name w:val="footnote reference"/>
    <w:basedOn w:val="DefaultParagraphFont"/>
    <w:uiPriority w:val="99"/>
    <w:semiHidden/>
    <w:unhideWhenUsed/>
    <w:rsid w:val="0050794F"/>
    <w:rPr>
      <w:vertAlign w:val="superscript"/>
    </w:rPr>
  </w:style>
  <w:style w:type="paragraph" w:styleId="BalloonText">
    <w:name w:val="Balloon Text"/>
    <w:basedOn w:val="Normal"/>
    <w:link w:val="BalloonTextChar"/>
    <w:uiPriority w:val="99"/>
    <w:semiHidden/>
    <w:unhideWhenUsed/>
    <w:rsid w:val="000C165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165C"/>
    <w:rPr>
      <w:rFonts w:ascii="Tahoma" w:hAnsi="Tahoma" w:cs="Tahoma"/>
      <w:sz w:val="16"/>
      <w:szCs w:val="16"/>
    </w:rPr>
  </w:style>
  <w:style w:type="character" w:styleId="CommentReference">
    <w:name w:val="annotation reference"/>
    <w:basedOn w:val="DefaultParagraphFont"/>
    <w:uiPriority w:val="99"/>
    <w:semiHidden/>
    <w:unhideWhenUsed/>
    <w:rsid w:val="000C165C"/>
    <w:rPr>
      <w:sz w:val="16"/>
      <w:szCs w:val="16"/>
    </w:rPr>
  </w:style>
  <w:style w:type="paragraph" w:styleId="CommentText">
    <w:name w:val="annotation text"/>
    <w:basedOn w:val="Normal"/>
    <w:link w:val="CommentTextChar"/>
    <w:uiPriority w:val="99"/>
    <w:semiHidden/>
    <w:unhideWhenUsed/>
    <w:rsid w:val="000C165C"/>
    <w:rPr>
      <w:sz w:val="20"/>
      <w:szCs w:val="20"/>
    </w:rPr>
  </w:style>
  <w:style w:type="character" w:customStyle="1" w:styleId="CommentTextChar">
    <w:name w:val="Comment Text Char"/>
    <w:basedOn w:val="DefaultParagraphFont"/>
    <w:link w:val="CommentText"/>
    <w:uiPriority w:val="99"/>
    <w:semiHidden/>
    <w:rsid w:val="000C165C"/>
    <w:rPr>
      <w:sz w:val="20"/>
      <w:szCs w:val="20"/>
    </w:rPr>
  </w:style>
  <w:style w:type="paragraph" w:styleId="CommentSubject">
    <w:name w:val="annotation subject"/>
    <w:basedOn w:val="CommentText"/>
    <w:next w:val="CommentText"/>
    <w:link w:val="CommentSubjectChar"/>
    <w:uiPriority w:val="99"/>
    <w:semiHidden/>
    <w:unhideWhenUsed/>
    <w:rsid w:val="000C165C"/>
    <w:rPr>
      <w:b/>
      <w:bCs/>
    </w:rPr>
  </w:style>
  <w:style w:type="character" w:customStyle="1" w:styleId="CommentSubjectChar">
    <w:name w:val="Comment Subject Char"/>
    <w:basedOn w:val="CommentTextChar"/>
    <w:link w:val="CommentSubject"/>
    <w:uiPriority w:val="99"/>
    <w:semiHidden/>
    <w:rsid w:val="000C165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BE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0794F"/>
    <w:pPr>
      <w:spacing w:after="0"/>
    </w:pPr>
    <w:rPr>
      <w:sz w:val="20"/>
      <w:szCs w:val="20"/>
    </w:rPr>
  </w:style>
  <w:style w:type="character" w:customStyle="1" w:styleId="FootnoteTextChar">
    <w:name w:val="Footnote Text Char"/>
    <w:basedOn w:val="DefaultParagraphFont"/>
    <w:link w:val="FootnoteText"/>
    <w:uiPriority w:val="99"/>
    <w:semiHidden/>
    <w:rsid w:val="0050794F"/>
    <w:rPr>
      <w:sz w:val="20"/>
      <w:szCs w:val="20"/>
    </w:rPr>
  </w:style>
  <w:style w:type="character" w:styleId="FootnoteReference">
    <w:name w:val="footnote reference"/>
    <w:basedOn w:val="DefaultParagraphFont"/>
    <w:uiPriority w:val="99"/>
    <w:semiHidden/>
    <w:unhideWhenUsed/>
    <w:rsid w:val="0050794F"/>
    <w:rPr>
      <w:vertAlign w:val="superscript"/>
    </w:rPr>
  </w:style>
  <w:style w:type="paragraph" w:styleId="BalloonText">
    <w:name w:val="Balloon Text"/>
    <w:basedOn w:val="Normal"/>
    <w:link w:val="BalloonTextChar"/>
    <w:uiPriority w:val="99"/>
    <w:semiHidden/>
    <w:unhideWhenUsed/>
    <w:rsid w:val="000C165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165C"/>
    <w:rPr>
      <w:rFonts w:ascii="Tahoma" w:hAnsi="Tahoma" w:cs="Tahoma"/>
      <w:sz w:val="16"/>
      <w:szCs w:val="16"/>
    </w:rPr>
  </w:style>
  <w:style w:type="character" w:styleId="CommentReference">
    <w:name w:val="annotation reference"/>
    <w:basedOn w:val="DefaultParagraphFont"/>
    <w:uiPriority w:val="99"/>
    <w:semiHidden/>
    <w:unhideWhenUsed/>
    <w:rsid w:val="000C165C"/>
    <w:rPr>
      <w:sz w:val="16"/>
      <w:szCs w:val="16"/>
    </w:rPr>
  </w:style>
  <w:style w:type="paragraph" w:styleId="CommentText">
    <w:name w:val="annotation text"/>
    <w:basedOn w:val="Normal"/>
    <w:link w:val="CommentTextChar"/>
    <w:uiPriority w:val="99"/>
    <w:semiHidden/>
    <w:unhideWhenUsed/>
    <w:rsid w:val="000C165C"/>
    <w:rPr>
      <w:sz w:val="20"/>
      <w:szCs w:val="20"/>
    </w:rPr>
  </w:style>
  <w:style w:type="character" w:customStyle="1" w:styleId="CommentTextChar">
    <w:name w:val="Comment Text Char"/>
    <w:basedOn w:val="DefaultParagraphFont"/>
    <w:link w:val="CommentText"/>
    <w:uiPriority w:val="99"/>
    <w:semiHidden/>
    <w:rsid w:val="000C165C"/>
    <w:rPr>
      <w:sz w:val="20"/>
      <w:szCs w:val="20"/>
    </w:rPr>
  </w:style>
  <w:style w:type="paragraph" w:styleId="CommentSubject">
    <w:name w:val="annotation subject"/>
    <w:basedOn w:val="CommentText"/>
    <w:next w:val="CommentText"/>
    <w:link w:val="CommentSubjectChar"/>
    <w:uiPriority w:val="99"/>
    <w:semiHidden/>
    <w:unhideWhenUsed/>
    <w:rsid w:val="000C165C"/>
    <w:rPr>
      <w:b/>
      <w:bCs/>
    </w:rPr>
  </w:style>
  <w:style w:type="character" w:customStyle="1" w:styleId="CommentSubjectChar">
    <w:name w:val="Comment Subject Char"/>
    <w:basedOn w:val="CommentTextChar"/>
    <w:link w:val="CommentSubject"/>
    <w:uiPriority w:val="99"/>
    <w:semiHidden/>
    <w:rsid w:val="000C165C"/>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ABE87B-471E-42FD-B8FE-95666B726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1981</Words>
  <Characters>11293</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13248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s01ow3</dc:creator>
  <cp:lastModifiedBy>s01ow3</cp:lastModifiedBy>
  <cp:revision>2</cp:revision>
  <cp:lastPrinted>2014-09-27T10:54:00Z</cp:lastPrinted>
  <dcterms:created xsi:type="dcterms:W3CDTF">2014-10-08T16:05:00Z</dcterms:created>
  <dcterms:modified xsi:type="dcterms:W3CDTF">2014-10-08T16:05:00Z</dcterms:modified>
</cp:coreProperties>
</file>