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2CB87F9" w14:textId="77777777" w:rsidR="00B10482" w:rsidRDefault="00B10482" w:rsidP="00D31C30">
      <w:pPr>
        <w:pStyle w:val="Heading1"/>
        <w:jc w:val="both"/>
      </w:pPr>
      <w:r>
        <w:t>Abst</w:t>
      </w:r>
      <w:bookmarkStart w:id="0" w:name="_GoBack"/>
      <w:bookmarkEnd w:id="0"/>
      <w:r>
        <w:t>ract</w:t>
      </w:r>
    </w:p>
    <w:p w14:paraId="052C4A48" w14:textId="77777777" w:rsidR="002B6117" w:rsidRPr="00A275AF" w:rsidRDefault="002B6117" w:rsidP="00D31C30">
      <w:pPr>
        <w:pStyle w:val="Heading2"/>
      </w:pPr>
      <w:r w:rsidRPr="00A275AF">
        <w:t>Background</w:t>
      </w:r>
    </w:p>
    <w:p w14:paraId="0F2A5226" w14:textId="77777777" w:rsidR="002B6117" w:rsidRDefault="002B6117" w:rsidP="00D31C30">
      <w:pPr>
        <w:jc w:val="both"/>
      </w:pPr>
      <w:r>
        <w:t xml:space="preserve">Critical illness requires </w:t>
      </w:r>
      <w:r w:rsidR="00406232">
        <w:t>specialist and timely management</w:t>
      </w:r>
      <w:r w:rsidR="00EE702F">
        <w:t xml:space="preserve">. </w:t>
      </w:r>
      <w:r>
        <w:t xml:space="preserve">The aim of this study was to </w:t>
      </w:r>
      <w:r w:rsidR="00873959">
        <w:t xml:space="preserve">create </w:t>
      </w:r>
      <w:r w:rsidR="00EE702F">
        <w:t>a geographic accessibility profile of the Scottish population to Emergency Departments and Intensive Care Units</w:t>
      </w:r>
      <w:r>
        <w:t xml:space="preserve">. </w:t>
      </w:r>
    </w:p>
    <w:p w14:paraId="659E32CD" w14:textId="77777777" w:rsidR="002B6117" w:rsidRPr="00A275AF" w:rsidRDefault="002B6117" w:rsidP="00D31C30">
      <w:pPr>
        <w:pStyle w:val="Heading2"/>
      </w:pPr>
      <w:r w:rsidRPr="00A275AF">
        <w:t>Methods</w:t>
      </w:r>
    </w:p>
    <w:p w14:paraId="010FC8C1" w14:textId="7ED271BA" w:rsidR="002B6117" w:rsidRDefault="00EE702F" w:rsidP="00D31C30">
      <w:pPr>
        <w:jc w:val="both"/>
      </w:pPr>
      <w:r>
        <w:t>Th</w:t>
      </w:r>
      <w:r w:rsidR="008068A5">
        <w:t>is was a descriptive</w:t>
      </w:r>
      <w:r w:rsidR="00EB160A">
        <w:t>,</w:t>
      </w:r>
      <w:r w:rsidR="002B6117">
        <w:t xml:space="preserve"> </w:t>
      </w:r>
      <w:r w:rsidR="00EB160A">
        <w:t xml:space="preserve">geographical </w:t>
      </w:r>
      <w:r w:rsidR="002B6117">
        <w:t>analysis of population access to “intermediate” and “definitive” critical care services in Scotland. Access was defined by the number of people able to reach services within 45</w:t>
      </w:r>
      <w:r w:rsidR="00EB160A">
        <w:t xml:space="preserve"> and 60</w:t>
      </w:r>
      <w:r w:rsidR="002B6117">
        <w:t xml:space="preserve"> minutes, by road and by helicopter. </w:t>
      </w:r>
      <w:r>
        <w:t>Access was analysed by health</w:t>
      </w:r>
      <w:r w:rsidR="00EB160A">
        <w:t xml:space="preserve"> </w:t>
      </w:r>
      <w:r>
        <w:t>board, rurality and as a country</w:t>
      </w:r>
      <w:r w:rsidR="00EB160A">
        <w:t xml:space="preserve">, using </w:t>
      </w:r>
      <w:r w:rsidR="00EC574D">
        <w:t xml:space="preserve">freely available </w:t>
      </w:r>
      <w:r>
        <w:t>g</w:t>
      </w:r>
      <w:r w:rsidR="002B6117">
        <w:t>eographic</w:t>
      </w:r>
      <w:r w:rsidR="00EC574D">
        <w:t xml:space="preserve">ally-referenced population data. </w:t>
      </w:r>
    </w:p>
    <w:p w14:paraId="55954544" w14:textId="77777777" w:rsidR="002B6117" w:rsidRPr="00A275AF" w:rsidRDefault="002B6117" w:rsidP="00D31C30">
      <w:pPr>
        <w:pStyle w:val="Heading2"/>
      </w:pPr>
      <w:r w:rsidRPr="00A275AF">
        <w:t>Results</w:t>
      </w:r>
    </w:p>
    <w:p w14:paraId="5A8F2189" w14:textId="623C9774" w:rsidR="002B6117" w:rsidRDefault="008E7DD6" w:rsidP="00D31C30">
      <w:pPr>
        <w:jc w:val="both"/>
      </w:pPr>
      <w:r>
        <w:t>96</w:t>
      </w:r>
      <w:r w:rsidR="002B6117">
        <w:t>% of the population reside within a 45 minute drive of the nearest intermediate critical care facility</w:t>
      </w:r>
      <w:r w:rsidR="00EB160A">
        <w:t>, and</w:t>
      </w:r>
      <w:r>
        <w:t xml:space="preserve"> 94</w:t>
      </w:r>
      <w:r w:rsidR="002B6117">
        <w:t xml:space="preserve">% of the population live within a 45 minute ambulance drive time to the nearest </w:t>
      </w:r>
      <w:r w:rsidR="00EB160A">
        <w:t>intensive care unit</w:t>
      </w:r>
      <w:r w:rsidR="002B6117">
        <w:t xml:space="preserve">. By helicopter, </w:t>
      </w:r>
      <w:r w:rsidR="00517B09">
        <w:t>these figures were 95% and 91% respectively</w:t>
      </w:r>
      <w:r w:rsidR="002B6117">
        <w:t xml:space="preserve">. </w:t>
      </w:r>
      <w:r w:rsidR="00517B09">
        <w:t>Some health boards had no access to defi</w:t>
      </w:r>
      <w:r w:rsidR="008068A5">
        <w:t>nitive critical care services within 45 minutes via helicopter or road</w:t>
      </w:r>
      <w:r w:rsidR="00517B09">
        <w:t xml:space="preserve">. </w:t>
      </w:r>
      <w:r w:rsidR="00EB160A">
        <w:t>Very remote small towns and very remote rural areas had poorer access than less remote and rural regions.</w:t>
      </w:r>
    </w:p>
    <w:p w14:paraId="40067649" w14:textId="77777777" w:rsidR="00F93287" w:rsidRDefault="00F93287" w:rsidP="00D31C30">
      <w:pPr>
        <w:jc w:val="both"/>
      </w:pPr>
    </w:p>
    <w:p w14:paraId="52F4AF7A" w14:textId="77777777" w:rsidR="00F93287" w:rsidRDefault="00F93287" w:rsidP="00D31C30">
      <w:pPr>
        <w:jc w:val="both"/>
      </w:pPr>
    </w:p>
    <w:p w14:paraId="0FFCB6D0" w14:textId="77777777" w:rsidR="00F93287" w:rsidRDefault="00F93287" w:rsidP="00D31C30">
      <w:pPr>
        <w:jc w:val="both"/>
      </w:pPr>
    </w:p>
    <w:p w14:paraId="6CFDF4B8" w14:textId="77777777" w:rsidR="00F93287" w:rsidRDefault="00F93287" w:rsidP="00D31C30">
      <w:pPr>
        <w:jc w:val="both"/>
      </w:pPr>
    </w:p>
    <w:p w14:paraId="65A228A8" w14:textId="77777777" w:rsidR="00F93287" w:rsidRDefault="00F93287" w:rsidP="00D31C30">
      <w:pPr>
        <w:jc w:val="both"/>
      </w:pPr>
    </w:p>
    <w:p w14:paraId="0B937825" w14:textId="77777777" w:rsidR="00F915A4" w:rsidRDefault="00F915A4" w:rsidP="00D31C30">
      <w:pPr>
        <w:spacing w:after="0" w:line="240" w:lineRule="auto"/>
        <w:jc w:val="both"/>
        <w:rPr>
          <w:rFonts w:eastAsia="Times New Roman"/>
          <w:b/>
          <w:bCs/>
          <w:caps/>
          <w:sz w:val="24"/>
          <w:szCs w:val="20"/>
          <w:lang w:val="x-none" w:eastAsia="x-none"/>
        </w:rPr>
      </w:pPr>
      <w:r>
        <w:br w:type="page"/>
      </w:r>
    </w:p>
    <w:p w14:paraId="18FEB1F0" w14:textId="2FCDF742" w:rsidR="007E1A67" w:rsidRDefault="00B67CA8" w:rsidP="00D31C30">
      <w:pPr>
        <w:pStyle w:val="Heading1"/>
        <w:jc w:val="both"/>
      </w:pPr>
      <w:r w:rsidRPr="00B27785">
        <w:lastRenderedPageBreak/>
        <w:t xml:space="preserve">INTRODUCTION </w:t>
      </w:r>
    </w:p>
    <w:p w14:paraId="7DFD1628" w14:textId="77777777" w:rsidR="00CD5CD6" w:rsidRPr="00CD5CD6" w:rsidRDefault="00CD5CD6" w:rsidP="00D31C30">
      <w:pPr>
        <w:jc w:val="both"/>
      </w:pPr>
      <w:r w:rsidRPr="00CD5CD6">
        <w:t xml:space="preserve">Critical illness requires </w:t>
      </w:r>
      <w:r w:rsidR="00596587">
        <w:t>specialist care</w:t>
      </w:r>
      <w:r>
        <w:t>,</w:t>
      </w:r>
      <w:r w:rsidR="00C1713F">
        <w:t xml:space="preserve"> </w:t>
      </w:r>
      <w:r w:rsidRPr="00CD5CD6">
        <w:t>which is typically not available in all hospitals. Delayed access to services has been shown to be associated with increased mortality and hospital lengt</w:t>
      </w:r>
      <w:r w:rsidR="009F6DA1">
        <w:t>h</w:t>
      </w:r>
      <w:r w:rsidRPr="00CD5CD6">
        <w:t xml:space="preserve"> of stay </w:t>
      </w:r>
      <w:r w:rsidR="00E12C4E" w:rsidRPr="00CD5CD6">
        <w:fldChar w:fldCharType="begin" w:fldLock="1"/>
      </w:r>
      <w:r w:rsidR="00DB2746">
        <w:instrText>ADDIN CSL_CITATION { "citationItems" : [ { "id" : "ITEM-1", "itemData" : { "DOI" : "10.1186/s13054-014-0485-1", "ISSN" : "1466-609X", "PMID" : "25148726", "abstract" : "INTRODUCTION: The adverse effects of delayed admission to the intensive care unit (ICU) have been recognized in previous studies. However, the definitions of delayed admission varies across studies. This study proposed a model to define \"delayed admission\", and explored the effect of ICU-waiting time on patients' outcome.\n\nMETHODS: This retrospective cohort study included non-traumatic adult patients on mechanical ventilation in the emergency department (ED), from July 2009 to June 2010. The primary outcomes measures were 21-ventilator-day mortality and prolonged hospital stays (over 30 days). Models of Cox regression and logistic regression were used for multivariate analysis. The non-delayed ICU-waiting was defined as a period in which the time effect on mortality was not statistically significant in a Cox regression model. To identify a suitable cut-off point between \"delayed\" and \"non-delayed\", subsets from the overall data were made based on ICU-waiting time and the hazard ratio of ICU-waiting hour in each subset was iteratively calculated. The cut-off time was then used to evaluate the impact of delayed ICU admission on mortality and prolonged length of hospital stay.\n\nRESULTS: The final analysis included 1,242 patients. The time effect on mortality emerged after 4 hours, thus we deduced ICU-waiting time in ED\u2009&gt;\u20094 hours as delayed. By logistic regression analysis, delayed ICU admission affected the outcomes of 21 ventilator-days mortality and prolonged hospital stay, with odds ratio of 1.41 (95% confidence interval, 1.05 to 1.89) and 1.56 (95% confidence interval, 1.07 to 2.27) respectively.\n\nCONCLUSIONS: For patients on mechanical ventilation at the ED, delayed ICU admission is associated with higher probability of mortality and additional resource expenditure. A benchmark waiting time of no more than 4 hours for ICU admission is recommended.", "author" : [ { "dropping-particle" : "", "family" : "Hung", "given" : "Shih-Chiang", "non-dropping-particle" : "", "parse-names" : false, "suffix" : "" }, { "dropping-particle" : "", "family" : "Kung", "given" : "Chia-Te", "non-dropping-particle" : "", "parse-names" : false, "suffix" : "" }, { "dropping-particle" : "", "family" : "Hung", "given" : "Chih-Wei", "non-dropping-particle" : "", "parse-names" : false, "suffix" : "" }, { "dropping-particle" : "", "family" : "Liu", "given" : "Ber-Ming", "non-dropping-particle" : "", "parse-names" : false, "suffix" : "" }, { "dropping-particle" : "", "family" : "Liu", "given" : "Jien-Wei", "non-dropping-particle" : "", "parse-names" : false, "suffix" : "" }, { "dropping-particle" : "", "family" : "Chew", "given" : "Ghee", "non-dropping-particle" : "", "parse-names" : false, "suffix" : "" }, { "dropping-particle" : "", "family" : "Chuang", "given" : "Hung-Yi", "non-dropping-particle" : "", "parse-names" : false, "suffix" : "" }, { "dropping-particle" : "", "family" : "Lee", "given" : "Wen-Huei", "non-dropping-particle" : "", "parse-names" : false, "suffix" : "" }, { "dropping-particle" : "", "family" : "Lee", "given" : "Tzu-Chi", "non-dropping-particle" : "", "parse-names" : false, "suffix" : "" } ], "container-title" : "Critical care (London, England)", "id" : "ITEM-1", "issue" : "4", "issued" : { "date-parts" : [ [ "2014", "1", "23" ] ] }, "language" : "En", "note" : "delayed admission = increased mortality", "page" : "485", "publisher" : "BioMed Central", "title" : "Determining delayed admission to intensive care unit for mechanically ventilated patients in the emergency department.", "type" : "article-journal", "volume" : "18" }, "uris" : [ "http://www.mendeley.com/documents/?uuid=9ff0e5b8-1426-42fb-9724-12226252c3c4" ] }, { "id" : "ITEM-2", "itemData" : { "DOI" : "10.1186/cc9975", "ISSN" : "1466-609X", "PMID" : "21244671", "abstract" : "INTRODUCTION: When the number of patients who require intensive care is greater than the number of beds available, intensive care unit (ICU) entry flow is obstructed. This phenomenon has been associated with higher mortality rates in patients that are not admitted despite their need, and in patients that are admitted but are waiting for a bed. The purpose of this study is to evaluate if a delay in ICU admission affects mortality for critically ill patients.\n\nMETHODS: A prospective cohort of adult patients admitted to the ICU of our institution between January and December 2005 were analyzed. Patients for whom a bed was available were immediately admitted; when no bed was available, patients waited for ICU admission. ICU admission was classified as either delayed or immediate. Confounding variables examined were: age, sex, originating hospital ward, ICU diagnosis, co-morbidity, Acute Physiology and Chronic Health Evaluation (APACHE) II score, therapeutic intervention, and Sequential Organ Failure Assessment (SOFA) score. All patients were followed until hospital discharge.\n\nRESULTS: A total of 401 patients were evaluated; 125 (31.2%) patients were immediately admitted and 276 (68.8%) patients had delayed admission. There was a significant increase in ICU mortality rates with a delay in ICU admission (P = 0.002). The fraction of mortality risk attributable to ICU delay was 30% (95% confidence interval (CI): 11.2% to 44.8%). Each hour of waiting was independently associated with a 1.5% increased risk of ICU death (hazard ratio (HR): 1.015; 95% CI 1.006 to 1.023; P = 0.001).\n\nCONCLUSIONS: There is a significant association between time to admission and survival rates. Early admission to the ICU is more likely to produce positive outcomes.", "author" : [ { "dropping-particle" : "", "family" : "Cardoso", "given" : "Lucienne T Q", "non-dropping-particle" : "", "parse-names" : false, "suffix" : "" }, { "dropping-particle" : "", "family" : "Grion", "given" : "Cintia M C", "non-dropping-particle" : "", "parse-names" : false, "suffix" : "" }, { "dropping-particle" : "", "family" : "Matsuo", "given" : "Tiemi", "non-dropping-particle" : "", "parse-names" : false, "suffix" : "" }, { "dropping-particle" : "", "family" : "Anami", "given" : "Elza H T", "non-dropping-particle" : "", "parse-names" : false, "suffix" : "" }, { "dropping-particle" : "", "family" : "Kauss", "given" : "Ivanil A M", "non-dropping-particle" : "", "parse-names" : false, "suffix" : "" }, { "dropping-particle" : "", "family" : "Seko", "given" : "Ludmila", "non-dropping-particle" : "", "parse-names" : false, "suffix" : "" }, { "dropping-particle" : "", "family" : "Bonametti", "given" : "Ana M", "non-dropping-particle" : "", "parse-names" : false, "suffix" : "" } ], "container-title" : "Critical care (London, England)", "id" : "ITEM-2", "issue" : "1", "issued" : { "date-parts" : [ [ "2011", "1", "18" ] ] }, "language" : "En", "note" : "Delayed admission = increased chance of mortality", "page" : "R28", "publisher" : "BioMed Central", "title" : "Impact of delayed admission to intensive care units on mortality of critically ill patients: a cohort study.", "type" : "article-journal", "volume" : "15" }, "uris" : [ "http://www.mendeley.com/documents/?uuid=f06ea94c-8e67-403d-ab7a-e720142a5234" ] }, { "id" : "ITEM-3", "itemData" : { "DOI" : "10.1097/01.CCM.0000266585.74905.5A", "ISSN" : "0090-3493", "PMID" : "17440421", "abstract" : "OBJECTIVE: Numerous factors can cause delays in transfer to an intensive care unit for critically ill emergency department patients. The impact of delays is unknown. We aimed to determine the association between emergency department \"boarding\" (holding admitted patients in the emergency department pending intensive care unit transfer) and outcomes for critically ill patients.\n\nDESIGN: This was a cross-sectional analytical study using the Project IMPACT database (a multicenter U.S. database of intensive care unit patients). Patients admitted from the emergency department to the intensive care unit (2000-2003) were included and divided into two groups: emergency department boarding &gt;or=6 hrs (delayed) vs. emergency department boarding &lt;6 hrs (nondelayed). Demographics, intensive care unit procedures, length of stay, and mortality were analyzed. Groups were compared using chi-square, Mann-Whitney, and unpaired Student's t-tests.\n\nSETTING: Emergency department and intensive care unit.\n\nPATIENTS: Patients admitted from the emergency department to the intensive care unit (2000-2003).\n\nINTERVENTIONS: None.\n\nMEASUREMENTS AND MAIN RESULTS: Main outcomes were intensive care unit and hospital survival and intensive care unit and hospital length of stay. During the study period, 50,322 patients were admitted. Both groups (delayed, n = 1,036; nondelayed, n = 49,286) were similar in age, gender, and do-not-resuscitate status, along with Acute Physiology and Chronic Health Evaluation II score in the subgroup for which it was recorded. Among hospital survivors, the median hospital length of stay was 7.0 (delayed) vs. 6.0 days (nondelayed) (p &lt; .001). Intensive care unit mortality was 10.7% (delayed) vs. 8.4% (nondelayed) (p &lt; .01). In-hospital mortality was 17.4% (delayed) vs. 12.9% (nondelayed) (p &lt; .001). In the stepwise logistic model, delayed admission, advancing age, higher Acute Physiology and Chronic Health Evaluation II score, male gender, and diagnostic categories of trauma, intracerebral hemorrhage, and neurologic disease were associated with lower hospital survival (odds ratio for delayed admission, 0.709; 95% confidence interval, 0.561-0.895).\n\nCONCLUSIONS: Critically ill emergency department patients with a &gt;or=6-hr delay in intensive care unit transfer had increased hospital length of stay and higher intensive care unit and hospital mortality. This suggests the need to identify factors associated with delayed transfer as well as specific determinants of a\u2026", "author" : [ { "dropping-particle" : "", "family" : "Chalfin", "given" : "Donald B", "non-dropping-particle" : "", "parse-names" : false, "suffix" : "" }, { "dropping-particle" : "", "family" : "Trzeciak", "given" : "Stephen", "non-dropping-particle" : "", "parse-names" : false, "suffix" : "" }, { "dropping-particle" : "", "family" : "Likourezos", "given" : "Antonios", "non-dropping-particle" : "", "parse-names" : false, "suffix" : "" }, { "dropping-particle" : "", "family" : "Baumann", "given" : "Brigitte M", "non-dropping-particle" : "", "parse-names" : false, "suffix" : "" }, { "dropping-particle" : "", "family" : "Dellinger", "given" : "R Phillip", "non-dropping-particle" : "", "parse-names" : false, "suffix" : "" } ], "container-title" : "Critical care medicine", "id" : "ITEM-3", "issue" : "6", "issued" : { "date-parts" : [ [ "2007", "6" ] ] }, "note" : "delayed admission = higher mortality", "page" : "1477-83", "title" : "Impact of delayed transfer of critically ill patients from the emergency department to the intensive care unit.", "type" : "article-journal", "volume" : "35" }, "uris" : [ "http://www.mendeley.com/documents/?uuid=15a7aa85-2d85-4933-950c-c9e9d2995d88" ] } ], "mendeley" : { "formattedCitation" : "[1\u20133]", "plainTextFormattedCitation" : "[1\u20133]", "previouslyFormattedCitation" : "[1\u20133]" }, "properties" : { "noteIndex" : 0 }, "schema" : "https://github.com/citation-style-language/schema/raw/master/csl-citation.json" }</w:instrText>
      </w:r>
      <w:r w:rsidR="00E12C4E" w:rsidRPr="00CD5CD6">
        <w:fldChar w:fldCharType="separate"/>
      </w:r>
      <w:r w:rsidR="009B7BF3" w:rsidRPr="009B7BF3">
        <w:rPr>
          <w:noProof/>
        </w:rPr>
        <w:t>[1–3]</w:t>
      </w:r>
      <w:r w:rsidR="00E12C4E" w:rsidRPr="00CD5CD6">
        <w:fldChar w:fldCharType="end"/>
      </w:r>
      <w:r w:rsidR="009E1320">
        <w:t>.</w:t>
      </w:r>
      <w:r w:rsidR="00C1713F">
        <w:t xml:space="preserve"> </w:t>
      </w:r>
      <w:r w:rsidR="009E1320">
        <w:t>E</w:t>
      </w:r>
      <w:r w:rsidR="001D7559">
        <w:t>nsuring equity of access is a key o</w:t>
      </w:r>
      <w:r w:rsidR="00D26A56">
        <w:t>bjective for healthcare systems</w:t>
      </w:r>
      <w:r w:rsidR="00E12C4E">
        <w:fldChar w:fldCharType="begin" w:fldLock="1"/>
      </w:r>
      <w:r w:rsidR="00DB2746">
        <w:instrText>ADDIN CSL_CITATION { "citationItems" : [ { "id" : "ITEM-1", "itemData" : { "DOI" : "10.1136/jech.2003.017731", "ISSN" : "0143-005X", "PMID" : "15252067", "abstract" : "The Ministers of Health from Chile, Germany, Greece, New Zealand, Slovenia, Sweden, and the United Kingdom recently established The International Forum on Common Access to Health Care Services, based on a common belief that their citizens should enjoy universal and equitable access to good quality health care. The ministers intend to form a network to share thinking and evidence on health care improvements, with the specific aim of sustaining and promoting equitable access to health care. Despite a vast literature on the notion of equity of access, little agreement has been reached in the literature on exactly what this notion ought to mean. This article provides a brief description of the relevance of the access principle of equity, and summarises the research programme that is necessary for turning the principle into a useful, operational policy objective.", "author" : [ { "dropping-particle" : "", "family" : "Oliver", "given" : "Adam", "non-dropping-particle" : "", "parse-names" : false, "suffix" : "" }, { "dropping-particle" : "", "family" : "Mossialos", "given" : "Elias", "non-dropping-particle" : "", "parse-names" : false, "suffix" : "" } ], "container-title" : "Journal of epidemiology and community health", "id" : "ITEM-1", "issue" : "8", "issued" : { "date-parts" : [ [ "2004", "8" ] ] }, "page" : "655-8", "publisher" : "BMJ Publishing Group Ltd", "title" : "Equity of access to health care: outlining the foundations for action.", "type" : "article-journal", "volume" : "58" }, "uris" : [ "http://www.mendeley.com/documents/?uuid=de19a871-48ee-30b3-9dd7-c2c294facd00" ] } ], "mendeley" : { "formattedCitation" : "[4]", "plainTextFormattedCitation" : "[4]", "previouslyFormattedCitation" : "[4]" }, "properties" : { "noteIndex" : 0 }, "schema" : "https://github.com/citation-style-language/schema/raw/master/csl-citation.json" }</w:instrText>
      </w:r>
      <w:r w:rsidR="00E12C4E">
        <w:fldChar w:fldCharType="separate"/>
      </w:r>
      <w:r w:rsidR="009B7BF3" w:rsidRPr="009B7BF3">
        <w:rPr>
          <w:noProof/>
        </w:rPr>
        <w:t>[4]</w:t>
      </w:r>
      <w:r w:rsidR="00E12C4E">
        <w:fldChar w:fldCharType="end"/>
      </w:r>
      <w:r w:rsidR="00EC574D">
        <w:t>, and</w:t>
      </w:r>
      <w:r w:rsidR="001D7559">
        <w:t xml:space="preserve"> </w:t>
      </w:r>
      <w:r w:rsidR="00EC574D">
        <w:t>q</w:t>
      </w:r>
      <w:r w:rsidRPr="00CD5CD6">
        <w:t xml:space="preserve">uantifying the </w:t>
      </w:r>
      <w:r w:rsidR="007B0246">
        <w:t xml:space="preserve">geographic </w:t>
      </w:r>
      <w:r w:rsidRPr="00CD5CD6">
        <w:t>accessibility of</w:t>
      </w:r>
      <w:r w:rsidR="007B0246">
        <w:t xml:space="preserve"> the population to</w:t>
      </w:r>
      <w:r w:rsidRPr="00CD5CD6">
        <w:t xml:space="preserve"> critica</w:t>
      </w:r>
      <w:r w:rsidR="009E1320">
        <w:t xml:space="preserve">l care services </w:t>
      </w:r>
      <w:r w:rsidR="00EC574D">
        <w:t xml:space="preserve">plays an important role in this. </w:t>
      </w:r>
    </w:p>
    <w:p w14:paraId="7147F1CB" w14:textId="0018D16E" w:rsidR="00261C4A" w:rsidRDefault="00D26A56" w:rsidP="00D31C30">
      <w:pPr>
        <w:jc w:val="both"/>
      </w:pPr>
      <w:r w:rsidRPr="00375927">
        <w:rPr>
          <w:rFonts w:cs="Arial"/>
        </w:rPr>
        <w:t xml:space="preserve">Previous evaluations of geographical accessibility have focused on specific conditions, or </w:t>
      </w:r>
      <w:r w:rsidR="00BC44FB">
        <w:rPr>
          <w:rFonts w:cs="Arial"/>
        </w:rPr>
        <w:t>certain</w:t>
      </w:r>
      <w:r w:rsidR="00BC44FB" w:rsidRPr="00375927">
        <w:rPr>
          <w:rFonts w:cs="Arial"/>
        </w:rPr>
        <w:t xml:space="preserve"> </w:t>
      </w:r>
      <w:r w:rsidRPr="00375927">
        <w:rPr>
          <w:rFonts w:cs="Arial"/>
        </w:rPr>
        <w:t xml:space="preserve">services. </w:t>
      </w:r>
      <w:r w:rsidRPr="00E70DE4">
        <w:rPr>
          <w:rFonts w:cs="Arial"/>
        </w:rPr>
        <w:t xml:space="preserve">Wallace et al conducted an evaluation of geographical access to severe acute respiratory failure </w:t>
      </w:r>
      <w:r w:rsidR="000F7123" w:rsidRPr="00E70DE4">
        <w:rPr>
          <w:rFonts w:cs="Arial"/>
        </w:rPr>
        <w:t>centres</w:t>
      </w:r>
      <w:r w:rsidRPr="00E70DE4">
        <w:rPr>
          <w:rFonts w:cs="Arial"/>
        </w:rPr>
        <w:t xml:space="preserve"> in the United States, </w:t>
      </w:r>
      <w:r w:rsidR="00375927" w:rsidRPr="00E70DE4">
        <w:rPr>
          <w:rFonts w:cs="Arial"/>
        </w:rPr>
        <w:t xml:space="preserve">which revealed </w:t>
      </w:r>
      <w:r w:rsidR="00375927" w:rsidRPr="00DB4781">
        <w:rPr>
          <w:rFonts w:cs="Arial"/>
        </w:rPr>
        <w:t xml:space="preserve">wide </w:t>
      </w:r>
      <w:r w:rsidR="000F7123" w:rsidRPr="00DB4781">
        <w:rPr>
          <w:rFonts w:cs="Arial"/>
        </w:rPr>
        <w:t>variation</w:t>
      </w:r>
      <w:r w:rsidR="00375927" w:rsidRPr="00DB4781">
        <w:rPr>
          <w:rFonts w:cs="Arial"/>
        </w:rPr>
        <w:t xml:space="preserve"> across states and regions</w:t>
      </w:r>
      <w:r w:rsidR="00E12C4E">
        <w:rPr>
          <w:rFonts w:cs="Arial"/>
        </w:rPr>
        <w:fldChar w:fldCharType="begin" w:fldLock="1"/>
      </w:r>
      <w:r w:rsidR="00DB2746">
        <w:rPr>
          <w:rFonts w:cs="Arial"/>
        </w:rPr>
        <w:instrText>ADDIN CSL_CITATION { "citationItems" : [ { "id" : "ITEM-1", "itemData" : { "DOI" : "10.1371/journal.pone.0094057", "ISSN" : "1932-6203", "author" : [ { "dropping-particle" : "", "family" : "Wallace", "given" : "David J.", "non-dropping-particle" : "", "parse-names" : false, "suffix" : "" }, { "dropping-particle" : "", "family" : "Angus", "given" : "Derek C.", "non-dropping-particle" : "", "parse-names" : false, "suffix" : "" }, { "dropping-particle" : "", "family" : "Seymour", "given" : "Christopher W.", "non-dropping-particle" : "", "parse-names" : false, "suffix" : "" }, { "dropping-particle" : "", "family" : "Yealy", "given" : "Donald M.", "non-dropping-particle" : "", "parse-names" : false, "suffix" : "" }, { "dropping-particle" : "", "family" : "Carr", "given" : "Brendan G.", "non-dropping-particle" : "", "parse-names" : false, "suffix" : "" }, { "dropping-particle" : "", "family" : "Kurland", "given" : "Kristen", "non-dropping-particle" : "", "parse-names" : false, "suffix" : "" }, { "dropping-particle" : "", "family" : "Boujoukos", "given" : "Arthur", "non-dropping-particle" : "", "parse-names" : false, "suffix" : "" }, { "dropping-particle" : "", "family" : "Kahn", "given" : "Jeremy M.", "non-dropping-particle" : "", "parse-names" : false, "suffix" : "" }, { "dropping-particle" : "", "family" : "Rubenfeld", "given" : "GD", "non-dropping-particle" : "", "parse-names" : false, "suffix" : "" }, { "dropping-particle" : "", "family" : "Caldwell", "given" : "E", "non-dropping-particle" : "", "parse-names" : false, "suffix" : "" }, { "dropping-particle" : "", "family" : "Peabody", "given" : "E", "non-dropping-particle" : "", "parse-names" : false, "suffix" : "" }, { "dropping-particle" : "", "family" : "Weaver", "given" : "J", "non-dropping-particle" : "", "parse-names" : false, "suffix" : "" }, { "dropping-particle" : "", "family" : "Martin", "given" : "DP", "non-dropping-particle" : "", "parse-names" : false, "suffix" : "" }, { "dropping-particle" : "", "family" : "Dowdy", "given" : "DWD", "non-dropping-particle" : "", "parse-names" : false, "suffix" : "" }, { "dropping-particle" : "", "family" : "Eid", "given" : "MPM", "non-dropping-particle" : "", "parse-names" : false, "suffix" : "" }, { "dropping-particle" : "", "family" : "Dennison", "given" : "CRC", "non-dropping-particle" : "", "parse-names" : false, "suffix" : "" }, { "dropping-particle" : "", "family" : "Mendez-Tellez", "given" : "PAP", "non-dropping-particle" : "", "parse-names" : false, "suffix" : "" }, { "dropping-particle" : "", "family" : "Herridge", "given" : "MSM", "non-dropping-particle" : "", "parse-names" : false, "suffix" : "" }, { "dropping-particle" : "", "family" : "Herridge", "given" : "MS", "non-dropping-particle" : "", "parse-names" : false, "suffix" : "" }, { "dropping-particle" : "", "family" : "Tansey", "given" : "CM", "non-dropping-particle" : "", "parse-names" : false, "suffix" : "" }, { "dropping-particle" : "", "family" : "Matt\u00e9", "given" : "A", "non-dropping-particle" : "", "parse-names" : false, "suffix" : "" }, { "dropping-particle" : "", "family" : "Tomlinson", "given" : "G", "non-dropping-particle" : "", "parse-names" : false, "suffix" : "" }, { "dropping-particle" : "", "family" : "Diaz-Granados", "given" : "N", "non-dropping-particle" : "", "parse-names" : false, "suffix" : "" }, { "dropping-particle" : "", "family" : "Gu\u00e9rin", "given" : "C", "non-dropping-particle" : "", "parse-names" : false, "suffix" : "" }, { "dropping-particle" : "", "family" : "Reignier", "given" : "J", "non-dropping-particle" : "", "parse-names" : false, "suffix" : "" }, { "dropping-particle" : "", "family" : "Richard", "given" : "J-C", "non-dropping-particle" : "", "parse-names" : false, "suffix" : "" }, { "dropping-particle" : "", "family" : "Beuret", "given" : "P", "non-dropping-particle" : "", "parse-names" : false, "suffix" : "" }, { "dropping-particle" : "", "family" : "Gacouin", "given" : "A", "non-dropping-particle" : "", "parse-names" : false, "suffix" : "" }, { "dropping-particle" : "", "family" : "Papazian", "given" : "L", "non-dropping-particle" : "", "parse-names" : false, "suffix" : "" }, { "dropping-particle" : "", "family" : "Forel", "given" : "J-M", "non-dropping-particle" : "", "parse-names" : false, "suffix" : "" }, { "dropping-particle" : "", "family" : "Gacouin", "given" : "A", "non-dropping-particle" : "", "parse-names" : false, "suffix" : "" }, { "dropping-particle" : "", "family" : "Penot-Ragon", "given" : "C", "non-dropping-particle" : "", "parse-names" : false, "suffix" : "" }, { "dropping-particle" : "", "family" : "Perrin", "given" : "G", "non-dropping-particle" : "", "parse-names" : false, "suffix" : "" }, { "dropping-particle" : "", "family" : "Kress", "given" : "JP", "non-dropping-particle" : "", "parse-names" : false, "suffix" : "" }, { "dropping-particle" : "", "family" : "Pohlman", "given" : "AS", "non-dropping-particle" : "", "parse-names" : false, "suffix" : "" }, { "dropping-particle" : "", "family" : "O'Connor", "given" : "MF", "non-dropping-particle" : "", "parse-names" : false, "suffix" : "" }, { "dropping-particle" : "", "family" : "Hall", "given" : "JB", "non-dropping-particle" : "", "parse-names" : false, "suffix" : "" }, { "dropping-particle" : "", "family" : "Peek", "given" : "G", "non-dropping-particle" : "", "parse-names" : false, "suffix" : "" }, { "dropping-particle" : "", "family" : "Mugford", "given" : "M", "non-dropping-particle" : "", "parse-names" : false, "suffix" : "" }, { "dropping-particle" : "", "family" : "Tiruvoipati", "given" : "R", "non-dropping-particle" : "", "parse-names" : false, "suffix" : "" }, { "dropping-particle" : "", "family" : "Wilson", "given" : "A", "non-dropping-particle" : "", "parse-names" : false, "suffix" : "" }, { "dropping-particle" : "", "family" : "Allen", "given" : "E", "non-dropping-particle" : "", "parse-names" : false, "suffix" : "" }, { "dropping-particle" : "", "family" : "Kahn", "given" : "JM", "non-dropping-particle" : "", "parse-names" : false, "suffix" : "" }, { "dropping-particle" : "", "family" : "Goss", "given" : "CH", "non-dropping-particle" : "", "parse-names" : false, "suffix" : "" }, { "dropping-particle" : "", "family" : "Heagerty", "given" : "PJ", "non-dropping-particle" : "", "parse-names" : false, "suffix" : "" }, { "dropping-particle" : "", "family" : "Kramer", "given" : "AA", "non-dropping-particle" : "", "parse-names" : false, "suffix" : "" }, { "dropping-particle" : "", "family" : "O'Brien", "given" : "CR", "non-dropping-particle" : "", "parse-names" : false, "suffix" : "" }, { "dropping-particle" : "", "family" : "Noah", "given" : "MA", "non-dropping-particle" : "", "parse-names" : false, "suffix" : "" }, { "dropping-particle" : "", "family" : "Peek", "given" : "GJ", "non-dropping-particle" : "", "parse-names" : false, "suffix" : "" }, { "dropping-particle" : "", "family" : "Finney", "given" : "SJ", "non-dropping-particle" : "", "parse-names" : false, "suffix" : "" }, { "dropping-particle" : "", "family" : "Griffiths", "given" : "MJ", "non-dropping-particle" : "", "parse-names" : false, "suffix" : "" }, { "dropping-particle" : "", "family" : "Harrison", "given" : "DA", "non-dropping-particle" : "", "parse-names" : false, "suffix" : "" }, { "dropping-particle" : "", "family" : "Rubinson", "given" : "L", "non-dropping-particle" : "", "parse-names" : false, "suffix" : "" }, { "dropping-particle" : "", "family" : "Mutter", "given" : "R", "non-dropping-particle" : "", "parse-names" : false, "suffix" : "" }, { "dropping-particle" : "", "family" : "Viboud", "given" : "C", "non-dropping-particle" : "", "parse-names" : false, "suffix" : "" }, { "dropping-particle" : "", "family" : "Hupert", "given" : "N", "non-dropping-particle" : "", "parse-names" : false, "suffix" : "" }, { "dropping-particle" : "", "family" : "Uyeki", "given" : "T", "non-dropping-particle" : "", "parse-names" : false, "suffix" : "" }, { "dropping-particle" : "", "family" : "Demetriades", "given" : "DD", "non-dropping-particle" : "", "parse-names" : false, "suffix" : "" }, { "dropping-particle" : "", "family" : "Murray", "given" : "JJ", "non-dropping-particle" : "", "parse-names" : false, "suffix" : "" }, { "dropping-particle" : "", "family" : "Charalambides", "given" : "KK", "non-dropping-particle" : "", "parse-names" : false, "suffix" : "" }, { "dropping-particle" : "", "family" : "Alo", "given" : "KK", "non-dropping-particle" : "", "parse-names" : false, "suffix" : "" }, { "dropping-particle" : "", "family" : "Velmahos", "given" : "GG", "non-dropping-particle" : "", "parse-names" : false, "suffix" : "" }, { "dropping-particle" : "", "family" : "GUSTO", "given" : "investigators The", "non-dropping-particle" : "", "parse-names" : false, "suffix" : "" }, { "dropping-particle" : "", "family" : "Valta", "given" : "PP", "non-dropping-particle" : "", "parse-names" : false, "suffix" : "" }, { "dropping-particle" : "", "family" : "Uusaro", "given" : "AA", "non-dropping-particle" : "", "parse-names" : false, "suffix" : "" }, { "dropping-particle" : "", "family" : "Nunes", "given" : "SS", "non-dropping-particle" : "", "parse-names" : false, "suffix" : "" }, { "dropping-particle" : "", "family" : "Ruokonen", "given" : "EE", "non-dropping-particle" : "", "parse-names" : false, "suffix" : "" }, { "dropping-particle" : "", "family" : "Takala", "given" : "JJ", "non-dropping-particle" : "", "parse-names" : false, "suffix" : "" }, { "dropping-particle" : "", "family" : "Bautista", "given" : "E", "non-dropping-particle" : "", "parse-names" : false, "suffix" : "" }, { "dropping-particle" : "", "family" : "Chotpitayasunondh", "given" : "T", "non-dropping-particle" : "", "parse-names" : false, "suffix" : "" }, { "dropping-particle" : "", "family" : "Gao", "given" : "Z", "non-dropping-particle" : "", "parse-names" : false, "suffix" : "" }, { "dropping-particle" : "", "family" : "Harper", "given" : "SA", "non-dropping-particle" : "", "parse-names" : false, "suffix" : "" }, { "dropping-particle" : "", "family" : "Uusaro", "given" : "A", "non-dropping-particle" : "", "parse-names" : false, "suffix" : "" }, { "dropping-particle" : "", "family" : "Parviainen", "given" : "I", "non-dropping-particle" : "", "parse-names" : false, "suffix" : "" }, { "dropping-particle" : "", "family" : "Takala", "given" : "J", "non-dropping-particle" : "", "parse-names" : false, "suffix" : "" }, { "dropping-particle" : "", "family" : "Ruokonen", "given" : "E", "non-dropping-particle" : "", "parse-names" : false, "suffix" : "" }, { "dropping-particle" : "", "family" : "Seymour", "given" : "CW", "non-dropping-particle" : "", "parse-names" : false, "suffix" : "" }, { "dropping-particle" : "", "family" : "Kahn", "given" : "JM", "non-dropping-particle" : "", "parse-names" : false, "suffix" : "" }, { "dropping-particle" : "", "family" : "Schwab", "given" : "CW", "non-dropping-particle" : "", "parse-names" : false, "suffix" : "" }, { "dropping-particle" : "", "family" : "Fuchs", "given" : "BD", "non-dropping-particle" : "", "parse-names" : false, "suffix" : "" }, { "dropping-particle" : "", "family" : "Branas", "given" : "CC", "non-dropping-particle" : "", "parse-names" : false, "suffix" : "" }, { "dropping-particle" : "", "family" : "MacKenzie", "given" : "EJ", "non-dropping-particle" : "", "parse-names" : false, "suffix" : "" }, { "dropping-particle" : "", "family" : "Williams", "given" : "JC", "non-dropping-particle" : "", "parse-names" : false, "suffix" : "" }, { "dropping-particle" : "", "family" : "Schwab", "given" : "CW", "non-dropping-particle" : "", "parse-names" : false, "suffix" : "" }, { "dropping-particle" : "", "family" : "Teter", "given" : "HM", "non-dropping-particle" : "", "parse-names" : false, "suffix" : "" }, { "dropping-particle" : "", "family" : "Klein", "given" : "M", "non-dropping-particle" : "", "parse-names" : false, "suffix" : "" }, { "dropping-particle" : "", "family" : "Kramer", "given" : "C", "non-dropping-particle" : "", "parse-names" : false, "suffix" : "" }, { "dropping-particle" : "", "family" : "Nelson", "given" : "J", "non-dropping-particle" : "", "parse-names" : false, "suffix" : "" }, { "dropping-particle" : "", "family" : "Rivara", "given" : "F", "non-dropping-particle" : "", "parse-names" : false, "suffix" : "" }, { "dropping-particle" : "", "family" : "Gibran", "given" : "N", "non-dropping-particle" : "", "parse-names" : false, "suffix" : "" }, { "dropping-particle" : "", "family" : "Lerner", "given" : "EB", "non-dropping-particle" : "", "parse-names" : false, "suffix" : "" }, { "dropping-particle" : "", "family" : "Billittier", "given" : "AJ", "non-dropping-particle" : "", "parse-names" : false, "suffix" : "" }, { "dropping-particle" : "", "family" : "Sikora", "given" : "J", "non-dropping-particle" : "", "parse-names" : false, "suffix" : "" }, { "dropping-particle" : "", "family" : "Moscati", "given" : "RM", "non-dropping-particle" : "", "parse-names" : false, "suffix" : "" }, { "dropping-particle" : "", "family" : "Carr", "given" : "BG", "non-dropping-particle" : "", "parse-names" : false, "suffix" : "" }, { "dropping-particle" : "", "family" : "Branas", "given" : "CC", "non-dropping-particle" : "", "parse-names" : false, "suffix" : "" }, { "dropping-particle" : "", "family" : "Metlay", "given" : "JP", "non-dropping-particle" : "", "parse-names" : false, "suffix" : "" }, { "dropping-particle" : "", "family" : "Sullivan", "given" : "AF", "non-dropping-particle" : "", "parse-names" : false, "suffix" : "" }, { "dropping-particle" : "", "family" : "Camargo", "given" : "CA", "non-dropping-particle" : "", "parse-names" : false, "suffix" : "" }, { "dropping-particle" : "", "family" : "Henneman", "given" : "PL", "non-dropping-particle" : "", "parse-names" : false, "suffix" : "" }, { "dropping-particle" : "", "family" : "Garb", "given" : "JL", "non-dropping-particle" : "", "parse-names" : false, "suffix" : "" }, { "dropping-particle" : "", "family" : "Capraro", "given" : "GA", "non-dropping-particle" : "", "parse-names" : false, "suffix" : "" }, { "dropping-particle" : "", "family" : "Li", "given" : "H", "non-dropping-particle" : "", "parse-names" : false, "suffix" : "" }, { "dropping-particle" : "", "family" : "Smithline", "given" : "HA", "non-dropping-particle" : "", "parse-names" : false, "suffix" : "" }, { "dropping-particle" : "", "family" : "Adalja", "given" : "AA", "non-dropping-particle" : "", "parse-names" : false, "suffix" : "" }, { "dropping-particle" : "", "family" : "Watson", "given" : "M", "non-dropping-particle" : "", "parse-names" : false, "suffix" : "" }, { "dropping-particle" : "", "family" : "Waldhorn", "given" : "RE", "non-dropping-particle" : "", "parse-names" : false, "suffix" : "" }, { "dropping-particle" : "", "family" : "Toner", "given" : "ES", "non-dropping-particle" : "", "parse-names" : false, "suffix" : "" }, { "dropping-particle" : "", "family" : "Quan", "given" : "H", "non-dropping-particle" : "", "parse-names" : false, "suffix" : "" }, { "dropping-particle" : "", "family" : "Parsons", "given" : "GA", "non-dropping-particle" : "", "parse-names" : false, "suffix" : "" }, { "dropping-particle" : "", "family" : "Ghali", "given" : "WA", "non-dropping-particle" : "", "parse-names" : false, "suffix" : "" }, { "dropping-particle" : "", "family" : "Wunsch", "given" : "H", "non-dropping-particle" : "", "parse-names" : false, "suffix" : "" }, { "dropping-particle" : "", "family" : "Linde-Zwirble", "given" : "WT", "non-dropping-particle" : "", "parse-names" : false, "suffix" : "" }, { "dropping-particle" : "", "family" : "Angus", "given" : "DC", "non-dropping-particle" : "", "parse-names" : false, "suffix" : "" }, { "dropping-particle" : "", "family" : "Hartman", "given" : "ME", "non-dropping-particle" : "", "parse-names" : false, "suffix" : "" }, { "dropping-particle" : "", "family" : "Milbrandt", "given" : "EB", "non-dropping-particle" : "", "parse-names" : false, "suffix" : "" }, { "dropping-particle" : "", "family" : "Wallace", "given" : "DJ", "non-dropping-particle" : "", "parse-names" : false, "suffix" : "" }, { "dropping-particle" : "", "family" : "Kahn", "given" : "JM", "non-dropping-particle" : "", "parse-names" : false, "suffix" : "" }, { "dropping-particle" : "", "family" : "Angus", "given" : "DC", "non-dropping-particle" : "", "parse-names" : false, "suffix" : "" }, { "dropping-particle" : "", "family" : "Martin-Gill", "given" : "C", "non-dropping-particle" : "", "parse-names" : false, "suffix" : "" }, { "dropping-particle" : "", "family" : "Callaway", "given" : "CW", "non-dropping-particle" : "", "parse-names" : false, "suffix" : "" }, { "dropping-particle" : "", "family" : "Gastner", "given" : "MT", "non-dropping-particle" : "", "parse-names" : false, "suffix" : "" }, { "dropping-particle" : "", "family" : "Newman", "given" : "MEJ", "non-dropping-particle" : "", "parse-names" : false, "suffix" : "" }, { "dropping-particle" : "", "family" : "Penchansky", "given" : "R", "non-dropping-particle" : "", "parse-names" : false, "suffix" : "" }, { "dropping-particle" : "", "family" : "Thomas", "given" : "JW", "non-dropping-particle" : "", "parse-names" : false, "suffix" : "" }, { "dropping-particle" : "", "family" : "Kahn", "given" : "JM", "non-dropping-particle" : "", "parse-names" : false, "suffix" : "" }, { "dropping-particle" : "", "family" : "Asch", "given" : "RJ", "non-dropping-particle" : "", "parse-names" : false, "suffix" : "" }, { "dropping-particle" : "", "family" : "Iwashyna", "given" : "TJ", "non-dropping-particle" : "", "parse-names" : false, "suffix" : "" }, { "dropping-particle" : "", "family" : "Rubenfeld", "given" : "GD", "non-dropping-particle" : "", "parse-names" : false, "suffix" : "" }, { "dropping-particle" : "", "family" : "Angus", "given" : "DC", "non-dropping-particle" : "", "parse-names" : false, "suffix" : "" }, { "dropping-particle" : "", "family" : "Hagen", "given" : "H", "non-dropping-particle" : "", "parse-names" : false, "suffix" : "" }, { "dropping-particle" : "", "family" : "Stene-Larsen", "given" : "G", "non-dropping-particle" : "", "parse-names" : false, "suffix" : "" }, { "dropping-particle" : "", "family" : "Finlayson", "given" : "SRS", "non-dropping-particle" : "", "parse-names" : false, "suffix" : "" }, { "dropping-particle" : "", "family" : "Birkmeyer", "given" : "JDJ", "non-dropping-particle" : "", "parse-names" : false, "suffix" : "" }, { "dropping-particle" : "", "family" : "Tosteson", "given" : "ANA", "non-dropping-particle" : "", "parse-names" : false, "suffix" : "" }, { "dropping-particle" : "", "family" : "Nease", "given" : "RFR", "non-dropping-particle" : "", "parse-names" : false, "suffix" : "" }, { "dropping-particle" : "", "family" : "Nathens", "given" : "AB", "non-dropping-particle" : "", "parse-names" : false, "suffix" : "" }, { "dropping-particle" : "", "family" : "Jurkovich", "given" : "GJ", "non-dropping-particle" : "", "parse-names" : false, "suffix" : "" }, { "dropping-particle" : "", "family" : "MacKenzie", "given" : "EJ", "non-dropping-particle" : "", "parse-names" : false, "suffix" : "" }, { "dropping-particle" : "", "family" : "Rivara", "given" : "FP", "non-dropping-particle" : "", "parse-names" : false, "suffix" : "" }, { "dropping-particle" : "", "family" : "Horwitz", "given" : "JR", "non-dropping-particle" : "", "parse-names" : false, "suffix" : "" }, { "dropping-particle" : "", "family" : "Nichols", "given" : "A", "non-dropping-particle" : "", "parse-names" : false, "suffix" : "" }, { "dropping-particle" : "", "family" : "Nallamothu", "given" : "BK", "non-dropping-particle" : "", "parse-names" : false, "suffix" : "" }, { "dropping-particle" : "", "family" : "Sasson", "given" : "C", "non-dropping-particle" : "", "parse-names" : false, "suffix" : "" }, { "dropping-particle" : "", "family" : "Iwashyna", "given" : "TJ", "non-dropping-particle" : "", "parse-names" : false, "suffix" : "" }, { "dropping-particle" : "", "family" : "Halpern", "given" : "SD", "non-dropping-particle" : "", "parse-names" : false, "suffix" : "" } ], "container-title" : "PLoS ONE", "editor" : [ { "dropping-particle" : "", "family" : "Salluh", "given" : "Jorge I. F.", "non-dropping-particle" : "", "parse-names" : false, "suffix" : "" } ], "id" : "ITEM-1", "issue" : "4", "issued" : { "date-parts" : [ [ "2014", "4", "4" ] ] }, "page" : "e94057", "publisher" : "Public Library of Science", "title" : "Geographic Access to High Capability Severe Acute Respiratory Failure Centers in the United States", "type" : "article-journal", "volume" : "9" }, "uris" : [ "http://www.mendeley.com/documents/?uuid=629ad056-7506-3686-a8af-aa41518c0a51" ] } ], "mendeley" : { "formattedCitation" : "[5]", "plainTextFormattedCitation" : "[5]", "previouslyFormattedCitation" : "[5]" }, "properties" : { "noteIndex" : 0 }, "schema" : "https://github.com/citation-style-language/schema/raw/master/csl-citation.json" }</w:instrText>
      </w:r>
      <w:r w:rsidR="00E12C4E">
        <w:rPr>
          <w:rFonts w:cs="Arial"/>
        </w:rPr>
        <w:fldChar w:fldCharType="separate"/>
      </w:r>
      <w:r w:rsidR="009B7BF3" w:rsidRPr="009B7BF3">
        <w:rPr>
          <w:rFonts w:cs="Arial"/>
          <w:noProof/>
        </w:rPr>
        <w:t>[5]</w:t>
      </w:r>
      <w:r w:rsidR="00E12C4E">
        <w:rPr>
          <w:rFonts w:cs="Arial"/>
        </w:rPr>
        <w:fldChar w:fldCharType="end"/>
      </w:r>
      <w:r w:rsidR="009E1320">
        <w:rPr>
          <w:rFonts w:cs="Arial"/>
        </w:rPr>
        <w:t>.</w:t>
      </w:r>
      <w:r w:rsidR="00E70DE4">
        <w:t xml:space="preserve"> T</w:t>
      </w:r>
      <w:r>
        <w:t xml:space="preserve">here have been </w:t>
      </w:r>
      <w:r w:rsidR="00375927">
        <w:t>eva</w:t>
      </w:r>
      <w:r w:rsidR="009E1320">
        <w:t>luations of the accessibility to</w:t>
      </w:r>
      <w:r w:rsidR="00375927">
        <w:t xml:space="preserve"> </w:t>
      </w:r>
      <w:r w:rsidR="00A06397">
        <w:t>burn</w:t>
      </w:r>
      <w:r w:rsidR="00372068">
        <w:t xml:space="preserve"> </w:t>
      </w:r>
      <w:r w:rsidR="00E12C4E">
        <w:fldChar w:fldCharType="begin" w:fldLock="1"/>
      </w:r>
      <w:r w:rsidR="00DB2746">
        <w:instrText>ADDIN CSL_CITATION { "citationItems" : [ { "id" : "ITEM-1", "itemData" : { "DOI" : "10.1001/jama.2009.1548", "ISSN" : "1538-3598", "PMID" : "19861669", "abstract" : "CONTEXT The delivery of burn care is a resource-intensive endeavor that requires specialized personnel and equipment. The optimal geographic distribution of burn centers has long been debated; however, the current distribution of centers relative to geographic area and population is unknown. OBJECTIVE To estimate the proportion of the US population living within 1 and 2 hours by rotary air transport (helicopter) or ground transport of a burn care facility. DESIGN AND SETTING A cross-sectional analysis of geographic access to US burn centers utilizing the 2000 US census, road and speed limit data, the Atlas and Database of Air Medical Services database, and the 2008 American Burn Association Directory. MAIN OUTCOME MEASURE The proportion of state, regional, and national population living within 1 and 2 hours by air transport or ground transport of a burn care facility. RESULTS In 2008, there were 128 self-reported burn centers in the United States including 51 American Burn Association-verified centers. An estimated 25.1% and 46.3% of the US population live within 1 and 2 hours by ground transport, respectively, of a verified burn center. By air, 53.9% and 79.0% of the population live within 1 and 2 hours, respectively, of a verified center. There was significant regional variation in access to verified burn centers by both ground and rotary air transport. The greatest proportion of the population with access was highest in the northeast region and lowest in the southern United States. CONCLUSION Nearly 80% of the US population lives within 2 hours by ground or rotary air transport of a verified burn center; however, there is both state and regional variation in geographic access to these centers.", "author" : [ { "dropping-particle" : "", "family" : "Klein", "given" : "Matthew B", "non-dropping-particle" : "", "parse-names" : false, "suffix" : "" }, { "dropping-particle" : "", "family" : "Kramer", "given" : "C Bradley", "non-dropping-particle" : "", "parse-names" : false, "suffix" : "" }, { "dropping-particle" : "", "family" : "Nelson", "given" : "Jason", "non-dropping-particle" : "", "parse-names" : false, "suffix" : "" }, { "dropping-particle" : "", "family" : "Rivara", "given" : "Frederick P", "non-dropping-particle" : "", "parse-names" : false, "suffix" : "" }, { "dropping-particle" : "", "family" : "Gibran", "given" : "Nicole S", "non-dropping-particle" : "", "parse-names" : false, "suffix" : "" }, { "dropping-particle" : "", "family" : "Concannon", "given" : "Thomas", "non-dropping-particle" : "", "parse-names" : false, "suffix" : "" } ], "container-title" : "JAMA", "id" : "ITEM-1", "issue" : "16", "issued" : { "date-parts" : [ [ "2009", "10", "28" ] ] }, "page" : "1774-81", "title" : "Geographic access to burn center hospitals.", "type" : "article-journal", "volume" : "302" }, "uris" : [ "http://www.mendeley.com/documents/?uuid=10fea103-f88b-3545-b7f4-c91b1303f045" ] } ], "mendeley" : { "formattedCitation" : "[6]", "plainTextFormattedCitation" : "[6]", "previouslyFormattedCitation" : "[6]" }, "properties" : { "noteIndex" : 0 }, "schema" : "https://github.com/citation-style-language/schema/raw/master/csl-citation.json" }</w:instrText>
      </w:r>
      <w:r w:rsidR="00E12C4E">
        <w:fldChar w:fldCharType="separate"/>
      </w:r>
      <w:r w:rsidR="009B7BF3" w:rsidRPr="009B7BF3">
        <w:rPr>
          <w:noProof/>
        </w:rPr>
        <w:t>[6]</w:t>
      </w:r>
      <w:r w:rsidR="00E12C4E">
        <w:fldChar w:fldCharType="end"/>
      </w:r>
      <w:r w:rsidR="009E1320">
        <w:t>,</w:t>
      </w:r>
      <w:r w:rsidR="006E0DE1">
        <w:t xml:space="preserve"> </w:t>
      </w:r>
      <w:r w:rsidR="00375927">
        <w:t xml:space="preserve">trauma </w:t>
      </w:r>
      <w:r w:rsidR="00A06397">
        <w:t xml:space="preserve">and neurosurgical </w:t>
      </w:r>
      <w:r w:rsidR="000F7123">
        <w:t>centre</w:t>
      </w:r>
      <w:r w:rsidR="00372068">
        <w:t>s</w:t>
      </w:r>
      <w:r w:rsidR="00A06397">
        <w:t xml:space="preserve"> in the US and Canada</w:t>
      </w:r>
      <w:r w:rsidR="009A2C47">
        <w:t xml:space="preserve"> </w:t>
      </w:r>
      <w:r w:rsidR="009A2C47">
        <w:fldChar w:fldCharType="begin" w:fldLock="1"/>
      </w:r>
      <w:r w:rsidR="009A2C47">
        <w:instrText>ADDIN CSL_CITATION { "citationItems" : [ { "id" : "ITEM-1", "itemData" : { "DOI" : "10.1001/jama.293.21.2626", "ISSN" : "0098-7484", "author" : [ { "dropping-particle" : "", "family" : "Branas", "given" : "Charles C.", "non-dropping-particle" : "", "parse-names" : false, "suffix" : "" }, { "dropping-particle" : "", "family" : "MacKenzie", "given" : "Ellen J.", "non-dropping-particle" : "", "parse-names" : false, "suffix" : "" }, { "dropping-particle" : "", "family" : "Williams", "given" : "Justin C.", "non-dropping-particle" : "", "parse-names" : false, "suffix" : "" }, { "dropping-particle" : "", "family" : "Schwab", "given" : "C. William", "non-dropping-particle" : "", "parse-names" : false, "suffix" : "" }, { "dropping-particle" : "", "family" : "Teter", "given" : "Harry M.", "non-dropping-particle" : "", "parse-names" : false, "suffix" : "" }, { "dropping-particle" : "", "family" : "Flanigan", "given" : "Marie C.", "non-dropping-particle" : "", "parse-names" : false, "suffix" : "" }, { "dropping-particle" : "", "family" : "Blatt", "given" : "Alan J.", "non-dropping-particle" : "", "parse-names" : false, "suffix" : "" }, { "dropping-particle" : "", "family" : "ReVelle", "given" : "Charles S.", "non-dropping-particle" : "", "parse-names" : false, "suffix" : "" }, { "dropping-particle" : "", "family" : "RA", "given" : "Cowley", "non-dropping-particle" : "", "parse-names" : false, "suffix" : "" }, { "dropping-particle" : "", "family" : "R", "given" : "Voelker", "non-dropping-particle" : "", "parse-names" : false, "suffix" : "" }, { "dropping-particle" : "", "family" : "CC", "given" : "Branas", "non-dropping-particle" : "", "parse-names" : false, "suffix" : "" }, { "dropping-particle" : "", "family" : "CC", "given" : "Branas", "non-dropping-particle" : "", "parse-names" : false, "suffix" : "" }, { "dropping-particle" : "", "family" : "LT", "given" : "Dunn", "non-dropping-particle" : "", "parse-names" : false, "suffix" : "" }, { "dropping-particle" : "", "family" : "V", "given" : "Askue", "non-dropping-particle" : "", "parse-names" : false, "suffix" : "" }, { "dropping-particle" : "", "family" : "AB", "given" : "Nathens", "non-dropping-particle" : "", "parse-names" : false, "suffix" : "" }, { "dropping-particle" : "", "family" : "NC", "given" : "Mann", "non-dropping-particle" : "", "parse-names" : false, "suffix" : "" }, { "dropping-particle" : "", "family" : "AB", "given" : "Nathens", "non-dropping-particle" : "", "parse-names" : false, "suffix" : "" }, { "dropping-particle" : "", "family" : "SH", "given" : "Thomas", "non-dropping-particle" : "", "parse-names" : false, "suffix" : "" }, { "dropping-particle" : "", "family" : "RR", "given" : "Bass", "non-dropping-particle" : "", "parse-names" : false, "suffix" : "" }, { "dropping-particle" : "", "family" : "CC", "given" : "Branas", "non-dropping-particle" : "", "parse-names" : false, "suffix" : "" }, { "dropping-particle" : "", "family" : "MG", "given" : "Goldfarb", "non-dropping-particle" : "", "parse-names" : false, "suffix" : "" }, { "dropping-particle" : "", "family" : "GJ", "given" : "Bazzoli", "non-dropping-particle" : "", "parse-names" : false, "suffix" : "" }, { "dropping-particle" : "", "family" : "EJ", "given" : "MacKenzie", "non-dropping-particle" : "", "parse-names" : false, "suffix" : "" }, { "dropping-particle" : "", "family" : "AB", "given" : "Nathens", "non-dropping-particle" : "", "parse-names" : false, "suffix" : "" }, { "dropping-particle" : "", "family" : "JS", "given" : "Sampalis", "non-dropping-particle" : "", "parse-names" : false, "suffix" : "" }, { "dropping-particle" : "", "family" : "EB", "given" : "Lerner", "non-dropping-particle" : "", "parse-names" : false, "suffix" : "" }, { "dropping-particle" : "", "family" : "MC", "given" : "Flanigan", "non-dropping-particle" : "", "parse-names" : false, "suffix" : "" }, { "dropping-particle" : "", "family" : "M", "given" : "Flanigan", "non-dropping-particle" : "", "parse-names" : false, "suffix" : "" }, { "dropping-particle" : "", "family" : "CC", "given" : "Branas", "non-dropping-particle" : "", "parse-names" : false, "suffix" : "" }, { "dropping-particle" : "", "family" : "RF", "given" : "Love", "non-dropping-particle" : "", "parse-names" : false, "suffix" : "" }, { "dropping-particle" : "", "family" : "RF", "given" : "Love", "non-dropping-particle" : "", "parse-names" : false, "suffix" : "" }, { "dropping-particle" : "", "family" : "MA", "given" : "Diaz", "non-dropping-particle" : "", "parse-names" : false, "suffix" : "" }, { "dropping-particle" : "", "family" : "N", "given" : "Clay Mann", "non-dropping-particle" : "", "parse-names" : false, "suffix" : "" }, { "dropping-particle" : "", "family" : "JS", "given" : "Sampalis", "non-dropping-particle" : "", "parse-names" : false, "suffix" : "" }, { "dropping-particle" : "", "family" : "RJ", "given" : "Mullins", "non-dropping-particle" : "", "parse-names" : false, "suffix" : "" }, { "dropping-particle" : "", "family" : "AB", "given" : "Nathens", "non-dropping-particle" : "", "parse-names" : false, "suffix" : "" }, { "dropping-particle" : "", "family" : "CC", "given" : "Branas", "non-dropping-particle" : "", "parse-names" : false, "suffix" : "" }, { "dropping-particle" : "", "family" : "PE", "given" : "Pepe", "non-dropping-particle" : "", "parse-names" : false, "suffix" : "" }, { "dropping-particle" : "", "family" : "NC", "given" : "Mann", "non-dropping-particle" : "", "parse-names" : false, "suffix" : "" }, { "dropping-particle" : "", "family" : "DM", "given" : "Bravata", "non-dropping-particle" : "", "parse-names" : false, "suffix" : "" }, { "dropping-particle" : "", "family" : "WG", "given" : "Baxt", "non-dropping-particle" : "", "parse-names" : false, "suffix" : "" }, { "dropping-particle" : "", "family" : "AB", "given" : "Nathens", "non-dropping-particle" : "", "parse-names" : false, "suffix" : "" }, { "dropping-particle" : "", "family" : "CW", "given" : "Konvolinka", "non-dropping-particle" : "", "parse-names" : false, "suffix" : "" }, { "dropping-particle" : "", "family" : "RF", "given" : "Smith", "non-dropping-particle" : "", "parse-names" : false, "suffix" : "" }, { "dropping-particle" : "", "family" : "LA", "given" : "Aday", "non-dropping-particle" : "", "parse-names" : false, "suffix" : "" }, { "dropping-particle" : "", "family" : "CL", "given" : "Whitney", "non-dropping-particle" : "", "parse-names" : false, "suffix" : "" }, { "dropping-particle" : "", "family" : "P", "given" : "Kolesar", "non-dropping-particle" : "", "parse-names" : false, "suffix" : "" }, { "dropping-particle" : "", "family" : "K", "given" : "Stanhope", "non-dropping-particle" : "", "parse-names" : false, "suffix" : "" }, { "dropping-particle" : "", "family" : "AA", "given" : "Baez", "non-dropping-particle" : "", "parse-names" : false, "suffix" : "" }, { "dropping-particle" : "", "family" : "AB", "given" : "Nathens", "non-dropping-particle" : "", "parse-names" : false, "suffix" : "" }, { "dropping-particle" : "", "family" : "EB", "given" : "Lerner", "non-dropping-particle" : "", "parse-names" : false, "suffix" : "" }, { "dropping-particle" : "", "family" : "DE", "given" : "Clark", "non-dropping-particle" : "", "parse-names" : false, "suffix" : "" }, { "dropping-particle" : "", "family" : "AL", "given" : "Melnick", "non-dropping-particle" : "", "parse-names" : false, "suffix" : "" } ], "container-title" : "JAMA", "id" : "ITEM-1", "issue" : "21", "issued" : { "date-parts" : [ [ "2005", "6", "1" ] ] }, "page" : "2626", "publisher" : "American Medical Association", "title" : "Access to Trauma Centers in the United States", "type" : "article-journal", "volume" : "293" }, "uris" : [ "http://www.mendeley.com/documents/?uuid=9f037348-d929-3ece-9d92-96ba05c73421" ] }, { "id" : "ITEM-2", "itemData" : { "DOI" : "10.1001/archpediatrics.2009.65", "ISSN" : "1538-3628", "PMID" : "19487606", "abstract" : "OBJECTIVES To catalog trauma center resources and estimate access to age-specific trauma care for children younger than 15 years in the United States. DESIGN Cross-sectional study collating information from national, state, and local trauma systems authorities to create a catalog of verified pediatric trauma centers (PTCs) and self-designated \"candidate\" trauma centers. Access-to-care calculations were estimated using all US block groups and prior validated methods. SETTING United States. PATIENTS Children in the US younger than 15 years. MAIN OUTCOME MEASURES The PTC statuses of hospitals in the United States. Percentages of pediatric populations (by state and population density) having access (by ground or air) within 60 minutes to a PTC. RESULTS A total of 170 verified PTCs were identified in 41 states (including the District of Columbia). An estimated 71.5% of pediatric patients were within 60 minutes of a verified PTC by air or ground transport, 43% if ground transportation only was considered. An estimated 17.4 million children did not have access to a PTC within 60 minutes. Access ranged from 22.9% of the population in the most rural areas of the United States to 93.5% in the most urban. The addition of 24 candidate centers increased coverage to 77.4% of the pediatric population being within 60 minutes of a PTC. CONCLUSIONS Current pediatric trauma resources vary greatly by state and population density, with many children, particularly in rural areas, underserved. A thorough standardized catalog of verified PTCs is necessary to accurately assess pediatric trauma needs now and to optimize future trauma system planning for children.", "author" : [ { "dropping-particle" : "", "family" : "Nance", "given" : "Michael L", "non-dropping-particle" : "", "parse-names" : false, "suffix" : "" }, { "dropping-particle" : "", "family" : "Carr", "given" : "Brendan G", "non-dropping-particle" : "", "parse-names" : false, "suffix" : "" }, { "dropping-particle" : "", "family" : "Branas", "given" : "Charles C", "non-dropping-particle" : "", "parse-names" : false, "suffix" : "" } ], "container-title" : "Archives of pediatrics &amp; adolescent medicine", "id" : "ITEM-2", "issue" : "6", "issued" : { "date-parts" : [ [ "2009", "6" ] ] }, "page" : "512-8", "title" : "Access to pediatric trauma care in the United States.", "type" : "article-journal", "volume" : "163" }, "uris" : [ "http://www.mendeley.com/documents/?uuid=b4ada11e-edde-3893-aed6-ee558f130857" ] }, { "id" : "ITEM-3", "itemData" : { "DOI" : "10.1097/TA.0b013e3181e751f7", "ISSN" : "0022-5282", "author" : [ { "dropping-particle" : "", "family" : "Hameed", "given" : "Syed Morad", "non-dropping-particle" : "", "parse-names" : false, "suffix" : "" }, { "dropping-particle" : "", "family" : "Schuurman", "given" : "Nadine", "non-dropping-particle" : "", "parse-names" : false, "suffix" : "" }, { "dropping-particle" : "", "family" : "Razek", "given" : "Tarek", "non-dropping-particle" : "", "parse-names" : false, "suffix" : "" }, { "dropping-particle" : "", "family" : "Boone", "given" : "Darrell", "non-dropping-particle" : "", "parse-names" : false, "suffix" : "" }, { "dropping-particle" : "", "family" : "Heest", "given" : "Rardi", "non-dropping-particle" : "Van", "parse-names" : false, "suffix" : "" }, { "dropping-particle" : "", "family" : "Taulu", "given" : "Tracey", "non-dropping-particle" : "", "parse-names" : false, "suffix" : "" }, { "dropping-particle" : "", "family" : "Lakha", "given" : "Nasira", "non-dropping-particle" : "", "parse-names" : false, "suffix" : "" }, { "dropping-particle" : "", "family" : "Evans", "given" : "David C.", "non-dropping-particle" : "", "parse-names" : false, "suffix" : "" }, { "dropping-particle" : "", "family" : "Brown", "given" : "D. Ross", "non-dropping-particle" : "", "parse-names" : false, "suffix" : "" }, { "dropping-particle" : "", "family" : "Kirkpatrick", "given" : "Andrew W.", "non-dropping-particle" : "", "parse-names" : false, "suffix" : "" }, { "dropping-particle" : "", "family" : "Stelfox", "given" : "Henry T.", "non-dropping-particle" : "", "parse-names" : false, "suffix" : "" }, { "dropping-particle" : "", "family" : "Dyer", "given" : "Dianne", "non-dropping-particle" : "", "parse-names" : false, "suffix" : "" }, { "dropping-particle" : "", "family" : "Wijngaarden-Stephens", "given" : "Mary", "non-dropping-particle" : "van", "parse-names" : false, "suffix" : "" }, { "dropping-particle" : "", "family" : "Logsetty", "given" : "Sarvesh", "non-dropping-particle" : "", "parse-names" : false, "suffix" : "" }, { "dropping-particle" : "", "family" : "Nathens", "given" : "Avery B.", "non-dropping-particle" : "", "parse-names" : false, "suffix" : "" }, { "dropping-particle" : "", "family" : "Charyk-Stewart", "given" : "Tanya", "non-dropping-particle" : "", "parse-names" : false, "suffix" : "" }, { "dropping-particle" : "", "family" : "Rizoli", "given" : "Sandro", "non-dropping-particle" : "", "parse-names" : false, "suffix" : "" }, { "dropping-particle" : "", "family" : "Tremblay", "given" : "Lorraine N.", "non-dropping-particle" : "", "parse-names" : false, "suffix" : "" }, { "dropping-particle" : "", "family" : "Brenneman", "given" : "Frederick", "non-dropping-particle" : "", "parse-names" : false, "suffix" : "" }, { "dropping-particle" : "", "family" : "Ahmed", "given" : "Najma", "non-dropping-particle" : "", "parse-names" : false, "suffix" : "" }, { "dropping-particle" : "", "family" : "Galbraith", "given" : "Elsie", "non-dropping-particle" : "", "parse-names" : false, "suffix" : "" }, { "dropping-particle" : "", "family" : "Parry", "given" : "Neil", "non-dropping-particle" : "", "parse-names" : false, "suffix" : "" }, { "dropping-particle" : "", "family" : "Girotti", "given" : "Murray J.", "non-dropping-particle" : "", "parse-names" : false, "suffix" : "" }, { "dropping-particle" : "", "family" : "Pagliarello", "given" : "Guiseppe", "non-dropping-particle" : "", "parse-names" : false, "suffix" : "" }, { "dropping-particle" : "", "family" : "Tze", "given" : "Nancy", "non-dropping-particle" : "", "parse-names" : false, "suffix" : "" }, { "dropping-particle" : "", "family" : "Khwaja", "given" : "Kosar", "non-dropping-particle" : "", "parse-names" : false, "suffix" : "" }, { "dropping-particle" : "", "family" : "Yanchar", "given" : "Natalie", "non-dropping-particle" : "", "parse-names" : false, "suffix" : "" }, { "dropping-particle" : "", "family" : "Tallon", "given" : "John M.", "non-dropping-particle" : "", "parse-names" : false, "suffix" : "" }, { "dropping-particle" : "", "family" : "Trenholm", "given" : "J. Andrew I.", "non-dropping-particle" : "", "parse-names" : false, "suffix" : "" }, { "dropping-particle" : "", "family" : "Tegart", "given" : "Candance", "non-dropping-particle" : "", "parse-names" : false, "suffix" : "" }, { "dropping-particle" : "", "family" : "Amram", "given" : "Ofer", "non-dropping-particle" : "", "parse-names" : false, "suffix" : "" }, { "dropping-particle" : "", "family" : "Berube", "given" : "Myriam", "non-dropping-particle" : "", "parse-names" : false, "suffix" : "" }, { "dropping-particle" : "", "family" : "Hameed", "given" : "Usmaan", "non-dropping-particle" : "", "parse-names" : false, "suffix" : "" }, { "dropping-particle" : "", "family" : "Simons", "given" : "Richard K.", "non-dropping-particle" : "", "parse-names" : false, "suffix" : "" } ], "container-title" : "The Journal of Trauma: Injury, Infection, and Critical Care", "id" : "ITEM-3", "issue" : "6", "issued" : { "date-parts" : [ [ "2010", "12" ] ] }, "page" : "1350-1361", "title" : "Access to Trauma Systems in Canada", "type" : "article-journal", "volume" : "69" }, "uris" : [ "http://www.mendeley.com/documents/?uuid=07b43c95-fd62-33e2-8141-421dfe91c729" ] }, { "id" : "ITEM-4", "itemData" : { "DOI" : "10.1007/s12028-011-9644-2", "ISSN" : "1556-0961", "PMID" : "22045246", "abstract" : "BACKGROUND: Neurocritical care provides multidisciplinary, specialized care to critically ill neurological patients, yet an understanding of the proportion of the population able to rapidly access specialized Neurocritical Care Units (NCUs) in the United States is currently unknown. We sought to quantify geographic access to NCUs by state, division, region, and for the US as a whole. In addition, we examined how mode of transportation (ground or air ambulance), and prehospital transport times affected population access to NCUs. METHODS: Data were obtained from the Neurocritical Care Society (NCS), US Census Bureau and the Atlas and Database of Air Medical Services. Empirically derived prehospital time intervals and validated models estimating prehospital ground and air travel times were used to calculate total prehospital times. A discrete total prehospital time interval was calculated for each small unit of geographic analysis (block group) and block group populations were summed to determine the proportion of Americans able to reach a NCU within discrete time intervals (45, 60, 75, and 90 min). Results are presented for different geographies and for different modes of prehospital transport (ground or air ambulance). RESULTS: There are 73 NCUs in the US using ground transportation alone, 12.8, 20.5, 27.4, and 32.6% of the US population are within 45, 60, 75, and 90 min of an NCU, respectively. Use of air ambulances increases access to 36.8, 50.4, 60, and 67.3 within 45, 60, 75, and 90 min, respectively. The Northeast has the highest access rates in the US using ground ambulances and for 45, 60, and 75 min transport times with the addition of air ambulances. At 90 min, the West has the highest access rate. The Southern region has the lowest ground and air access to NCUs access rates for all transport times. CONCLUSIONS: Using NCUs registered with the NCS, current geographic access to NCUs is limited in the US, and geographic disparities in access to care exist. While additional NCUs may exist beyond those identified by the NCS database, we identify geographies with limited access to NCUs and offer a population-based planning perspective on the further development of the US neurocritical care system.", "author" : [ { "dropping-particle" : "", "family" : "Ward", "given" : "Michael J", "non-dropping-particle" : "", "parse-names" : false, "suffix" : "" }, { "dropping-particle" : "", "family" : "Shutter", "given" : "Lori A", "non-dropping-particle" : "", "parse-names" : false, "suffix" : "" }, { "dropping-particle" : "", "family" : "Branas", "given" : "Charles C", "non-dropping-particle" : "", "parse-names" : false, "suffix" : "" }, { "dropping-particle" : "", "family" : "Adeoye", "given" : "Opeolu", "non-dropping-particle" : "", "parse-names" : false, "suffix" : "" }, { "dropping-particle" : "", "family" : "Albright", "given" : "Karen C", "non-dropping-particle" : "", "parse-names" : false, "suffix" : "" }, { "dropping-particle" : "", "family" : "Carr", "given" : "Brendan G", "non-dropping-particle" : "", "parse-names" : false, "suffix" : "" } ], "container-title" : "Neurocritical care", "id" : "ITEM-4", "issue" : "2", "issued" : { "date-parts" : [ [ "2012", "4" ] ] }, "language" : "en", "page" : "232-40", "publisher" : "Humana Press Inc", "title" : "Geographic access to US Neurocritical Care Units registered with the Neurocritical Care Society.", "type" : "article-journal", "volume" : "16" }, "uris" : [ "http://www.mendeley.com/documents/?uuid=03278911-6314-40ce-95cf-8c282f8a7014" ] } ], "mendeley" : { "formattedCitation" : "[7\u201310]", "plainTextFormattedCitation" : "[7\u201310]" }, "properties" : { "noteIndex" : 0 }, "schema" : "https://github.com/citation-style-language/schema/raw/master/csl-citation.json" }</w:instrText>
      </w:r>
      <w:r w:rsidR="009A2C47">
        <w:fldChar w:fldCharType="separate"/>
      </w:r>
      <w:r w:rsidR="009A2C47" w:rsidRPr="009A2C47">
        <w:rPr>
          <w:noProof/>
        </w:rPr>
        <w:t>[7–10]</w:t>
      </w:r>
      <w:r w:rsidR="009A2C47">
        <w:fldChar w:fldCharType="end"/>
      </w:r>
      <w:r w:rsidR="009A2C47" w:rsidDel="009A2C47">
        <w:t xml:space="preserve"> </w:t>
      </w:r>
      <w:r w:rsidR="00F915A4">
        <w:t>, and trauma care in the United Kingdom</w:t>
      </w:r>
      <w:r w:rsidR="00DD49A4">
        <w:fldChar w:fldCharType="begin" w:fldLock="1"/>
      </w:r>
      <w:r w:rsidR="00DB6107">
        <w:instrText>ADDIN CSL_CITATION { "citationItems" : [ { "id" : "ITEM-1", "itemData" : { "DOI" : "10.1097/TA.0000000000000827", "ISSN" : "2163-0755", "author" : [ { "dropping-particle" : "", "family" : "Jansen", "given" : "Jan O.", "non-dropping-particle" : "", "parse-names" : false, "suffix" : "" }, { "dropping-particle" : "", "family" : "Morrison", "given" : "Jonathan J.", "non-dropping-particle" : "", "parse-names" : false, "suffix" : "" }, { "dropping-particle" : "", "family" : "Wang", "given" : "Handing", "non-dropping-particle" : "", "parse-names" : false, "suffix" : "" }, { "dropping-particle" : "", "family" : "He", "given" : "Shan", "non-dropping-particle" : "", "parse-names" : false, "suffix" : "" }, { "dropping-particle" : "", "family" : "Lawrenson", "given" : "Robin", "non-dropping-particle" : "", "parse-names" : false, "suffix" : "" }, { "dropping-particle" : "", "family" : "Hutchison", "given" : "James D.", "non-dropping-particle" : "", "parse-names" : false, "suffix" : "" }, { "dropping-particle" : "", "family" : "Campbell", "given" : "Marion K.", "non-dropping-particle" : "", "parse-names" : false, "suffix" : "" } ], "container-title" : "Journal of Trauma and Acute Care Surgery", "id" : "ITEM-1", "issue" : "5", "issued" : { "date-parts" : [ [ "2015", "11" ] ] }, "page" : "756-765", "title" : "Access to specialist care", "type" : "article-journal", "volume" : "79" }, "uris" : [ "http://www.mendeley.com/documents/?uuid=84f9f658-8976-3905-9918-161370599776" ] }, { "id" : "ITEM-2", "itemData" : { "DOI" : "10.1097/TA.0000000000001335", "ISSN" : "2163-0755", "author" : [ { "dropping-particle" : "", "family" : "Dodds", "given" : "Naomi", "non-dropping-particle" : "", "parse-names" : false, "suffix" : "" }, { "dropping-particle" : "", "family" : "Emerson", "given" : "Phillip", "non-dropping-particle" : "", "parse-names" : false, "suffix" : "" }, { "dropping-particle" : "", "family" : "Phillips", "given" : "Stephanie", "non-dropping-particle" : "", "parse-names" : false, "suffix" : "" }, { "dropping-particle" : "", "family" : "Green", "given" : "David R", "non-dropping-particle" : "", "parse-names" : false, "suffix" : "" }, { "dropping-particle" : "", "family" : "Jansen", "given" : "Jan O", "non-dropping-particle" : "", "parse-names" : false, "suffix" : "" } ], "container-title" : "Journal of Trauma and Acute Care Surgery", "id" : "ITEM-2", "issued" : { "date-parts" : [ [ "2016", "12" ] ] }, "page" : "1", "title" : "Analysis of aeromedical retrieval coverage using elliptical isochrones", "type" : "article-journal" }, "uris" : [ "http://www.mendeley.com/documents/?uuid=aaa1d526-c493-3a15-b5c0-3b98a3396217" ] } ], "mendeley" : { "formattedCitation" : "[11, 12]", "plainTextFormattedCitation" : "[11, 12]", "previouslyFormattedCitation" : "[11, 12]" }, "properties" : { "noteIndex" : 0 }, "schema" : "https://github.com/citation-style-language/schema/raw/master/csl-citation.json" }</w:instrText>
      </w:r>
      <w:r w:rsidR="00DD49A4">
        <w:fldChar w:fldCharType="separate"/>
      </w:r>
      <w:r w:rsidR="00DD49A4" w:rsidRPr="00DD49A4">
        <w:rPr>
          <w:noProof/>
        </w:rPr>
        <w:t>[11, 12]</w:t>
      </w:r>
      <w:r w:rsidR="00DD49A4">
        <w:fldChar w:fldCharType="end"/>
      </w:r>
      <w:r w:rsidR="00A44DF8">
        <w:t>.</w:t>
      </w:r>
      <w:r w:rsidR="00DB4781">
        <w:t xml:space="preserve"> However, all of these studies considered </w:t>
      </w:r>
      <w:r w:rsidR="00BC44FB">
        <w:t>isolated aspects of accessibility</w:t>
      </w:r>
      <w:r w:rsidR="00DB4781">
        <w:t>, rather than providing a comprehensive profile of access to critical care services.</w:t>
      </w:r>
    </w:p>
    <w:p w14:paraId="7013DCEC" w14:textId="25EE5079" w:rsidR="00E036FF" w:rsidRDefault="00DB4781" w:rsidP="00D31C30">
      <w:pPr>
        <w:jc w:val="both"/>
      </w:pPr>
      <w:r>
        <w:t xml:space="preserve">The aim of this study was to conduct a population-based </w:t>
      </w:r>
      <w:r w:rsidR="00F966E9">
        <w:t xml:space="preserve">analysis </w:t>
      </w:r>
      <w:r>
        <w:t>of geographical access to critical care services in Scotland, with particular reference to the effects of rurality, and inter-regional variations</w:t>
      </w:r>
      <w:r w:rsidR="00A44DF8">
        <w:t xml:space="preserve">. </w:t>
      </w:r>
      <w:r w:rsidR="00C1713F">
        <w:t xml:space="preserve">Scotland has excellent geographically referenced population data, and a highly granular classification of rurality, facilitating </w:t>
      </w:r>
      <w:r w:rsidR="00BC44FB">
        <w:t xml:space="preserve">such an </w:t>
      </w:r>
      <w:r w:rsidR="00C1713F">
        <w:t xml:space="preserve">evaluation. </w:t>
      </w:r>
      <w:r w:rsidR="00232459">
        <w:t xml:space="preserve">Scotland has </w:t>
      </w:r>
      <w:r w:rsidR="008A2FF1">
        <w:t xml:space="preserve">a </w:t>
      </w:r>
      <w:r w:rsidR="00194224">
        <w:t xml:space="preserve">mixed urban/rural </w:t>
      </w:r>
      <w:r w:rsidR="000F7123">
        <w:t>population, with</w:t>
      </w:r>
      <w:r w:rsidR="00194224">
        <w:t xml:space="preserve"> </w:t>
      </w:r>
      <w:r w:rsidR="00873959">
        <w:t xml:space="preserve">large </w:t>
      </w:r>
      <w:r w:rsidR="00194224">
        <w:t xml:space="preserve">cities </w:t>
      </w:r>
      <w:r w:rsidR="002D465C">
        <w:t xml:space="preserve">as well as </w:t>
      </w:r>
      <w:r w:rsidR="00194224">
        <w:t>areas of low population density.</w:t>
      </w:r>
      <w:r w:rsidR="00AD49D5">
        <w:t xml:space="preserve"> </w:t>
      </w:r>
      <w:r w:rsidR="00427B73">
        <w:t>T</w:t>
      </w:r>
      <w:r w:rsidR="00427B73" w:rsidRPr="00427B73">
        <w:t xml:space="preserve">he recently published National Clinical Strategy sets </w:t>
      </w:r>
      <w:r w:rsidR="004F59DC" w:rsidRPr="004F59DC">
        <w:t>out a framework for</w:t>
      </w:r>
      <w:r w:rsidR="00427B73" w:rsidRPr="00B92796">
        <w:t xml:space="preserve"> the development of health services across</w:t>
      </w:r>
      <w:r w:rsidR="00A06397">
        <w:t xml:space="preserve"> Scotland for the next 15 years</w:t>
      </w:r>
      <w:r w:rsidR="00C1713F" w:rsidRPr="00C1713F">
        <w:t xml:space="preserve"> </w:t>
      </w:r>
      <w:r w:rsidR="00E12C4E">
        <w:fldChar w:fldCharType="begin" w:fldLock="1"/>
      </w:r>
      <w:r w:rsidR="00DB6107">
        <w:instrText>ADDIN CSL_CITATION { "citationItems" : [ { "id" : "ITEM-1", "itemData" : { "author" : [ { "dropping-particle" : "", "family" : "Scottish Government", "given" : "", "non-dropping-particle" : "", "parse-names" : false, "suffix" : "" } ], "id" : "ITEM-1", "issued" : { "date-parts" : [ [ "2016" ] ] }, "title" : "A National Clinical Strategy for Scotland", "type" : "report" }, "uris" : [ "http://www.mendeley.com/documents/?uuid=5f5e6c8c-fd16-4df0-9ec5-334acf92c5dc" ] } ], "mendeley" : { "formattedCitation" : "[13]", "plainTextFormattedCitation" : "[13]", "previouslyFormattedCitation" : "[13]" }, "properties" : { "noteIndex" : 0 }, "schema" : "https://github.com/citation-style-language/schema/raw/master/csl-citation.json" }</w:instrText>
      </w:r>
      <w:r w:rsidR="00E12C4E">
        <w:fldChar w:fldCharType="separate"/>
      </w:r>
      <w:r w:rsidR="00DD49A4" w:rsidRPr="00DD49A4">
        <w:rPr>
          <w:noProof/>
        </w:rPr>
        <w:t>[13]</w:t>
      </w:r>
      <w:r w:rsidR="00E12C4E">
        <w:fldChar w:fldCharType="end"/>
      </w:r>
      <w:r w:rsidR="00A06397">
        <w:t>.</w:t>
      </w:r>
      <w:r w:rsidR="00264591">
        <w:t xml:space="preserve"> </w:t>
      </w:r>
      <w:r w:rsidR="008A2FF1">
        <w:rPr>
          <w:lang w:val="en-US"/>
        </w:rPr>
        <w:t xml:space="preserve">It </w:t>
      </w:r>
      <w:r w:rsidR="00E036FF">
        <w:rPr>
          <w:lang w:val="en-US"/>
        </w:rPr>
        <w:t xml:space="preserve">emphasises the importance of </w:t>
      </w:r>
      <w:r w:rsidR="00427B73">
        <w:rPr>
          <w:lang w:val="en-US"/>
        </w:rPr>
        <w:t xml:space="preserve">planning </w:t>
      </w:r>
      <w:r w:rsidR="00A06397">
        <w:rPr>
          <w:lang w:val="en-US"/>
        </w:rPr>
        <w:t>services at a population level and the development of</w:t>
      </w:r>
      <w:r w:rsidR="00264591">
        <w:rPr>
          <w:lang w:val="en-US"/>
        </w:rPr>
        <w:t xml:space="preserve"> </w:t>
      </w:r>
      <w:r w:rsidR="00427B73" w:rsidRPr="00185861">
        <w:t xml:space="preserve">hospital networks to deliver </w:t>
      </w:r>
      <w:r w:rsidR="00264591">
        <w:t xml:space="preserve">complex </w:t>
      </w:r>
      <w:r w:rsidR="00E603D2">
        <w:t>care</w:t>
      </w:r>
      <w:r w:rsidR="00264591">
        <w:t>.</w:t>
      </w:r>
      <w:r w:rsidR="00C1713F">
        <w:t xml:space="preserve"> </w:t>
      </w:r>
      <w:r w:rsidR="004F59DC">
        <w:t>The accessibility of critical</w:t>
      </w:r>
      <w:r w:rsidR="00FF385A">
        <w:t xml:space="preserve"> care</w:t>
      </w:r>
      <w:r w:rsidR="004F59DC">
        <w:t xml:space="preserve"> services, across Scotland as a whole, has not previously been analysed in this context. </w:t>
      </w:r>
    </w:p>
    <w:p w14:paraId="450F4464" w14:textId="77777777" w:rsidR="004955EA" w:rsidRDefault="00B67CA8" w:rsidP="00D31C30">
      <w:pPr>
        <w:pStyle w:val="Heading1"/>
        <w:jc w:val="both"/>
      </w:pPr>
      <w:r w:rsidRPr="00D30831">
        <w:lastRenderedPageBreak/>
        <w:t>METHODS</w:t>
      </w:r>
      <w:r w:rsidRPr="00EA4CB4">
        <w:t xml:space="preserve"> </w:t>
      </w:r>
    </w:p>
    <w:p w14:paraId="75BF9780" w14:textId="77777777" w:rsidR="006240A4" w:rsidRDefault="006240A4" w:rsidP="00D31C30">
      <w:pPr>
        <w:pStyle w:val="Heading2"/>
      </w:pPr>
      <w:r>
        <w:t>Study design</w:t>
      </w:r>
    </w:p>
    <w:p w14:paraId="52240E46" w14:textId="77777777" w:rsidR="006240A4" w:rsidRDefault="006240A4" w:rsidP="00D31C30">
      <w:pPr>
        <w:jc w:val="both"/>
      </w:pPr>
      <w:r>
        <w:t xml:space="preserve">This is a geographical analysis of population and areal coverage. </w:t>
      </w:r>
      <w:r w:rsidR="00DB4781">
        <w:t>Geographical a</w:t>
      </w:r>
      <w:r>
        <w:t>ccessibility was defined as the percentage of the population that could reach a critical care service within a certain time</w:t>
      </w:r>
      <w:r w:rsidR="004A0435">
        <w:t xml:space="preserve"> (45 </w:t>
      </w:r>
      <w:r w:rsidR="00A61868">
        <w:t xml:space="preserve">and 60 </w:t>
      </w:r>
      <w:r w:rsidR="004A0435">
        <w:t>minutes)</w:t>
      </w:r>
      <w:r>
        <w:t xml:space="preserve">, and the percentage of land area from which a hospital with a critical care service could be reached within </w:t>
      </w:r>
      <w:r w:rsidR="000A62D5">
        <w:t xml:space="preserve">this </w:t>
      </w:r>
      <w:r>
        <w:t xml:space="preserve">time. </w:t>
      </w:r>
    </w:p>
    <w:p w14:paraId="4C44682C" w14:textId="77777777" w:rsidR="00840C99" w:rsidRDefault="00840C99" w:rsidP="00D31C30">
      <w:pPr>
        <w:pStyle w:val="Heading2"/>
      </w:pPr>
      <w:r>
        <w:t>Setting</w:t>
      </w:r>
    </w:p>
    <w:p w14:paraId="775D4A88" w14:textId="07FEFD58" w:rsidR="00840C99" w:rsidRPr="00C073BC" w:rsidRDefault="00840C99" w:rsidP="00D31C30">
      <w:pPr>
        <w:jc w:val="both"/>
      </w:pPr>
      <w:r>
        <w:t xml:space="preserve">Scotland has a land area of 78,770 </w:t>
      </w:r>
      <w:r w:rsidRPr="00A47DC5">
        <w:t>km</w:t>
      </w:r>
      <w:r w:rsidRPr="00A47DC5">
        <w:rPr>
          <w:vertAlign w:val="superscript"/>
        </w:rPr>
        <w:t>2</w:t>
      </w:r>
      <w:r w:rsidR="00711A95">
        <w:fldChar w:fldCharType="begin" w:fldLock="1"/>
      </w:r>
      <w:r w:rsidR="00DB6107">
        <w:instrText>ADDIN CSL_CITATION { "citationItems" : [ { "id" : "ITEM-1", "itemData" : { "author" : [ { "dropping-particle" : "", "family" : "Team", "given" : "National Records of Scotland Web", "non-dropping-particle" : "", "parse-names" : false, "suffix" : "" } ], "id" : "ITEM-1", "issued" : { "date-parts" : [ [ "0" ] ] }, "language" : "English", "note" : "Demographic and geographic data regarding scotland", "publisher" : "National Records of Scotland", "title" : "National Records of Scotland", "type" : "article" }, "uris" : [ "http://www.mendeley.com/documents/?uuid=7a95f7a9-03c7-434f-afb1-6cdcad068a5f" ] } ], "mendeley" : { "formattedCitation" : "[14]", "plainTextFormattedCitation" : "[14]", "previouslyFormattedCitation" : "[14]" }, "properties" : { "noteIndex" : 0 }, "schema" : "https://github.com/citation-style-language/schema/raw/master/csl-citation.json" }</w:instrText>
      </w:r>
      <w:r w:rsidR="00711A95">
        <w:fldChar w:fldCharType="separate"/>
      </w:r>
      <w:r w:rsidR="00DD49A4" w:rsidRPr="00DD49A4">
        <w:rPr>
          <w:noProof/>
        </w:rPr>
        <w:t>[14]</w:t>
      </w:r>
      <w:r w:rsidR="00711A95">
        <w:fldChar w:fldCharType="end"/>
      </w:r>
      <w:r w:rsidR="00711A95">
        <w:t>,</w:t>
      </w:r>
      <w:r>
        <w:t xml:space="preserve"> constituting approximately one-third of the United Kingdom’s land mass, and a population of 5.</w:t>
      </w:r>
      <w:r w:rsidR="002A1FC5">
        <w:t>4</w:t>
      </w:r>
      <w:r>
        <w:t xml:space="preserve"> million. 81% of the Scottish population live in urban</w:t>
      </w:r>
      <w:r w:rsidR="00BD5F6F">
        <w:t xml:space="preserve"> areas, predominantly in the so-</w:t>
      </w:r>
      <w:r>
        <w:t xml:space="preserve">called </w:t>
      </w:r>
      <w:r w:rsidRPr="00A47DC5">
        <w:t>“</w:t>
      </w:r>
      <w:r w:rsidR="00DB4781">
        <w:t>C</w:t>
      </w:r>
      <w:r w:rsidRPr="00B92796">
        <w:t xml:space="preserve">entral </w:t>
      </w:r>
      <w:r w:rsidR="00DB4781">
        <w:t>B</w:t>
      </w:r>
      <w:r w:rsidRPr="00B92796">
        <w:t>elt</w:t>
      </w:r>
      <w:r w:rsidRPr="00A47DC5">
        <w:t>”</w:t>
      </w:r>
      <w:r>
        <w:t>, which extends from Glasgow in the West to Edinburgh in the East,</w:t>
      </w:r>
      <w:r w:rsidRPr="00A47DC5">
        <w:t xml:space="preserve"> </w:t>
      </w:r>
      <w:r>
        <w:t>and the coastal areas in the East and North East. Large areas, predominantly in the mountainous West and North West are sparsely populated, with among the lowest population densities in Europe</w:t>
      </w:r>
      <w:r w:rsidR="002864E9">
        <w:t xml:space="preserve"> (</w:t>
      </w:r>
      <w:r w:rsidR="00D31C30">
        <w:t xml:space="preserve"> </w:t>
      </w:r>
      <w:r w:rsidR="002864E9">
        <w:t>Figure 1</w:t>
      </w:r>
      <w:r w:rsidR="00D31C30">
        <w:t xml:space="preserve"> </w:t>
      </w:r>
      <w:r w:rsidR="004F7BB2">
        <w:t>)</w:t>
      </w:r>
      <w:r w:rsidR="00BC44FB">
        <w:t xml:space="preserve"> </w:t>
      </w:r>
      <w:r w:rsidR="00E12C4E">
        <w:fldChar w:fldCharType="begin" w:fldLock="1"/>
      </w:r>
      <w:r w:rsidR="00DB6107">
        <w:instrText>ADDIN CSL_CITATION { "citationItems" : [ { "id" : "ITEM-1", "itemData" : { "author" : [ { "dropping-particle" : "", "family" : "Team", "given" : "National Records of Scotland Web", "non-dropping-particle" : "", "parse-names" : false, "suffix" : "" } ], "id" : "ITEM-1", "issued" : { "date-parts" : [ [ "0" ] ] }, "language" : "English", "note" : "Demographic and geographic data regarding scotland", "publisher" : "National Records of Scotland", "title" : "National Records of Scotland", "type" : "article" }, "uris" : [ "http://www.mendeley.com/documents/?uuid=7a95f7a9-03c7-434f-afb1-6cdcad068a5f" ] } ], "mendeley" : { "formattedCitation" : "[14]", "plainTextFormattedCitation" : "[14]", "previouslyFormattedCitation" : "[14]" }, "properties" : { "noteIndex" : 0 }, "schema" : "https://github.com/citation-style-language/schema/raw/master/csl-citation.json" }</w:instrText>
      </w:r>
      <w:r w:rsidR="00E12C4E">
        <w:fldChar w:fldCharType="separate"/>
      </w:r>
      <w:r w:rsidR="00DD49A4" w:rsidRPr="00DD49A4">
        <w:rPr>
          <w:noProof/>
        </w:rPr>
        <w:t>[14]</w:t>
      </w:r>
      <w:r w:rsidR="00E12C4E">
        <w:fldChar w:fldCharType="end"/>
      </w:r>
      <w:r w:rsidR="005D3DDB">
        <w:t>.</w:t>
      </w:r>
      <w:r>
        <w:t xml:space="preserve"> Scotland has 790 islands, although only 95 are inhabited. The combined popul</w:t>
      </w:r>
      <w:r w:rsidR="00343864">
        <w:t xml:space="preserve">ation of </w:t>
      </w:r>
      <w:r w:rsidR="00DB4781">
        <w:t xml:space="preserve">the </w:t>
      </w:r>
      <w:r w:rsidR="00372068">
        <w:t>Scottish</w:t>
      </w:r>
      <w:r w:rsidR="00343864">
        <w:t xml:space="preserve"> islands is 103</w:t>
      </w:r>
      <w:r>
        <w:t>,</w:t>
      </w:r>
      <w:r w:rsidR="00343864">
        <w:t>000</w:t>
      </w:r>
      <w:r w:rsidR="00E12C4E">
        <w:fldChar w:fldCharType="begin" w:fldLock="1"/>
      </w:r>
      <w:r w:rsidR="00DB6107">
        <w:instrText>ADDIN CSL_CITATION { "citationItems" : [ { "id" : "ITEM-1", "itemData" : { "id" : "ITEM-1", "issued" : { "date-parts" : [ [ "2013" ] ] }, "title" : "2011 Census: First Results on Population and Household Estimates for Scotland -Release 1C (Part Two)", "type" : "article-journal" }, "uris" : [ "http://www.mendeley.com/documents/?uuid=f125256a-0aef-3367-9ac4-3704aafe0c93" ] } ], "mendeley" : { "formattedCitation" : "[15]", "plainTextFormattedCitation" : "[15]", "previouslyFormattedCitation" : "[15]" }, "properties" : { "noteIndex" : 0 }, "schema" : "https://github.com/citation-style-language/schema/raw/master/csl-citation.json" }</w:instrText>
      </w:r>
      <w:r w:rsidR="00E12C4E">
        <w:fldChar w:fldCharType="separate"/>
      </w:r>
      <w:r w:rsidR="00DD49A4" w:rsidRPr="00DD49A4">
        <w:rPr>
          <w:noProof/>
        </w:rPr>
        <w:t>[15]</w:t>
      </w:r>
      <w:r w:rsidR="00E12C4E">
        <w:fldChar w:fldCharType="end"/>
      </w:r>
      <w:r w:rsidR="005D3DDB">
        <w:t>.</w:t>
      </w:r>
    </w:p>
    <w:p w14:paraId="5101287C" w14:textId="77777777" w:rsidR="006240A4" w:rsidRDefault="001F2F87" w:rsidP="00D31C30">
      <w:pPr>
        <w:pStyle w:val="Heading2"/>
        <w:rPr>
          <w:sz w:val="24"/>
          <w:szCs w:val="24"/>
        </w:rPr>
      </w:pPr>
      <w:r>
        <w:t>Administrative regions and rurality</w:t>
      </w:r>
    </w:p>
    <w:p w14:paraId="347AF83C" w14:textId="062B5229" w:rsidR="00DB4781" w:rsidRPr="00DD6C87" w:rsidRDefault="00840C99" w:rsidP="00D31C30">
      <w:pPr>
        <w:jc w:val="both"/>
      </w:pPr>
      <w:r w:rsidRPr="00377036">
        <w:t xml:space="preserve">We analysed access for the population and country as a whole, as well as by </w:t>
      </w:r>
      <w:r w:rsidR="00DB4781">
        <w:t>administrative area (</w:t>
      </w:r>
      <w:r w:rsidRPr="00377036">
        <w:t xml:space="preserve">health board </w:t>
      </w:r>
      <w:r w:rsidR="00DB4781">
        <w:t>region)</w:t>
      </w:r>
      <w:r w:rsidRPr="00377036">
        <w:t xml:space="preserve">, and rurality. </w:t>
      </w:r>
      <w:r w:rsidR="006240A4" w:rsidRPr="00786B91">
        <w:t xml:space="preserve">There are </w:t>
      </w:r>
      <w:r w:rsidR="006240A4" w:rsidRPr="00405140">
        <w:t>14 boards</w:t>
      </w:r>
      <w:r w:rsidR="00DB4781">
        <w:t>, of varying size,</w:t>
      </w:r>
      <w:r w:rsidR="006240A4" w:rsidRPr="00405140">
        <w:t xml:space="preserve"> which are responsible for the delivery of health care services</w:t>
      </w:r>
      <w:r w:rsidR="00F915A4">
        <w:t>.</w:t>
      </w:r>
      <w:r w:rsidR="008D7D05">
        <w:t xml:space="preserve"> (</w:t>
      </w:r>
      <w:r w:rsidR="00D31C30">
        <w:t xml:space="preserve"> </w:t>
      </w:r>
      <w:r w:rsidR="00F915A4">
        <w:t>Figure 1</w:t>
      </w:r>
      <w:r w:rsidR="00D31C30">
        <w:t xml:space="preserve"> </w:t>
      </w:r>
      <w:r w:rsidR="00F915A4">
        <w:t xml:space="preserve">, </w:t>
      </w:r>
      <w:r w:rsidR="008D7D05">
        <w:t>Table 1</w:t>
      </w:r>
      <w:r w:rsidR="00D31C30">
        <w:t xml:space="preserve"> </w:t>
      </w:r>
      <w:r w:rsidR="008D7D05">
        <w:t>)</w:t>
      </w:r>
      <w:r w:rsidR="006240A4">
        <w:t xml:space="preserve"> </w:t>
      </w:r>
      <w:r>
        <w:t>Scotland has an established urban/rural classification scheme</w:t>
      </w:r>
      <w:r w:rsidR="00BD5F6F">
        <w:t xml:space="preserve"> </w:t>
      </w:r>
      <w:r w:rsidR="00E12C4E">
        <w:fldChar w:fldCharType="begin" w:fldLock="1"/>
      </w:r>
      <w:r w:rsidR="00DB6107">
        <w:instrText>ADDIN CSL_CITATION { "citationItems" : [ { "id" : "ITEM-1", "itemData" : { "author" : [ { "dropping-particle" : "", "family" : "Scottish Government", "given" : "Rural and Environment Science and Analytical Services Division.", "non-dropping-particle" : "", "parse-names" : false, "suffix" : "" } ], "id" : "ITEM-1", "issued" : { "date-parts" : [ [ "2014" ] ] }, "title" : "Scottish Government Urban/Rural Classification 2013 - 2014", "type" : "report" }, "uris" : [ "http://www.mendeley.com/documents/?uuid=1b24a616-1e1e-3218-9738-74ebeab48786" ] } ], "mendeley" : { "formattedCitation" : "[16]", "plainTextFormattedCitation" : "[16]", "previouslyFormattedCitation" : "[16]" }, "properties" : { "noteIndex" : 0 }, "schema" : "https://github.com/citation-style-language/schema/raw/master/csl-citation.json" }</w:instrText>
      </w:r>
      <w:r w:rsidR="00E12C4E">
        <w:fldChar w:fldCharType="separate"/>
      </w:r>
      <w:r w:rsidR="00DD49A4" w:rsidRPr="00DD49A4">
        <w:rPr>
          <w:noProof/>
        </w:rPr>
        <w:t>[16]</w:t>
      </w:r>
      <w:r w:rsidR="00E12C4E">
        <w:fldChar w:fldCharType="end"/>
      </w:r>
      <w:r w:rsidR="005D3DDB">
        <w:t>.</w:t>
      </w:r>
      <w:r w:rsidR="00DB4781" w:rsidRPr="00DB4781">
        <w:t xml:space="preserve"> </w:t>
      </w:r>
      <w:r w:rsidR="00677D01">
        <w:t>The latest, 8-fold version of the classification</w:t>
      </w:r>
      <w:r>
        <w:t xml:space="preserve"> divides the </w:t>
      </w:r>
      <w:r w:rsidR="00343864">
        <w:t xml:space="preserve">country into large urban areas, </w:t>
      </w:r>
      <w:r>
        <w:t>other urban</w:t>
      </w:r>
      <w:r w:rsidR="002C72D0">
        <w:t xml:space="preserve"> areas</w:t>
      </w:r>
      <w:r w:rsidR="00343864">
        <w:t>,</w:t>
      </w:r>
      <w:r>
        <w:t xml:space="preserve"> accessible small towns</w:t>
      </w:r>
      <w:r w:rsidR="006240A4">
        <w:t xml:space="preserve">, remote small towns, very remote small towns, </w:t>
      </w:r>
      <w:r w:rsidR="00343864">
        <w:t>accessible</w:t>
      </w:r>
      <w:r w:rsidR="006240A4">
        <w:t xml:space="preserve"> rural areas, remote rural areas, and very remote rural </w:t>
      </w:r>
      <w:r w:rsidR="002C72D0">
        <w:t>areas</w:t>
      </w:r>
      <w:r w:rsidR="00677D01">
        <w:t>, using a combination of settlement size and drive-time</w:t>
      </w:r>
      <w:r w:rsidR="00D13389">
        <w:t xml:space="preserve"> (</w:t>
      </w:r>
      <w:r w:rsidR="000A62D5">
        <w:t xml:space="preserve">Supplementary </w:t>
      </w:r>
      <w:r w:rsidR="00D13389">
        <w:t>Table 1).</w:t>
      </w:r>
      <w:r w:rsidR="00DB4781">
        <w:t xml:space="preserve"> </w:t>
      </w:r>
    </w:p>
    <w:p w14:paraId="6C91F1CE" w14:textId="77777777" w:rsidR="0018740B" w:rsidRDefault="00A47DC5" w:rsidP="00D31C30">
      <w:pPr>
        <w:pStyle w:val="Heading2"/>
      </w:pPr>
      <w:r w:rsidRPr="00BC44FB">
        <w:t>Classification of critical care services</w:t>
      </w:r>
    </w:p>
    <w:p w14:paraId="35F66E23" w14:textId="29F04CB5" w:rsidR="000345CB" w:rsidRDefault="00BC44FB" w:rsidP="00D31C30">
      <w:pPr>
        <w:jc w:val="both"/>
      </w:pPr>
      <w:r>
        <w:t>The Scottish Intensive Care Society Audit Group lists 26 intensive care units, in 23 hospital</w:t>
      </w:r>
      <w:r w:rsidR="00AE56C0">
        <w:t>s</w:t>
      </w:r>
      <w:r w:rsidR="003750D2">
        <w:t xml:space="preserve"> </w:t>
      </w:r>
      <w:r w:rsidR="003750D2">
        <w:fldChar w:fldCharType="begin" w:fldLock="1"/>
      </w:r>
      <w:r w:rsidR="00DB6107">
        <w:instrText>ADDIN CSL_CITATION { "citationItems" : [ { "id" : "ITEM-1", "itemData" : { "container-title" : "http://www.sicsag.scot.nhs.uk/", "id" : "ITEM-1", "issued" : { "date-parts" : [ [ "0" ] ] }, "title" : "Scottish Intensive Care Society Audit Group", "type" : "webpage" }, "uris" : [ "http://www.mendeley.com/documents/?uuid=4c1cd599-b13d-411d-8e74-9589ef10916a" ] } ], "mendeley" : { "formattedCitation" : "[17]", "plainTextFormattedCitation" : "[17]", "previouslyFormattedCitation" : "[17]" }, "properties" : { "noteIndex" : 0 }, "schema" : "https://github.com/citation-style-language/schema/raw/master/csl-citation.json" }</w:instrText>
      </w:r>
      <w:r w:rsidR="003750D2">
        <w:fldChar w:fldCharType="separate"/>
      </w:r>
      <w:r w:rsidR="00DD49A4" w:rsidRPr="00DD49A4">
        <w:rPr>
          <w:noProof/>
        </w:rPr>
        <w:t>[17]</w:t>
      </w:r>
      <w:r w:rsidR="003750D2">
        <w:fldChar w:fldCharType="end"/>
      </w:r>
      <w:r w:rsidR="00AE56C0">
        <w:t xml:space="preserve">. Most of these </w:t>
      </w:r>
      <w:r w:rsidR="00F915A4">
        <w:t xml:space="preserve">centres </w:t>
      </w:r>
      <w:r w:rsidR="00AE56C0">
        <w:t>are U</w:t>
      </w:r>
      <w:r>
        <w:t xml:space="preserve">niversity </w:t>
      </w:r>
      <w:r w:rsidR="00AE56C0">
        <w:t xml:space="preserve">affiliated </w:t>
      </w:r>
      <w:r>
        <w:t xml:space="preserve">hospitals or large district general hospitals, </w:t>
      </w:r>
      <w:r>
        <w:lastRenderedPageBreak/>
        <w:t xml:space="preserve">located in areas of high population density. However, critical care is not only provided in intensive care units. Most emergency departments have the ability to intubate patients, and commence ventilatory and cardiovascular support, but other treatments, such as renal replacement therapy or intracranial pressure monitoring, are generally only available in intensive care units. </w:t>
      </w:r>
      <w:r w:rsidR="00A47DC5">
        <w:t xml:space="preserve">Critical care services were </w:t>
      </w:r>
      <w:r>
        <w:t xml:space="preserve">therefore </w:t>
      </w:r>
      <w:r w:rsidR="00A47DC5">
        <w:t xml:space="preserve">defined as either “intermediate” or “definitive”. Intermediate </w:t>
      </w:r>
      <w:r w:rsidR="000345CB">
        <w:t xml:space="preserve">critical </w:t>
      </w:r>
      <w:r w:rsidR="00A47DC5">
        <w:t xml:space="preserve">care was defined as the </w:t>
      </w:r>
      <w:r w:rsidR="000345CB">
        <w:t>ability to provide advanced airway management, including drug-assisted intubation, cardiovascular monitoring with central and arterial lines, and vasoactive drug treatment. This level of care would be expected in most emergency departments, even when hospitals do not have critical care ward facilities. Definitive critical care was defined as the level of care which would be expected from an intensive care unit, including advanced respiratory and circulatory support, and renal replacement therapy, e</w:t>
      </w:r>
      <w:r w:rsidR="00194224">
        <w:t xml:space="preserve">quating to </w:t>
      </w:r>
      <w:r w:rsidR="00AA137A">
        <w:t>l</w:t>
      </w:r>
      <w:r w:rsidR="000345CB">
        <w:t>evel 3 critical care, as defined by the Intensive Care Society</w:t>
      </w:r>
      <w:r>
        <w:t xml:space="preserve"> </w:t>
      </w:r>
      <w:r w:rsidR="00E12C4E">
        <w:fldChar w:fldCharType="begin" w:fldLock="1"/>
      </w:r>
      <w:r w:rsidR="00DB6107">
        <w:instrText>ADDIN CSL_CITATION { "citationItems" : [ { "id" : "ITEM-1", "itemData" : { "id" : "ITEM-1", "issued" : { "date-parts" : [ [ "2015" ] ] }, "title" : "The Intensive Care Society: Levels of critical care for adult patients: Standards and Guidelines", "type" : "report" }, "uris" : [ "http://www.mendeley.com/documents/?uuid=0d5fdeb9-4798-466f-9dc7-b49ffbdae59e" ] } ], "mendeley" : { "formattedCitation" : "[18]", "plainTextFormattedCitation" : "[18]", "previouslyFormattedCitation" : "[18]" }, "properties" : { "noteIndex" : 0 }, "schema" : "https://github.com/citation-style-language/schema/raw/master/csl-citation.json" }</w:instrText>
      </w:r>
      <w:r w:rsidR="00E12C4E">
        <w:fldChar w:fldCharType="separate"/>
      </w:r>
      <w:r w:rsidR="00DD49A4" w:rsidRPr="00DD49A4">
        <w:rPr>
          <w:noProof/>
        </w:rPr>
        <w:t>[18]</w:t>
      </w:r>
      <w:r w:rsidR="00E12C4E">
        <w:fldChar w:fldCharType="end"/>
      </w:r>
      <w:r w:rsidR="005D3DDB">
        <w:t>.</w:t>
      </w:r>
    </w:p>
    <w:p w14:paraId="49EC09C2" w14:textId="77777777" w:rsidR="00693149" w:rsidRDefault="00693149" w:rsidP="00D31C30">
      <w:pPr>
        <w:pStyle w:val="Heading2"/>
      </w:pPr>
      <w:r>
        <w:t>Identification and geocoding of hospitals</w:t>
      </w:r>
    </w:p>
    <w:p w14:paraId="7F3F3788" w14:textId="7B860098" w:rsidR="000345CB" w:rsidRDefault="009D6F23" w:rsidP="00D31C30">
      <w:pPr>
        <w:jc w:val="both"/>
      </w:pPr>
      <w:r w:rsidRPr="009D6F23">
        <w:t xml:space="preserve">We used reports from </w:t>
      </w:r>
      <w:r w:rsidR="00511093">
        <w:t>Audit Scotland</w:t>
      </w:r>
      <w:r w:rsidR="00E12C4E">
        <w:fldChar w:fldCharType="begin" w:fldLock="1"/>
      </w:r>
      <w:r w:rsidR="00DB6107">
        <w:instrText>ADDIN CSL_CITATION { "citationItems" : [ { "id" : "ITEM-1", "itemData" : { "abstract" : "Audit Scotland is a statutory body set up in April 2000 under the Public Finance and Accountability (Scotland) Act 2000. It provides services to the Auditor General for Scotland and the Accounts Commission. Together they ensure that the Scottish Government and public sector bodies in Scotland are held to account for the proper, efficient and effective use of public funds.", "author" : [ { "dropping-particle" : "", "family" : "Scotland", "given" : "Audit", "non-dropping-particle" : "", "parse-names" : false, "suffix" : "" } ], "id" : "ITEM-1", "issued" : { "date-parts" : [ [ "2015" ] ] }, "title" : "Accident and Emergency: Briefing paper to the Public Audit Committee", "type" : "article-journal" }, "uris" : [ "http://www.mendeley.com/documents/?uuid=b0536be5-e137-300e-ab6f-c5d94b09a32d" ] } ], "mendeley" : { "formattedCitation" : "[19]", "plainTextFormattedCitation" : "[19]", "previouslyFormattedCitation" : "[19]" }, "properties" : { "noteIndex" : 0 }, "schema" : "https://github.com/citation-style-language/schema/raw/master/csl-citation.json" }</w:instrText>
      </w:r>
      <w:r w:rsidR="00E12C4E">
        <w:fldChar w:fldCharType="separate"/>
      </w:r>
      <w:r w:rsidR="00DD49A4" w:rsidRPr="00DD49A4">
        <w:rPr>
          <w:noProof/>
        </w:rPr>
        <w:t>[19]</w:t>
      </w:r>
      <w:r w:rsidR="00E12C4E">
        <w:fldChar w:fldCharType="end"/>
      </w:r>
      <w:r w:rsidR="000345CB" w:rsidRPr="009D6F23">
        <w:t xml:space="preserve"> and the Scottish Intensive Ca</w:t>
      </w:r>
      <w:r w:rsidR="00CB3443">
        <w:t>re Society Audit Group (SICSAG)</w:t>
      </w:r>
      <w:r w:rsidR="00E12C4E">
        <w:fldChar w:fldCharType="begin" w:fldLock="1"/>
      </w:r>
      <w:r w:rsidR="00DB6107">
        <w:instrText>ADDIN CSL_CITATION { "citationItems" : [ { "id" : "ITEM-1", "itemData" : { "container-title" : "http://www.sicsag.scot.nhs.uk/", "id" : "ITEM-1", "issued" : { "date-parts" : [ [ "0" ] ] }, "title" : "Scottish Intensive Care Society Audit Group", "type" : "webpage" }, "uris" : [ "http://www.mendeley.com/documents/?uuid=4c1cd599-b13d-411d-8e74-9589ef10916a" ] } ], "mendeley" : { "formattedCitation" : "[17]", "plainTextFormattedCitation" : "[17]", "previouslyFormattedCitation" : "[17]" }, "properties" : { "noteIndex" : 0 }, "schema" : "https://github.com/citation-style-language/schema/raw/master/csl-citation.json" }</w:instrText>
      </w:r>
      <w:r w:rsidR="00E12C4E">
        <w:fldChar w:fldCharType="separate"/>
      </w:r>
      <w:r w:rsidR="00DD49A4" w:rsidRPr="00DD49A4">
        <w:rPr>
          <w:noProof/>
        </w:rPr>
        <w:t>[17]</w:t>
      </w:r>
      <w:r w:rsidR="00E12C4E">
        <w:fldChar w:fldCharType="end"/>
      </w:r>
      <w:r w:rsidRPr="009D6F23">
        <w:t xml:space="preserve"> to identify </w:t>
      </w:r>
      <w:r>
        <w:t xml:space="preserve">centres which provide such services, and to classify them. </w:t>
      </w:r>
      <w:r w:rsidR="00832F5E">
        <w:t xml:space="preserve">Thirty </w:t>
      </w:r>
      <w:r>
        <w:t>hospitals were i</w:t>
      </w:r>
      <w:r w:rsidR="006D5928">
        <w:t>dentified</w:t>
      </w:r>
      <w:r w:rsidR="00572B95">
        <w:t xml:space="preserve">, </w:t>
      </w:r>
      <w:r w:rsidR="00832F5E">
        <w:t xml:space="preserve">of which </w:t>
      </w:r>
      <w:r w:rsidR="00572B95">
        <w:t>20 have definitive critical care facilities</w:t>
      </w:r>
      <w:r w:rsidR="00F915A4">
        <w:t>. A</w:t>
      </w:r>
      <w:r w:rsidR="00572B95">
        <w:t xml:space="preserve"> further 10 </w:t>
      </w:r>
      <w:r w:rsidR="00B960C5">
        <w:t xml:space="preserve">offer </w:t>
      </w:r>
      <w:r w:rsidR="00572B95">
        <w:t>intermediate services</w:t>
      </w:r>
      <w:r w:rsidR="006D5928">
        <w:t xml:space="preserve"> only</w:t>
      </w:r>
      <w:r w:rsidR="00572B95">
        <w:t xml:space="preserve">. </w:t>
      </w:r>
      <w:r w:rsidR="00832F5E">
        <w:t>This study was focused on adult services, and w</w:t>
      </w:r>
      <w:r w:rsidR="00CD2CA1">
        <w:t xml:space="preserve">e </w:t>
      </w:r>
      <w:r w:rsidR="00832F5E">
        <w:t xml:space="preserve">therefore </w:t>
      </w:r>
      <w:r w:rsidR="00CD2CA1">
        <w:t xml:space="preserve">excluded the two paediatric ICUs, and </w:t>
      </w:r>
      <w:r w:rsidR="00F915A4">
        <w:t>a</w:t>
      </w:r>
      <w:r w:rsidR="00CD2CA1">
        <w:t xml:space="preserve"> stand-alone specialist cardiothoracic ICU</w:t>
      </w:r>
      <w:r w:rsidR="00194224">
        <w:t>.</w:t>
      </w:r>
      <w:r w:rsidR="00CD2CA1">
        <w:t xml:space="preserve"> </w:t>
      </w:r>
      <w:r w:rsidR="00832F5E">
        <w:t xml:space="preserve">The </w:t>
      </w:r>
      <w:r w:rsidR="00693149">
        <w:t>hospitals</w:t>
      </w:r>
      <w:r w:rsidR="00832F5E">
        <w:t>’</w:t>
      </w:r>
      <w:r w:rsidR="00693149">
        <w:t xml:space="preserve"> location</w:t>
      </w:r>
      <w:r w:rsidR="00832F5E">
        <w:t>s were georeferenced using google maps</w:t>
      </w:r>
      <w:r w:rsidR="004E3286">
        <w:fldChar w:fldCharType="begin" w:fldLock="1"/>
      </w:r>
      <w:r w:rsidR="00DB6107">
        <w:instrText>ADDIN CSL_CITATION { "citationItems" : [ { "id" : "ITEM-1", "itemData" : { "URL" : "www.googlemaps.com", "accessed" : { "date-parts" : [ [ "2017", "4", "5" ] ] }, "id" : "ITEM-1", "issued" : { "date-parts" : [ [ "2017" ] ] }, "title" : "Google maps", "type" : "webpage" }, "uris" : [ "http://www.mendeley.com/documents/?uuid=2acf2fe0-f172-497f-a0c7-d2565be641bd" ] } ], "mendeley" : { "formattedCitation" : "[20]", "plainTextFormattedCitation" : "[20]", "previouslyFormattedCitation" : "[20]" }, "properties" : { "noteIndex" : 0 }, "schema" : "https://github.com/citation-style-language/schema/raw/master/csl-citation.json" }</w:instrText>
      </w:r>
      <w:r w:rsidR="004E3286">
        <w:fldChar w:fldCharType="separate"/>
      </w:r>
      <w:r w:rsidR="00DD49A4" w:rsidRPr="00DD49A4">
        <w:rPr>
          <w:noProof/>
        </w:rPr>
        <w:t>[20]</w:t>
      </w:r>
      <w:r w:rsidR="004E3286">
        <w:fldChar w:fldCharType="end"/>
      </w:r>
      <w:r w:rsidR="00832F5E">
        <w:t>.</w:t>
      </w:r>
      <w:r w:rsidR="001F5431">
        <w:t xml:space="preserve"> The</w:t>
      </w:r>
      <w:r w:rsidR="004E3286">
        <w:t xml:space="preserve"> WGS 1984 </w:t>
      </w:r>
      <w:r w:rsidR="001F5431">
        <w:t>co-ordinate system was used throughout</w:t>
      </w:r>
      <w:r w:rsidR="00693149">
        <w:t>.</w:t>
      </w:r>
    </w:p>
    <w:p w14:paraId="3742575D" w14:textId="77777777" w:rsidR="00ED28A4" w:rsidRDefault="00ED28A4" w:rsidP="00D31C30">
      <w:pPr>
        <w:pStyle w:val="Heading2"/>
      </w:pPr>
      <w:r>
        <w:t>Helicopter locations</w:t>
      </w:r>
    </w:p>
    <w:p w14:paraId="071E677A" w14:textId="40F472A0" w:rsidR="00ED28A4" w:rsidRPr="00ED28A4" w:rsidRDefault="00ED28A4" w:rsidP="00D31C30">
      <w:pPr>
        <w:jc w:val="both"/>
      </w:pPr>
      <w:r>
        <w:t xml:space="preserve">The Scottish Ambulance Service has three </w:t>
      </w:r>
      <w:r w:rsidR="00130906">
        <w:t xml:space="preserve">EC-145 </w:t>
      </w:r>
      <w:r>
        <w:t>helicopters, based in Glasgow, Perth, and Inverness</w:t>
      </w:r>
      <w:r w:rsidR="00047FF9">
        <w:t xml:space="preserve"> (</w:t>
      </w:r>
      <w:r w:rsidR="00D31C30">
        <w:t xml:space="preserve"> </w:t>
      </w:r>
      <w:r w:rsidR="00047FF9">
        <w:t>Figure 2</w:t>
      </w:r>
      <w:r w:rsidR="00D31C30">
        <w:t xml:space="preserve"> </w:t>
      </w:r>
      <w:r w:rsidR="00047FF9">
        <w:t>)</w:t>
      </w:r>
      <w:r>
        <w:t>.</w:t>
      </w:r>
      <w:r w:rsidR="00F915A4">
        <w:t xml:space="preserve"> The longitude and latitude of these locations was, again, determined using Google maps</w:t>
      </w:r>
      <w:r w:rsidR="00F915A4">
        <w:fldChar w:fldCharType="begin" w:fldLock="1"/>
      </w:r>
      <w:r w:rsidR="00DB6107">
        <w:instrText>ADDIN CSL_CITATION { "citationItems" : [ { "id" : "ITEM-1", "itemData" : { "URL" : "www.googlemaps.com", "accessed" : { "date-parts" : [ [ "2017", "4", "5" ] ] }, "id" : "ITEM-1", "issued" : { "date-parts" : [ [ "2017" ] ] }, "title" : "Google maps", "type" : "webpage" }, "uris" : [ "http://www.mendeley.com/documents/?uuid=2acf2fe0-f172-497f-a0c7-d2565be641bd" ] } ], "mendeley" : { "formattedCitation" : "[20]", "plainTextFormattedCitation" : "[20]", "previouslyFormattedCitation" : "[20]" }, "properties" : { "noteIndex" : 0 }, "schema" : "https://github.com/citation-style-language/schema/raw/master/csl-citation.json" }</w:instrText>
      </w:r>
      <w:r w:rsidR="00F915A4">
        <w:fldChar w:fldCharType="separate"/>
      </w:r>
      <w:r w:rsidR="00DD49A4" w:rsidRPr="00DD49A4">
        <w:rPr>
          <w:noProof/>
        </w:rPr>
        <w:t>[20]</w:t>
      </w:r>
      <w:r w:rsidR="00F915A4">
        <w:fldChar w:fldCharType="end"/>
      </w:r>
      <w:r w:rsidR="00F915A4">
        <w:t>.</w:t>
      </w:r>
    </w:p>
    <w:p w14:paraId="34745AE2" w14:textId="77777777" w:rsidR="00832F5E" w:rsidRDefault="00832F5E" w:rsidP="00D31C30">
      <w:pPr>
        <w:pStyle w:val="Heading2"/>
        <w:rPr>
          <w:lang w:val="en-GB"/>
        </w:rPr>
      </w:pPr>
      <w:r>
        <w:rPr>
          <w:lang w:val="en-GB"/>
        </w:rPr>
        <w:lastRenderedPageBreak/>
        <w:t>Access time threshold</w:t>
      </w:r>
    </w:p>
    <w:p w14:paraId="6ECF6657" w14:textId="51AA32DF" w:rsidR="002678E2" w:rsidRDefault="00832F5E" w:rsidP="00D31C30">
      <w:pPr>
        <w:jc w:val="both"/>
      </w:pPr>
      <w:r>
        <w:t xml:space="preserve">The analyses are based on an “access time threshold”, defined as </w:t>
      </w:r>
      <w:r w:rsidR="002678E2">
        <w:t xml:space="preserve">the </w:t>
      </w:r>
      <w:r w:rsidR="00130906">
        <w:t xml:space="preserve">time </w:t>
      </w:r>
      <w:r w:rsidR="002678E2">
        <w:t>within which a patient can reach a desired level of care</w:t>
      </w:r>
      <w:r w:rsidR="00F915A4">
        <w:t>, from the point of being ready to depart from the patient’s lo</w:t>
      </w:r>
      <w:r w:rsidR="009A2C47">
        <w:t>c</w:t>
      </w:r>
      <w:r w:rsidR="00F915A4">
        <w:t>ation</w:t>
      </w:r>
      <w:r w:rsidR="002678E2">
        <w:t>. This concept is widely used by trauma networks</w:t>
      </w:r>
      <w:r w:rsidR="00130906">
        <w:t>,</w:t>
      </w:r>
      <w:r w:rsidR="002678E2" w:rsidRPr="002678E2">
        <w:t xml:space="preserve"> </w:t>
      </w:r>
      <w:r w:rsidR="002678E2">
        <w:fldChar w:fldCharType="begin" w:fldLock="1"/>
      </w:r>
      <w:r w:rsidR="00DB6107">
        <w:instrText>ADDIN CSL_CITATION { "citationItems" : [ { "id" : "ITEM-1", "itemData" : { "DOI" : "10.1001/jama.293.21.2626", "ISSN" : "0098-7484", "author" : [ { "dropping-particle" : "", "family" : "Branas", "given" : "Charles C.", "non-dropping-particle" : "", "parse-names" : false, "suffix" : "" }, { "dropping-particle" : "", "family" : "MacKenzie", "given" : "Ellen J.", "non-dropping-particle" : "", "parse-names" : false, "suffix" : "" }, { "dropping-particle" : "", "family" : "Williams", "given" : "Justin C.", "non-dropping-particle" : "", "parse-names" : false, "suffix" : "" }, { "dropping-particle" : "", "family" : "Schwab", "given" : "C. William", "non-dropping-particle" : "", "parse-names" : false, "suffix" : "" }, { "dropping-particle" : "", "family" : "Teter", "given" : "Harry M.", "non-dropping-particle" : "", "parse-names" : false, "suffix" : "" }, { "dropping-particle" : "", "family" : "Flanigan", "given" : "Marie C.", "non-dropping-particle" : "", "parse-names" : false, "suffix" : "" }, { "dropping-particle" : "", "family" : "Blatt", "given" : "Alan J.", "non-dropping-particle" : "", "parse-names" : false, "suffix" : "" }, { "dropping-particle" : "", "family" : "ReVelle", "given" : "Charles S.", "non-dropping-particle" : "", "parse-names" : false, "suffix" : "" }, { "dropping-particle" : "", "family" : "RA", "given" : "Cowley", "non-dropping-particle" : "", "parse-names" : false, "suffix" : "" }, { "dropping-particle" : "", "family" : "R", "given" : "Voelker", "non-dropping-particle" : "", "parse-names" : false, "suffix" : "" }, { "dropping-particle" : "", "family" : "CC", "given" : "Branas", "non-dropping-particle" : "", "parse-names" : false, "suffix" : "" }, { "dropping-particle" : "", "family" : "CC", "given" : "Branas", "non-dropping-particle" : "", "parse-names" : false, "suffix" : "" }, { "dropping-particle" : "", "family" : "LT", "given" : "Dunn", "non-dropping-particle" : "", "parse-names" : false, "suffix" : "" }, { "dropping-particle" : "", "family" : "V", "given" : "Askue", "non-dropping-particle" : "", "parse-names" : false, "suffix" : "" }, { "dropping-particle" : "", "family" : "AB", "given" : "Nathens", "non-dropping-particle" : "", "parse-names" : false, "suffix" : "" }, { "dropping-particle" : "", "family" : "NC", "given" : "Mann", "non-dropping-particle" : "", "parse-names" : false, "suffix" : "" }, { "dropping-particle" : "", "family" : "AB", "given" : "Nathens", "non-dropping-particle" : "", "parse-names" : false, "suffix" : "" }, { "dropping-particle" : "", "family" : "SH", "given" : "Thomas", "non-dropping-particle" : "", "parse-names" : false, "suffix" : "" }, { "dropping-particle" : "", "family" : "RR", "given" : "Bass", "non-dropping-particle" : "", "parse-names" : false, "suffix" : "" }, { "dropping-particle" : "", "family" : "CC", "given" : "Branas", "non-dropping-particle" : "", "parse-names" : false, "suffix" : "" }, { "dropping-particle" : "", "family" : "MG", "given" : "Goldfarb", "non-dropping-particle" : "", "parse-names" : false, "suffix" : "" }, { "dropping-particle" : "", "family" : "GJ", "given" : "Bazzoli", "non-dropping-particle" : "", "parse-names" : false, "suffix" : "" }, { "dropping-particle" : "", "family" : "EJ", "given" : "MacKenzie", "non-dropping-particle" : "", "parse-names" : false, "suffix" : "" }, { "dropping-particle" : "", "family" : "AB", "given" : "Nathens", "non-dropping-particle" : "", "parse-names" : false, "suffix" : "" }, { "dropping-particle" : "", "family" : "JS", "given" : "Sampalis", "non-dropping-particle" : "", "parse-names" : false, "suffix" : "" }, { "dropping-particle" : "", "family" : "EB", "given" : "Lerner", "non-dropping-particle" : "", "parse-names" : false, "suffix" : "" }, { "dropping-particle" : "", "family" : "MC", "given" : "Flanigan", "non-dropping-particle" : "", "parse-names" : false, "suffix" : "" }, { "dropping-particle" : "", "family" : "M", "given" : "Flanigan", "non-dropping-particle" : "", "parse-names" : false, "suffix" : "" }, { "dropping-particle" : "", "family" : "CC", "given" : "Branas", "non-dropping-particle" : "", "parse-names" : false, "suffix" : "" }, { "dropping-particle" : "", "family" : "RF", "given" : "Love", "non-dropping-particle" : "", "parse-names" : false, "suffix" : "" }, { "dropping-particle" : "", "family" : "RF", "given" : "Love", "non-dropping-particle" : "", "parse-names" : false, "suffix" : "" }, { "dropping-particle" : "", "family" : "MA", "given" : "Diaz", "non-dropping-particle" : "", "parse-names" : false, "suffix" : "" }, { "dropping-particle" : "", "family" : "N", "given" : "Clay Mann", "non-dropping-particle" : "", "parse-names" : false, "suffix" : "" }, { "dropping-particle" : "", "family" : "JS", "given" : "Sampalis", "non-dropping-particle" : "", "parse-names" : false, "suffix" : "" }, { "dropping-particle" : "", "family" : "RJ", "given" : "Mullins", "non-dropping-particle" : "", "parse-names" : false, "suffix" : "" }, { "dropping-particle" : "", "family" : "AB", "given" : "Nathens", "non-dropping-particle" : "", "parse-names" : false, "suffix" : "" }, { "dropping-particle" : "", "family" : "CC", "given" : "Branas", "non-dropping-particle" : "", "parse-names" : false, "suffix" : "" }, { "dropping-particle" : "", "family" : "PE", "given" : "Pepe", "non-dropping-particle" : "", "parse-names" : false, "suffix" : "" }, { "dropping-particle" : "", "family" : "NC", "given" : "Mann", "non-dropping-particle" : "", "parse-names" : false, "suffix" : "" }, { "dropping-particle" : "", "family" : "DM", "given" : "Bravata", "non-dropping-particle" : "", "parse-names" : false, "suffix" : "" }, { "dropping-particle" : "", "family" : "WG", "given" : "Baxt", "non-dropping-particle" : "", "parse-names" : false, "suffix" : "" }, { "dropping-particle" : "", "family" : "AB", "given" : "Nathens", "non-dropping-particle" : "", "parse-names" : false, "suffix" : "" }, { "dropping-particle" : "", "family" : "CW", "given" : "Konvolinka", "non-dropping-particle" : "", "parse-names" : false, "suffix" : "" }, { "dropping-particle" : "", "family" : "RF", "given" : "Smith", "non-dropping-particle" : "", "parse-names" : false, "suffix" : "" }, { "dropping-particle" : "", "family" : "LA", "given" : "Aday", "non-dropping-particle" : "", "parse-names" : false, "suffix" : "" }, { "dropping-particle" : "", "family" : "CL", "given" : "Whitney", "non-dropping-particle" : "", "parse-names" : false, "suffix" : "" }, { "dropping-particle" : "", "family" : "P", "given" : "Kolesar", "non-dropping-particle" : "", "parse-names" : false, "suffix" : "" }, { "dropping-particle" : "", "family" : "K", "given" : "Stanhope", "non-dropping-particle" : "", "parse-names" : false, "suffix" : "" }, { "dropping-particle" : "", "family" : "AA", "given" : "Baez", "non-dropping-particle" : "", "parse-names" : false, "suffix" : "" }, { "dropping-particle" : "", "family" : "AB", "given" : "Nathens", "non-dropping-particle" : "", "parse-names" : false, "suffix" : "" }, { "dropping-particle" : "", "family" : "EB", "given" : "Lerner", "non-dropping-particle" : "", "parse-names" : false, "suffix" : "" }, { "dropping-particle" : "", "family" : "DE", "given" : "Clark", "non-dropping-particle" : "", "parse-names" : false, "suffix" : "" }, { "dropping-particle" : "", "family" : "AL", "given" : "Melnick", "non-dropping-particle" : "", "parse-names" : false, "suffix" : "" } ], "container-title" : "JAMA", "id" : "ITEM-1", "issue" : "21", "issued" : { "date-parts" : [ [ "2005", "6", "1" ] ] }, "page" : "2626", "publisher" : "American Medical Association", "title" : "Access to Trauma Centers in the United States", "type" : "article-journal", "volume" : "293" }, "uris" : [ "http://www.mendeley.com/documents/?uuid=9f037348-d929-3ece-9d92-96ba05c73421" ] }, { "id" : "ITEM-2", "itemData" : { "DOI" : "10.1007/s12028-011-9644-2", "ISSN" : "1556-0961", "PMID" : "22045246", "abstract" : "BACKGROUND: Neurocritical care provides multidisciplinary, specialized care to critically ill neurological patients, yet an understanding of the proportion of the population able to rapidly access specialized Neurocritical Care Units (NCUs) in the United States is currently unknown. We sought to quantify geographic access to NCUs by state, division, region, and for the US as a whole. In addition, we examined how mode of transportation (ground or air ambulance), and prehospital transport times affected population access to NCUs. METHODS: Data were obtained from the Neurocritical Care Society (NCS), US Census Bureau and the Atlas and Database of Air Medical Services. Empirically derived prehospital time intervals and validated models estimating prehospital ground and air travel times were used to calculate total prehospital times. A discrete total prehospital time interval was calculated for each small unit of geographic analysis (block group) and block group populations were summed to determine the proportion of Americans able to reach a NCU within discrete time intervals (45, 60, 75, and 90 min). Results are presented for different geographies and for different modes of prehospital transport (ground or air ambulance). RESULTS: There are 73 NCUs in the US using ground transportation alone, 12.8, 20.5, 27.4, and 32.6% of the US population are within 45, 60, 75, and 90 min of an NCU, respectively. Use of air ambulances increases access to 36.8, 50.4, 60, and 67.3 within 45, 60, 75, and 90 min, respectively. The Northeast has the highest access rates in the US using ground ambulances and for 45, 60, and 75 min transport times with the addition of air ambulances. At 90 min, the West has the highest access rate. The Southern region has the lowest ground and air access to NCUs access rates for all transport times. CONCLUSIONS: Using NCUs registered with the NCS, current geographic access to NCUs is limited in the US, and geographic disparities in access to care exist. While additional NCUs may exist beyond those identified by the NCS database, we identify geographies with limited access to NCUs and offer a population-based planning perspective on the further development of the US neurocritical care system.", "author" : [ { "dropping-particle" : "", "family" : "Ward", "given" : "Michael J", "non-dropping-particle" : "", "parse-names" : false, "suffix" : "" }, { "dropping-particle" : "", "family" : "Shutter", "given" : "Lori A", "non-dropping-particle" : "", "parse-names" : false, "suffix" : "" }, { "dropping-particle" : "", "family" : "Branas", "given" : "Charles C", "non-dropping-particle" : "", "parse-names" : false, "suffix" : "" }, { "dropping-particle" : "", "family" : "Adeoye", "given" : "Opeolu", "non-dropping-particle" : "", "parse-names" : false, "suffix" : "" }, { "dropping-particle" : "", "family" : "Albright", "given" : "Karen C", "non-dropping-particle" : "", "parse-names" : false, "suffix" : "" }, { "dropping-particle" : "", "family" : "Carr", "given" : "Brendan G", "non-dropping-particle" : "", "parse-names" : false, "suffix" : "" } ], "container-title" : "Neurocritical care", "id" : "ITEM-2", "issue" : "2", "issued" : { "date-parts" : [ [ "2012", "4" ] ] }, "language" : "en", "page" : "232-40", "publisher" : "Humana Press Inc", "title" : "Geographic access to US Neurocritical Care Units registered with the Neurocritical Care Society.", "type" : "article-journal", "volume" : "16" }, "uris" : [ "http://www.mendeley.com/documents/?uuid=03278911-6314-40ce-95cf-8c282f8a7014" ] }, { "id" : "ITEM-3", "itemData" : { "DOI" : "10.1056/NEJMsa052049", "ISSN" : "1533-4406", "PMID" : "16436768", "abstract" : "BACKGROUND: Hospitals have difficulty justifying the expense of maintaining trauma centers without strong evidence of their effectiveness. To address this gap, we examined differences in mortality between level 1 trauma centers and hospitals without a trauma center (non-trauma centers).\n\nMETHODS: Mortality outcomes were compared among patients treated in 18 hospitals with a level 1 trauma center and 51 hospitals non-trauma centers located in 14 states. Patients 18 to 84 years old with a moderate-to-severe injury were eligible. Complete data were obtained for 1104 patients who died in the hospital and 4087 patients who were discharged alive. We used propensity-score weighting to adjust for observable differences between patients treated at trauma centers and those treated at non-trauma centers.\n\nRESULTS: After adjustment for differences in the case mix, the in-hospital mortality rate was significantly lower at trauma centers than at non-trauma centers (7.6 percent vs. 9.5 percent; relative risk, 0.80; 95 percent confidence interval, 0.66 to 0.98), as was the one-year mortality rate (10.4 percent vs. 13.8 percent; relative risk, 0.75; 95 percent confidence interval, 0.60 to 0.95). The effects of treatment at a trauma center varied according to the severity of injury, with evidence to suggest that differences in mortality rates were primarily confined to patients with more severe injuries.\n\nCONCLUSIONS: Our findings show that the risk of death is significantly lower when care is provided in a trauma center than in a non-trauma center and argue for continued efforts at regionalization.", "author" : [ { "dropping-particle" : "", "family" : "MacKenzie", "given" : "Ellen J", "non-dropping-particle" : "", "parse-names" : false, "suffix" : "" }, { "dropping-particle" : "", "family" : "Rivara", "given" : "Frederick P", "non-dropping-particle" : "", "parse-names" : false, "suffix" : "" }, { "dropping-particle" : "", "family" : "Jurkovich", "given" : "Gregory J", "non-dropping-particle" : "", "parse-names" : false, "suffix" : "" }, { "dropping-particle" : "", "family" : "Nathens", "given" : "Avery B", "non-dropping-particle" : "", "parse-names" : false, "suffix" : "" }, { "dropping-particle" : "", "family" : "Frey", "given" : "Katherine P", "non-dropping-particle" : "", "parse-names" : false, "suffix" : "" }, { "dropping-particle" : "", "family" : "Egleston", "given" : "Brian L", "non-dropping-particle" : "", "parse-names" : false, "suffix" : "" }, { "dropping-particle" : "", "family" : "Salkever", "given" : "David S", "non-dropping-particle" : "", "parse-names" : false, "suffix" : "" }, { "dropping-particle" : "", "family" : "Scharfstein", "given" : "Daniel O", "non-dropping-particle" : "", "parse-names" : false, "suffix" : "" } ], "container-title" : "The New England journal of medicine", "id" : "ITEM-3", "issue" : "4", "issued" : { "date-parts" : [ [ "2006", "1", "26" ] ] }, "note" : "Volume trauma outcomes", "page" : "366-78", "title" : "A national evaluation of the effect of trauma-center care on mortality.", "type" : "article-journal", "volume" : "354" }, "uris" : [ "http://www.mendeley.com/documents/?uuid=ec9634d7-79c7-47b6-adff-397a91802ddc" ] } ], "mendeley" : { "formattedCitation" : "[7, 10, 21]", "manualFormatting" : "[7, 10]", "plainTextFormattedCitation" : "[7, 10, 21]", "previouslyFormattedCitation" : "[7, 10, 21]" }, "properties" : { "noteIndex" : 0 }, "schema" : "https://github.com/citation-style-language/schema/raw/master/csl-citation.json" }</w:instrText>
      </w:r>
      <w:r w:rsidR="002678E2">
        <w:fldChar w:fldCharType="separate"/>
      </w:r>
      <w:r w:rsidR="002678E2" w:rsidRPr="009B7BF3">
        <w:rPr>
          <w:noProof/>
        </w:rPr>
        <w:t>[7, 10]</w:t>
      </w:r>
      <w:r w:rsidR="002678E2">
        <w:fldChar w:fldCharType="end"/>
      </w:r>
      <w:r w:rsidR="00130906">
        <w:t xml:space="preserve"> but </w:t>
      </w:r>
      <w:r w:rsidR="00786B91">
        <w:t xml:space="preserve">there is </w:t>
      </w:r>
      <w:r w:rsidR="00130906">
        <w:t xml:space="preserve">presently </w:t>
      </w:r>
      <w:r w:rsidR="00786B91">
        <w:t xml:space="preserve">no </w:t>
      </w:r>
      <w:r w:rsidR="002C72D0">
        <w:t xml:space="preserve">equivalent </w:t>
      </w:r>
      <w:r w:rsidR="005045C7">
        <w:t xml:space="preserve">guidance </w:t>
      </w:r>
      <w:r w:rsidR="00786B91">
        <w:t xml:space="preserve">specifically relating to </w:t>
      </w:r>
      <w:r w:rsidR="009A5F37">
        <w:t>critically ill patients.</w:t>
      </w:r>
      <w:r w:rsidR="008D2C19">
        <w:t xml:space="preserve"> </w:t>
      </w:r>
      <w:r>
        <w:t>T</w:t>
      </w:r>
      <w:r w:rsidR="008D2C19" w:rsidRPr="00EC7872">
        <w:t>he Scottish Trauma Network operate</w:t>
      </w:r>
      <w:r>
        <w:t>s</w:t>
      </w:r>
      <w:r w:rsidR="008D2C19" w:rsidRPr="00EC7872">
        <w:t xml:space="preserve"> with a 45 minute access time threshold</w:t>
      </w:r>
      <w:r w:rsidR="00C40EC5">
        <w:fldChar w:fldCharType="begin" w:fldLock="1"/>
      </w:r>
      <w:r w:rsidR="00DB6107">
        <w:instrText>ADDIN CSL_CITATION { "citationItems" : [ { "id" : "ITEM-1", "itemData" : { "abstract" : "Trauma remains the fourth leading cause of death in western countries and the leading cause of death for people under 40. Each year in Scotland, around 5000 people are seriously injured, with around 1000-1100 cases being defined as 'major trauma'. It is estimated that each year, there are also 100 cases of major trauma in children under 16. For each trauma fatality, there are two survivors with serious or permanent disability that will have significant impact on quality of life. Trauma is not only a leading cause of death, but also a large socio-economic burden. Although major trauma accounts for only a small percentage of the approximately 550,000 emergency admissions to hospitals across Scotland each year, these severely injured patients require highly specialised care, extended hospital stays and extensive rehabilitation. I am therefore pleased to confirm that trauma care in Scotland is about to begin to change for the better. This report details the outputs from the National Trauma Network Implementation Group, who from September to November of this year, brought together colleagues from NHS Scotland, the Scottish Ambulance Service and the Scottish Government to develop a unique network model of trauma care; one that will deliver improved outcomes for injured patients.", "author" : [ { "dropping-particle" : "", "family" : "Calderwood", "given" : "Catherine", "non-dropping-particle" : "", "parse-names" : false, "suffix" : "" } ], "id" : "ITEM-1", "issued" : { "date-parts" : [ [ "2017" ] ] }, "title" : "Saving lives. Giving life back.", "type" : "report" }, "uris" : [ "http://www.mendeley.com/documents/?uuid=04f528fb-e169-3479-ad74-97d951234374" ] } ], "mendeley" : { "formattedCitation" : "[22]", "plainTextFormattedCitation" : "[22]", "previouslyFormattedCitation" : "[22]" }, "properties" : { "noteIndex" : 0 }, "schema" : "https://github.com/citation-style-language/schema/raw/master/csl-citation.json" }</w:instrText>
      </w:r>
      <w:r w:rsidR="00C40EC5">
        <w:fldChar w:fldCharType="separate"/>
      </w:r>
      <w:r w:rsidR="00DD49A4" w:rsidRPr="00DD49A4">
        <w:rPr>
          <w:noProof/>
        </w:rPr>
        <w:t>[22]</w:t>
      </w:r>
      <w:r w:rsidR="00C40EC5">
        <w:fldChar w:fldCharType="end"/>
      </w:r>
      <w:r w:rsidR="008D2C19" w:rsidRPr="00EC7872">
        <w:t xml:space="preserve">, and we therefore used this figure for our primary analysis. </w:t>
      </w:r>
      <w:r>
        <w:t xml:space="preserve">However, </w:t>
      </w:r>
      <w:r w:rsidR="00130906">
        <w:t xml:space="preserve">other </w:t>
      </w:r>
      <w:r w:rsidR="00F915A4">
        <w:t xml:space="preserve">trauma </w:t>
      </w:r>
      <w:r w:rsidR="00130906">
        <w:t xml:space="preserve">systems use a 60 min threshold, and </w:t>
      </w:r>
      <w:r>
        <w:t xml:space="preserve">the National Institute for Health and Clinical Excellence (NICE) has recently advocated for a lengthening of the trauma </w:t>
      </w:r>
      <w:r w:rsidR="00130906">
        <w:t xml:space="preserve">network </w:t>
      </w:r>
      <w:r>
        <w:t>access time threshold</w:t>
      </w:r>
      <w:r w:rsidR="00130906">
        <w:t>s</w:t>
      </w:r>
      <w:r w:rsidR="00130906" w:rsidDel="00130906">
        <w:t xml:space="preserve"> </w:t>
      </w:r>
      <w:r>
        <w:fldChar w:fldCharType="begin" w:fldLock="1"/>
      </w:r>
      <w:r w:rsidR="00DB6107">
        <w:instrText>ADDIN CSL_CITATION { "citationItems" : [ { "id" : "ITEM-1", "itemData" : { "id" : "ITEM-1", "issued" : { "date-parts" : [ [ "2016" ] ] }, "publisher" : "NICE", "title" : "Major trauma: service delivery | Guidance and guidelines | NICE", "type" : "article-journal" }, "uris" : [ "http://www.mendeley.com/documents/?uuid=d6b64417-3e61-3f41-8496-4298ab27622e" ] } ], "mendeley" : { "formattedCitation" : "[23]", "plainTextFormattedCitation" : "[23]", "previouslyFormattedCitation" : "[23]" }, "properties" : { "noteIndex" : 0 }, "schema" : "https://github.com/citation-style-language/schema/raw/master/csl-citation.json" }</w:instrText>
      </w:r>
      <w:r>
        <w:fldChar w:fldCharType="separate"/>
      </w:r>
      <w:r w:rsidR="00DD49A4" w:rsidRPr="00DD49A4">
        <w:rPr>
          <w:noProof/>
        </w:rPr>
        <w:t>[23]</w:t>
      </w:r>
      <w:r>
        <w:fldChar w:fldCharType="end"/>
      </w:r>
      <w:r>
        <w:t>, based on experiences in England. We have therefore included a</w:t>
      </w:r>
      <w:r w:rsidR="008D2C19" w:rsidRPr="00EC7872">
        <w:t xml:space="preserve"> sensitivity analysis, using the 60 minute threshold, as supplementary data. </w:t>
      </w:r>
    </w:p>
    <w:p w14:paraId="25961A6F" w14:textId="77777777" w:rsidR="00130906" w:rsidRPr="005F1089" w:rsidRDefault="00130906" w:rsidP="00D31C30">
      <w:pPr>
        <w:pStyle w:val="Heading2"/>
        <w:rPr>
          <w:lang w:val="en-GB"/>
        </w:rPr>
      </w:pPr>
      <w:r>
        <w:rPr>
          <w:lang w:val="en-GB"/>
        </w:rPr>
        <w:t>Isochrone derivation</w:t>
      </w:r>
    </w:p>
    <w:p w14:paraId="0A80CD80" w14:textId="77777777" w:rsidR="00170F9A" w:rsidRDefault="00170F9A" w:rsidP="00D31C30">
      <w:pPr>
        <w:jc w:val="both"/>
      </w:pPr>
      <w:r>
        <w:t xml:space="preserve">An area which can be reached from a central location within a set time, or from which a central location can be reached, is referred to as an isochrone. </w:t>
      </w:r>
    </w:p>
    <w:p w14:paraId="0A584B52" w14:textId="77777777" w:rsidR="00130906" w:rsidRPr="002C72D0" w:rsidRDefault="003467F9" w:rsidP="00D31C30">
      <w:pPr>
        <w:pStyle w:val="Heading3"/>
      </w:pPr>
      <w:r>
        <w:t>Drive-</w:t>
      </w:r>
      <w:r w:rsidR="00130906">
        <w:t>time isochrones</w:t>
      </w:r>
    </w:p>
    <w:p w14:paraId="784E3585" w14:textId="431FFF9A" w:rsidR="00E123F0" w:rsidRDefault="003467F9" w:rsidP="00D31C30">
      <w:pPr>
        <w:jc w:val="both"/>
      </w:pPr>
      <w:r>
        <w:t>45 and 60 minute drive-</w:t>
      </w:r>
      <w:r w:rsidR="00130906">
        <w:t xml:space="preserve">time isochrones for each hospital were determined using “blue light” travel times, </w:t>
      </w:r>
      <w:r w:rsidR="00F915A4">
        <w:t>defined a</w:t>
      </w:r>
      <w:r w:rsidR="00130906">
        <w:t xml:space="preserve">s the speed limit plus 10 mph, to simulate road ambulance travel. </w:t>
      </w:r>
      <w:r w:rsidR="00693149" w:rsidRPr="00EC7872">
        <w:t xml:space="preserve">The </w:t>
      </w:r>
      <w:r w:rsidR="00832F5E">
        <w:t xml:space="preserve">drivetime </w:t>
      </w:r>
      <w:r w:rsidR="00290DB5">
        <w:t xml:space="preserve">isochrone </w:t>
      </w:r>
      <w:r w:rsidR="00693149">
        <w:t>calculations were performed by an external company (</w:t>
      </w:r>
      <w:r w:rsidR="00E3205E">
        <w:t>Mercator GeoSystems, Sheffield</w:t>
      </w:r>
      <w:r w:rsidR="00E156F1">
        <w:t>, UK</w:t>
      </w:r>
      <w:r w:rsidR="00E3205E">
        <w:t xml:space="preserve">), and used to create </w:t>
      </w:r>
      <w:r w:rsidR="006240A4">
        <w:t>“</w:t>
      </w:r>
      <w:r w:rsidR="00E3205E">
        <w:t>shapefiles</w:t>
      </w:r>
      <w:r w:rsidR="006240A4">
        <w:t xml:space="preserve">”, </w:t>
      </w:r>
      <w:r w:rsidR="00786B91">
        <w:t xml:space="preserve">a file format widely used by </w:t>
      </w:r>
      <w:r w:rsidR="006240A4">
        <w:t>geographical information systems</w:t>
      </w:r>
      <w:r w:rsidR="00E156F1">
        <w:t xml:space="preserve"> (GIS)</w:t>
      </w:r>
      <w:r w:rsidR="00E123F0">
        <w:t>.</w:t>
      </w:r>
    </w:p>
    <w:p w14:paraId="6B681A03" w14:textId="77777777" w:rsidR="00E123F0" w:rsidRPr="00F549CF" w:rsidRDefault="003467F9" w:rsidP="00D31C30">
      <w:pPr>
        <w:pStyle w:val="Heading3"/>
      </w:pPr>
      <w:r>
        <w:t>Flight-</w:t>
      </w:r>
      <w:r w:rsidR="00130906">
        <w:t>time isochrones</w:t>
      </w:r>
    </w:p>
    <w:p w14:paraId="13BAD81C" w14:textId="0FDF2A70" w:rsidR="00E123F0" w:rsidRDefault="00130906" w:rsidP="00D31C30">
      <w:pPr>
        <w:jc w:val="both"/>
      </w:pPr>
      <w:r>
        <w:t xml:space="preserve">We assumed that critically ill patients would initially be attended by a road ambulance, or local practitioner, before calling a helicopter. This model broadly </w:t>
      </w:r>
      <w:r w:rsidR="00F915A4">
        <w:t xml:space="preserve">reflects </w:t>
      </w:r>
      <w:r>
        <w:t xml:space="preserve">current practice. </w:t>
      </w:r>
      <w:r w:rsidR="00170F9A">
        <w:t xml:space="preserve">The total time to reach a hospital therefore comprised the helicopter’s flight time to the patient’s location, and the flight time from the patient’s location to hospital, as well as the start-up and loading times. The Scottish Ambulance Service’s helicopters are based </w:t>
      </w:r>
      <w:r w:rsidR="009568BF">
        <w:t>at heliports</w:t>
      </w:r>
      <w:r>
        <w:t xml:space="preserve">, rather than </w:t>
      </w:r>
      <w:r w:rsidR="00C40EC5">
        <w:t>hospitals</w:t>
      </w:r>
      <w:r w:rsidR="00170F9A">
        <w:t>, and the inbound and outbound flight</w:t>
      </w:r>
      <w:r w:rsidR="00C40EC5">
        <w:t xml:space="preserve"> </w:t>
      </w:r>
      <w:r w:rsidR="00170F9A">
        <w:t xml:space="preserve">times therefore differ, and the area from which </w:t>
      </w:r>
      <w:r w:rsidR="00170F9A">
        <w:lastRenderedPageBreak/>
        <w:t>a patient can be retrieved is defined by an ellipse, rather than a circle.</w:t>
      </w:r>
      <w:r w:rsidR="00C40EC5">
        <w:t xml:space="preserve"> </w:t>
      </w:r>
      <w:r w:rsidR="00170F9A">
        <w:t>The methodology used to calculate these ellipses is described in a previous publication.</w:t>
      </w:r>
      <w:r w:rsidR="00C40EC5">
        <w:fldChar w:fldCharType="begin" w:fldLock="1"/>
      </w:r>
      <w:r w:rsidR="00DB6107">
        <w:instrText>ADDIN CSL_CITATION { "citationItems" : [ { "id" : "ITEM-1", "itemData" : { "DOI" : "10.1097/TA.0000000000001335", "ISSN" : "2163-0755", "author" : [ { "dropping-particle" : "", "family" : "Dodds", "given" : "Naomi", "non-dropping-particle" : "", "parse-names" : false, "suffix" : "" }, { "dropping-particle" : "", "family" : "Emerson", "given" : "Phillip", "non-dropping-particle" : "", "parse-names" : false, "suffix" : "" }, { "dropping-particle" : "", "family" : "Phillips", "given" : "Stephanie", "non-dropping-particle" : "", "parse-names" : false, "suffix" : "" }, { "dropping-particle" : "", "family" : "Green", "given" : "David R", "non-dropping-particle" : "", "parse-names" : false, "suffix" : "" }, { "dropping-particle" : "", "family" : "Jansen", "given" : "Jan O", "non-dropping-particle" : "", "parse-names" : false, "suffix" : "" } ], "container-title" : "Journal of Trauma and Acute Care Surgery", "id" : "ITEM-1", "issued" : { "date-parts" : [ [ "2016", "12" ] ] }, "page" : "1", "title" : "Analysis of aeromedical retrieval coverage using elliptical isochrones", "type" : "article-journal" }, "uris" : [ "http://www.mendeley.com/documents/?uuid=aaa1d526-c493-3a15-b5c0-3b98a3396217" ] } ], "mendeley" : { "formattedCitation" : "[12]", "plainTextFormattedCitation" : "[12]", "previouslyFormattedCitation" : "[12]" }, "properties" : { "noteIndex" : 0 }, "schema" : "https://github.com/citation-style-language/schema/raw/master/csl-citation.json" }</w:instrText>
      </w:r>
      <w:r w:rsidR="00C40EC5">
        <w:fldChar w:fldCharType="separate"/>
      </w:r>
      <w:r w:rsidR="00DD49A4" w:rsidRPr="00DD49A4">
        <w:rPr>
          <w:noProof/>
        </w:rPr>
        <w:t>[12]</w:t>
      </w:r>
      <w:r w:rsidR="00C40EC5">
        <w:fldChar w:fldCharType="end"/>
      </w:r>
      <w:r w:rsidR="00170F9A">
        <w:t xml:space="preserve"> We calculated the size</w:t>
      </w:r>
      <w:r w:rsidR="003467F9">
        <w:t xml:space="preserve">, </w:t>
      </w:r>
      <w:r w:rsidR="00170F9A">
        <w:t>location</w:t>
      </w:r>
      <w:r w:rsidR="003467F9">
        <w:t>, and orientation</w:t>
      </w:r>
      <w:r w:rsidR="00170F9A">
        <w:t xml:space="preserve"> of these ellipses for each </w:t>
      </w:r>
      <w:r w:rsidR="003467F9">
        <w:t xml:space="preserve">of the 90 </w:t>
      </w:r>
      <w:r w:rsidR="00170F9A">
        <w:t>combination</w:t>
      </w:r>
      <w:r w:rsidR="003467F9">
        <w:t>s</w:t>
      </w:r>
      <w:r w:rsidR="00170F9A">
        <w:t xml:space="preserve"> of heliport and hospital. We assumed a helicopter cruising speed of 250 km/h, and a total of 15 minutes of start-up and loading time (ie. 30 minutes and 45 minutes flying time respectively).</w:t>
      </w:r>
      <w:r w:rsidR="003467F9">
        <w:t xml:space="preserve"> </w:t>
      </w:r>
      <w:r w:rsidR="00EC7872">
        <w:t xml:space="preserve">30 minute </w:t>
      </w:r>
      <w:r w:rsidR="003467F9">
        <w:t xml:space="preserve">and 45 minute </w:t>
      </w:r>
      <w:r w:rsidR="00EC7872">
        <w:t>flight time</w:t>
      </w:r>
      <w:r w:rsidR="003467F9">
        <w:t>s</w:t>
      </w:r>
      <w:r w:rsidR="00EC7872">
        <w:t xml:space="preserve"> equate to ellipse</w:t>
      </w:r>
      <w:r w:rsidR="003467F9">
        <w:t>s</w:t>
      </w:r>
      <w:r w:rsidR="00EC7872">
        <w:t xml:space="preserve"> with major </w:t>
      </w:r>
      <w:r w:rsidR="00E46D6E">
        <w:t>radii</w:t>
      </w:r>
      <w:r w:rsidR="004E3286">
        <w:t xml:space="preserve"> </w:t>
      </w:r>
      <w:r w:rsidR="00EC7872">
        <w:t xml:space="preserve">of 125 </w:t>
      </w:r>
      <w:r w:rsidR="003467F9">
        <w:t xml:space="preserve">and </w:t>
      </w:r>
      <w:r w:rsidR="00E46D6E">
        <w:t>187.5</w:t>
      </w:r>
      <w:r w:rsidR="003467F9">
        <w:t xml:space="preserve"> </w:t>
      </w:r>
      <w:r w:rsidR="00EC7872">
        <w:t>km</w:t>
      </w:r>
      <w:r w:rsidR="00E46D6E">
        <w:t>. Minor radii vary depend on the bearing between hospital and heliport, and the major value of the major radius.</w:t>
      </w:r>
      <w:r w:rsidR="00EC7872">
        <w:t xml:space="preserve"> </w:t>
      </w:r>
      <w:r w:rsidR="001C27AD">
        <w:t xml:space="preserve">  </w:t>
      </w:r>
    </w:p>
    <w:p w14:paraId="086A06E1" w14:textId="77777777" w:rsidR="00A47DC5" w:rsidRPr="001638EE" w:rsidRDefault="00A47DC5" w:rsidP="00D31C30">
      <w:pPr>
        <w:pStyle w:val="Heading2"/>
      </w:pPr>
      <w:r w:rsidRPr="001638EE">
        <w:t>Population data</w:t>
      </w:r>
    </w:p>
    <w:p w14:paraId="66969445" w14:textId="4A264E44" w:rsidR="005045C7" w:rsidRDefault="00E3205E" w:rsidP="00D31C30">
      <w:pPr>
        <w:jc w:val="both"/>
      </w:pPr>
      <w:r>
        <w:t xml:space="preserve">The Scottish </w:t>
      </w:r>
      <w:r w:rsidR="002005F8">
        <w:t>Government</w:t>
      </w:r>
      <w:r>
        <w:t xml:space="preserve"> uses a small area geography referred to as “datazones” for the dissemination of census </w:t>
      </w:r>
      <w:r w:rsidR="001F2F87">
        <w:t xml:space="preserve">and statistical </w:t>
      </w:r>
      <w:r>
        <w:t>data. Datazones correlate with natural physical and societal boundaries</w:t>
      </w:r>
      <w:r w:rsidR="007A27DE">
        <w:t>, and</w:t>
      </w:r>
      <w:r>
        <w:t xml:space="preserve"> have known populations, of </w:t>
      </w:r>
      <w:r w:rsidR="00A47DC5">
        <w:t>between 500 and 1000 residents.</w:t>
      </w:r>
      <w:r w:rsidR="007A27DE">
        <w:t xml:space="preserve"> </w:t>
      </w:r>
      <w:r w:rsidR="00EC7872">
        <w:t>These datazones and associated demographic data are freely available</w:t>
      </w:r>
      <w:r w:rsidR="00E12C4E">
        <w:fldChar w:fldCharType="begin" w:fldLock="1"/>
      </w:r>
      <w:r w:rsidR="00DD49A4">
        <w:instrText>ADDIN CSL_CITATION { "citationItems" : [ { "id" : "ITEM-1", "itemData" : { "author" : [ { "dropping-particle" : "", "family" : "Scottish Government", "given" : "St. Andrew's House, Regent Road, Edinburgh EH1 3DG Tel:0131 556 8400 ceu@scotland.gsi.gov.uk", "non-dropping-particle" : "", "parse-names" : false, "suffix" : "" } ], "id" : "ITEM-1", "issued" : { "date-parts" : [ [ "2005", "2", "21" ] ] }, "note" : "Datazones", "publisher" : "Scottish Government, St. Andrew's House, Regent Road, Edinburgh EH1 3DG Tel:0131 556 8400 ceu@scotland.gsi.gov.uk", "title" : "\r\n\tScottish Neighbourhood Statistics Guide\r\n", "type" : "article" }, "uris" : [ "http://www.mendeley.com/documents/?uuid=6ac1afcd-c5cc-40e2-ac86-0f0600e106c3" ] } ], "mendeley" : { "formattedCitation" : "[24]", "plainTextFormattedCitation" : "[24]", "previouslyFormattedCitation" : "[24]" }, "properties" : { "noteIndex" : 0 }, "schema" : "https://github.com/citation-style-language/schema/raw/master/csl-citation.json" }</w:instrText>
      </w:r>
      <w:r w:rsidR="00E12C4E">
        <w:fldChar w:fldCharType="separate"/>
      </w:r>
      <w:r w:rsidR="00DD49A4" w:rsidRPr="00DD49A4">
        <w:rPr>
          <w:noProof/>
        </w:rPr>
        <w:t>[24]</w:t>
      </w:r>
      <w:r w:rsidR="00E12C4E">
        <w:fldChar w:fldCharType="end"/>
      </w:r>
      <w:r w:rsidR="0015129D">
        <w:t xml:space="preserve"> (</w:t>
      </w:r>
      <w:r w:rsidR="00D31C30">
        <w:t xml:space="preserve"> </w:t>
      </w:r>
      <w:r w:rsidR="0015129D">
        <w:t>Figure 1</w:t>
      </w:r>
      <w:r w:rsidR="00D31C30">
        <w:t xml:space="preserve"> </w:t>
      </w:r>
      <w:r w:rsidR="0015129D">
        <w:t>)</w:t>
      </w:r>
      <w:r w:rsidR="00EC7872">
        <w:t>.</w:t>
      </w:r>
      <w:r w:rsidR="00FB7267">
        <w:t xml:space="preserve"> </w:t>
      </w:r>
    </w:p>
    <w:p w14:paraId="39C3042F" w14:textId="77777777" w:rsidR="004C5717" w:rsidRDefault="007A27DE" w:rsidP="00D31C30">
      <w:pPr>
        <w:pStyle w:val="Heading2"/>
      </w:pPr>
      <w:r>
        <w:t>Spatial analysis</w:t>
      </w:r>
    </w:p>
    <w:p w14:paraId="09844390" w14:textId="7606B91E" w:rsidR="000A70CB" w:rsidRDefault="00557157" w:rsidP="00D31C30">
      <w:pPr>
        <w:jc w:val="both"/>
      </w:pPr>
      <w:r>
        <w:t>The spatial analysis w</w:t>
      </w:r>
      <w:r w:rsidR="00B27785">
        <w:t>as conducted using ArcGIS</w:t>
      </w:r>
      <w:r w:rsidR="008911CA">
        <w:t xml:space="preserve"> 10.1</w:t>
      </w:r>
      <w:r w:rsidR="00B27785">
        <w:t xml:space="preserve"> (ESRI</w:t>
      </w:r>
      <w:r w:rsidR="00B27785" w:rsidRPr="00B27785">
        <w:rPr>
          <w:vertAlign w:val="superscript"/>
        </w:rPr>
        <w:t>®</w:t>
      </w:r>
      <w:r w:rsidR="00B27785">
        <w:t>, Redlands, California</w:t>
      </w:r>
      <w:r>
        <w:t>), a geographical information systems</w:t>
      </w:r>
      <w:r w:rsidR="000A70CB">
        <w:t xml:space="preserve"> </w:t>
      </w:r>
      <w:r>
        <w:t xml:space="preserve">package. </w:t>
      </w:r>
      <w:r w:rsidR="00AD49D5">
        <w:t xml:space="preserve">The drive-time </w:t>
      </w:r>
      <w:r w:rsidR="00F549CF">
        <w:t xml:space="preserve">and helicopter </w:t>
      </w:r>
      <w:r w:rsidR="000A70CB">
        <w:t>isoch</w:t>
      </w:r>
      <w:r w:rsidR="0015129D">
        <w:t>r</w:t>
      </w:r>
      <w:r w:rsidR="000A70CB">
        <w:t xml:space="preserve">ones </w:t>
      </w:r>
      <w:r w:rsidR="00F36CC5">
        <w:t xml:space="preserve">were </w:t>
      </w:r>
      <w:r w:rsidR="00B27785">
        <w:t>overlai</w:t>
      </w:r>
      <w:r w:rsidR="00E31A0C">
        <w:t>n</w:t>
      </w:r>
      <w:r w:rsidR="00F36CC5">
        <w:t xml:space="preserve"> </w:t>
      </w:r>
      <w:r w:rsidR="00B27785">
        <w:t xml:space="preserve">onto </w:t>
      </w:r>
      <w:r w:rsidR="00F36CC5">
        <w:t xml:space="preserve">the </w:t>
      </w:r>
      <w:r w:rsidR="00B27785">
        <w:t>datazone</w:t>
      </w:r>
      <w:r w:rsidR="00F36CC5">
        <w:t xml:space="preserve"> shapefile</w:t>
      </w:r>
      <w:r w:rsidR="000A70CB">
        <w:t>s</w:t>
      </w:r>
      <w:r w:rsidR="00B27785">
        <w:t>,</w:t>
      </w:r>
      <w:r w:rsidR="00F36CC5">
        <w:t xml:space="preserve"> containing</w:t>
      </w:r>
      <w:r w:rsidR="000A70CB">
        <w:t xml:space="preserve"> the</w:t>
      </w:r>
      <w:r w:rsidR="00F36CC5">
        <w:t xml:space="preserve"> demographic </w:t>
      </w:r>
      <w:r w:rsidR="001F775F">
        <w:t xml:space="preserve">and geographical </w:t>
      </w:r>
      <w:r w:rsidR="00F36CC5">
        <w:t>data</w:t>
      </w:r>
      <w:r w:rsidR="000A70CB">
        <w:t>, including healthboard boundaries and urban-rural classification.</w:t>
      </w:r>
      <w:r w:rsidR="00F36CC5">
        <w:t xml:space="preserve"> The number of </w:t>
      </w:r>
      <w:r w:rsidR="00AD49D5">
        <w:t xml:space="preserve">residents </w:t>
      </w:r>
      <w:r w:rsidR="00F36CC5">
        <w:t xml:space="preserve">and </w:t>
      </w:r>
      <w:r w:rsidR="003467F9">
        <w:t xml:space="preserve">the </w:t>
      </w:r>
      <w:r w:rsidR="00F36CC5">
        <w:t>geographical area beneath the drive</w:t>
      </w:r>
      <w:r w:rsidR="00B960C5">
        <w:t>-</w:t>
      </w:r>
      <w:r w:rsidR="00567D0A">
        <w:t>time isochron</w:t>
      </w:r>
      <w:r w:rsidR="00F36CC5">
        <w:t xml:space="preserve">es was calculated using the </w:t>
      </w:r>
      <w:r w:rsidR="00F36CC5" w:rsidRPr="00AD49D5">
        <w:t xml:space="preserve">intersect </w:t>
      </w:r>
      <w:r w:rsidR="00F36CC5">
        <w:t>feature. Where datazones were split by drive time</w:t>
      </w:r>
      <w:r w:rsidR="00F549CF">
        <w:t xml:space="preserve"> or helicopter</w:t>
      </w:r>
      <w:r w:rsidR="00F36CC5">
        <w:t xml:space="preserve"> </w:t>
      </w:r>
      <w:r w:rsidR="00447572">
        <w:t>boundaries, a polygon-</w:t>
      </w:r>
      <w:r w:rsidR="00F36CC5">
        <w:t>in</w:t>
      </w:r>
      <w:r w:rsidR="00447572">
        <w:t>-</w:t>
      </w:r>
      <w:r w:rsidR="00F36CC5">
        <w:t xml:space="preserve">polygon analysis was used to </w:t>
      </w:r>
      <w:r w:rsidR="00447572">
        <w:t>determine</w:t>
      </w:r>
      <w:r w:rsidR="00F36CC5">
        <w:t xml:space="preserve"> an average population per km</w:t>
      </w:r>
      <w:r w:rsidR="00F36CC5">
        <w:rPr>
          <w:vertAlign w:val="superscript"/>
        </w:rPr>
        <w:t>2</w:t>
      </w:r>
      <w:r w:rsidR="00F36CC5">
        <w:t xml:space="preserve"> of that datazone. </w:t>
      </w:r>
      <w:r w:rsidR="001F775F">
        <w:t>The new</w:t>
      </w:r>
      <w:r w:rsidR="00F36CC5">
        <w:t xml:space="preserve"> area was calculated, and from that, the population within the split polygon could be estimated.</w:t>
      </w:r>
      <w:r w:rsidR="00D259AE">
        <w:t xml:space="preserve"> </w:t>
      </w:r>
      <w:r w:rsidR="00F36CC5">
        <w:t xml:space="preserve">The sum of polygons was produced to give population and areas within a specified </w:t>
      </w:r>
      <w:r w:rsidR="00D259AE">
        <w:t>access time threshold to</w:t>
      </w:r>
      <w:r w:rsidR="00F36CC5">
        <w:t xml:space="preserve"> the nearest critical care service. </w:t>
      </w:r>
    </w:p>
    <w:p w14:paraId="32209F8A" w14:textId="77777777" w:rsidR="001465C4" w:rsidRDefault="001465C4" w:rsidP="00D31C30">
      <w:pPr>
        <w:spacing w:after="0" w:line="240" w:lineRule="auto"/>
        <w:jc w:val="both"/>
        <w:rPr>
          <w:rFonts w:eastAsia="Times New Roman"/>
          <w:b/>
          <w:bCs/>
          <w:caps/>
          <w:sz w:val="24"/>
          <w:szCs w:val="20"/>
          <w:lang w:val="x-none" w:eastAsia="x-none"/>
        </w:rPr>
      </w:pPr>
      <w:r>
        <w:br w:type="page"/>
      </w:r>
    </w:p>
    <w:p w14:paraId="28953BC3" w14:textId="77777777" w:rsidR="004F715E" w:rsidRDefault="00B67CA8" w:rsidP="00D31C30">
      <w:pPr>
        <w:pStyle w:val="Heading1"/>
        <w:jc w:val="both"/>
      </w:pPr>
      <w:r w:rsidRPr="00D30831">
        <w:lastRenderedPageBreak/>
        <w:t>RESULTS</w:t>
      </w:r>
    </w:p>
    <w:p w14:paraId="00227E63" w14:textId="77777777" w:rsidR="003467F9" w:rsidRDefault="00601E7E" w:rsidP="00D31C30">
      <w:pPr>
        <w:pStyle w:val="Heading2"/>
      </w:pPr>
      <w:r>
        <w:t>Access to d</w:t>
      </w:r>
      <w:r w:rsidR="00D30831" w:rsidRPr="00375F21">
        <w:t>e</w:t>
      </w:r>
      <w:r w:rsidR="0006453D" w:rsidRPr="00375F21">
        <w:t xml:space="preserve">finitive </w:t>
      </w:r>
      <w:r>
        <w:t>c</w:t>
      </w:r>
      <w:r w:rsidR="0006453D" w:rsidRPr="00375F21">
        <w:t xml:space="preserve">ritical </w:t>
      </w:r>
      <w:r>
        <w:t>c</w:t>
      </w:r>
      <w:r w:rsidR="0006453D" w:rsidRPr="00375F21">
        <w:t xml:space="preserve">are </w:t>
      </w:r>
      <w:r>
        <w:t>s</w:t>
      </w:r>
      <w:r w:rsidR="0006453D" w:rsidRPr="00375F21">
        <w:t>ervices</w:t>
      </w:r>
      <w:r w:rsidR="00D30831" w:rsidRPr="00375F21">
        <w:t xml:space="preserve"> </w:t>
      </w:r>
    </w:p>
    <w:p w14:paraId="46574793" w14:textId="77777777" w:rsidR="00D30831" w:rsidRPr="001904E7" w:rsidRDefault="003467F9" w:rsidP="00D31C30">
      <w:pPr>
        <w:pStyle w:val="Heading3"/>
      </w:pPr>
      <w:r>
        <w:t>B</w:t>
      </w:r>
      <w:r w:rsidR="00677D01">
        <w:t>y road</w:t>
      </w:r>
    </w:p>
    <w:p w14:paraId="1D61A14E" w14:textId="3ECD5D73" w:rsidR="00D93645" w:rsidRDefault="00D93645" w:rsidP="00D31C30">
      <w:pPr>
        <w:jc w:val="both"/>
      </w:pPr>
      <w:r>
        <w:t xml:space="preserve">Overall, </w:t>
      </w:r>
      <w:r w:rsidR="007A6B94">
        <w:t>94</w:t>
      </w:r>
      <w:r w:rsidR="00D30831">
        <w:t>% of the Scottish populati</w:t>
      </w:r>
      <w:r w:rsidR="008616E8">
        <w:t>on live within a 45</w:t>
      </w:r>
      <w:r w:rsidR="00D30831">
        <w:t xml:space="preserve"> minute ambulance drive time of a definitive critical care service</w:t>
      </w:r>
      <w:r w:rsidR="001F3A29">
        <w:t>, but a</w:t>
      </w:r>
      <w:r w:rsidR="008616E8">
        <w:t xml:space="preserve"> 45</w:t>
      </w:r>
      <w:r w:rsidR="00D30831">
        <w:t xml:space="preserve"> minute drive time covers </w:t>
      </w:r>
      <w:r w:rsidR="001F3A29">
        <w:t xml:space="preserve">less than half </w:t>
      </w:r>
      <w:r w:rsidR="00D30831">
        <w:t xml:space="preserve">of the Scottish landmass </w:t>
      </w:r>
      <w:r w:rsidR="008C683B">
        <w:t>(</w:t>
      </w:r>
      <w:r w:rsidR="00D30831">
        <w:t>47%</w:t>
      </w:r>
      <w:r w:rsidR="008C683B">
        <w:t>)</w:t>
      </w:r>
      <w:r w:rsidR="00D30831">
        <w:t xml:space="preserve">. </w:t>
      </w:r>
    </w:p>
    <w:p w14:paraId="4575F977" w14:textId="627B1B9E" w:rsidR="00EB620A" w:rsidRDefault="008C683B" w:rsidP="00D31C30">
      <w:pPr>
        <w:jc w:val="both"/>
      </w:pPr>
      <w:r>
        <w:t>Analysis by health</w:t>
      </w:r>
      <w:r w:rsidR="002317C0">
        <w:t xml:space="preserve"> </w:t>
      </w:r>
      <w:r>
        <w:t xml:space="preserve">board </w:t>
      </w:r>
      <w:r w:rsidR="003E158A">
        <w:t>(</w:t>
      </w:r>
      <w:r w:rsidR="00D31C30">
        <w:t xml:space="preserve"> T</w:t>
      </w:r>
      <w:r w:rsidR="003E158A">
        <w:t>able 1</w:t>
      </w:r>
      <w:r w:rsidR="00D31C30">
        <w:t xml:space="preserve"> </w:t>
      </w:r>
      <w:r w:rsidR="003E158A">
        <w:t xml:space="preserve">) </w:t>
      </w:r>
      <w:r>
        <w:t xml:space="preserve">shows that </w:t>
      </w:r>
      <w:r w:rsidR="00F915A4">
        <w:t xml:space="preserve">regional </w:t>
      </w:r>
      <w:r>
        <w:t>population coverage varies from 0% to 100%. Fife, Forth Valley, Greater Glasgow and Clyde, Lanarkshire and Lothian health boards are able to provide complete population coverage. Ayrshire and Arran, Borders, and Tayside health boards provide almost complete population coverage (98%, 97% and 99% respectively), whereas coverage is lower in Dumfries and Galloway (80%), Grampian (84%), and Highland (55%).</w:t>
      </w:r>
      <w:r w:rsidR="00F915A4">
        <w:t xml:space="preserve"> Areal coverage </w:t>
      </w:r>
      <w:r w:rsidR="00CB7A62">
        <w:t xml:space="preserve">(table 1) </w:t>
      </w:r>
      <w:r w:rsidR="00F915A4">
        <w:t>is complete in Fife, Greater Glasgow and Clyde, Lanarkshire, and Lothian, but less in Ayrshire and Arran (84%), the Borders (92%), Dumfries and Galloway (73%), Forth Valley (83%), Grampian (53%), and Highland (17%).</w:t>
      </w:r>
      <w:r>
        <w:t xml:space="preserve"> The population of the islands (Orkney, Shetland, and Western Isles health boards) do not have access to definitive critical care services</w:t>
      </w:r>
      <w:r w:rsidR="0015129D">
        <w:t xml:space="preserve"> within the 45 minute access </w:t>
      </w:r>
      <w:r w:rsidR="00F915A4">
        <w:t xml:space="preserve">time </w:t>
      </w:r>
      <w:r w:rsidR="0015129D">
        <w:t>threshold</w:t>
      </w:r>
      <w:r>
        <w:t>.</w:t>
      </w:r>
      <w:r w:rsidR="00F915A4">
        <w:t xml:space="preserve"> </w:t>
      </w:r>
    </w:p>
    <w:p w14:paraId="59F012AF" w14:textId="27DF75A2" w:rsidR="002317C0" w:rsidRDefault="002317C0" w:rsidP="00D31C30">
      <w:pPr>
        <w:jc w:val="both"/>
      </w:pPr>
      <w:r>
        <w:t xml:space="preserve">Analysis by rurality </w:t>
      </w:r>
      <w:r w:rsidR="005B0F5C">
        <w:t>(</w:t>
      </w:r>
      <w:r w:rsidR="00D31C30">
        <w:t xml:space="preserve"> </w:t>
      </w:r>
      <w:r w:rsidR="005B0F5C">
        <w:t>Table</w:t>
      </w:r>
      <w:r w:rsidR="00913927">
        <w:t xml:space="preserve"> 2</w:t>
      </w:r>
      <w:r w:rsidR="00D31C30">
        <w:t xml:space="preserve"> </w:t>
      </w:r>
      <w:r w:rsidR="005B0F5C">
        <w:t xml:space="preserve">) </w:t>
      </w:r>
      <w:r w:rsidR="00913927">
        <w:t>reveal</w:t>
      </w:r>
      <w:r w:rsidR="003E158A">
        <w:t>s</w:t>
      </w:r>
      <w:r>
        <w:t xml:space="preserve"> that population coverage is complete in large urban areas, and almost complete in other urban areas (99%), accessible small towns (98%), and accessible rural areas (95%). </w:t>
      </w:r>
      <w:r w:rsidR="00CB7A62">
        <w:t>Population c</w:t>
      </w:r>
      <w:r>
        <w:t xml:space="preserve">overage is lower in remote small towns (73%) and remote rural areas (79%) and very low in very remote small towns (4%) and very remote rural areas (12%). </w:t>
      </w:r>
      <w:r w:rsidR="00CB7A62">
        <w:t>Areal coverage (</w:t>
      </w:r>
      <w:r w:rsidR="00D31C30">
        <w:t xml:space="preserve"> T</w:t>
      </w:r>
      <w:r w:rsidR="00CB7A62">
        <w:t>able 2</w:t>
      </w:r>
      <w:r w:rsidR="00D31C30">
        <w:t xml:space="preserve"> </w:t>
      </w:r>
      <w:r w:rsidR="00CB7A62">
        <w:t xml:space="preserve">) closely follows the pattern of population coverage.  </w:t>
      </w:r>
    </w:p>
    <w:p w14:paraId="6A09B636" w14:textId="77777777" w:rsidR="00261C4A" w:rsidRDefault="003467F9" w:rsidP="00D31C30">
      <w:pPr>
        <w:pStyle w:val="Heading3"/>
      </w:pPr>
      <w:r>
        <w:t>B</w:t>
      </w:r>
      <w:r w:rsidR="00677D01">
        <w:t>y helicopter</w:t>
      </w:r>
    </w:p>
    <w:p w14:paraId="11A03260" w14:textId="7D8C3CA9" w:rsidR="00584A10" w:rsidRDefault="00584A10" w:rsidP="00D31C30">
      <w:pPr>
        <w:jc w:val="both"/>
      </w:pPr>
      <w:r>
        <w:t>91% of the Scottish population can access definitive critical care services within the 45 minutes</w:t>
      </w:r>
      <w:r w:rsidR="0015129D">
        <w:t xml:space="preserve"> by helicopter</w:t>
      </w:r>
      <w:r>
        <w:t xml:space="preserve">. The Island healthboards – Western Isles, Orkney and Shetland </w:t>
      </w:r>
      <w:r w:rsidR="003E158A">
        <w:t>–</w:t>
      </w:r>
      <w:r>
        <w:t xml:space="preserve">have </w:t>
      </w:r>
      <w:r w:rsidR="00CB7A62">
        <w:t xml:space="preserve">no </w:t>
      </w:r>
      <w:r>
        <w:t xml:space="preserve">population </w:t>
      </w:r>
      <w:r w:rsidR="00CB7A62">
        <w:t xml:space="preserve">or areal </w:t>
      </w:r>
      <w:r>
        <w:t>coverage</w:t>
      </w:r>
      <w:r w:rsidR="00CB7A62">
        <w:t xml:space="preserve"> by helicopter</w:t>
      </w:r>
      <w:r>
        <w:t xml:space="preserve">. </w:t>
      </w:r>
      <w:r w:rsidR="00CB7A62">
        <w:t xml:space="preserve">Seven </w:t>
      </w:r>
      <w:r>
        <w:t xml:space="preserve">healthboards </w:t>
      </w:r>
      <w:r w:rsidR="00CB7A62">
        <w:t xml:space="preserve">(Ayrshire and Arran, Fife, Greater Glasgow and Clyde, Lothian, Lanarkshire, and Tayside) </w:t>
      </w:r>
      <w:r>
        <w:t xml:space="preserve">have complete population coverage. </w:t>
      </w:r>
      <w:r w:rsidR="00CB7A62">
        <w:t xml:space="preserve">The Borders has 55% population coverage, </w:t>
      </w:r>
      <w:r>
        <w:t xml:space="preserve">Dumfries and Galloway </w:t>
      </w:r>
      <w:r w:rsidR="003E158A">
        <w:t>50%</w:t>
      </w:r>
      <w:r w:rsidR="00CB7A62">
        <w:t xml:space="preserve">, Grampian </w:t>
      </w:r>
      <w:r w:rsidR="00CB7A62">
        <w:lastRenderedPageBreak/>
        <w:t xml:space="preserve">71%, and </w:t>
      </w:r>
      <w:r w:rsidR="005E441B">
        <w:t>Highland 6</w:t>
      </w:r>
      <w:r w:rsidR="00CB7A62">
        <w:t>7</w:t>
      </w:r>
      <w:r w:rsidR="005E441B">
        <w:t xml:space="preserve">%. </w:t>
      </w:r>
      <w:r w:rsidR="003E158A">
        <w:t>(</w:t>
      </w:r>
      <w:r w:rsidR="00D31C30">
        <w:t xml:space="preserve"> </w:t>
      </w:r>
      <w:r w:rsidR="003E158A">
        <w:t xml:space="preserve">Table </w:t>
      </w:r>
      <w:r w:rsidR="00F55D2F">
        <w:t>1</w:t>
      </w:r>
      <w:r w:rsidR="00D31C30">
        <w:t xml:space="preserve"> </w:t>
      </w:r>
      <w:r w:rsidR="003E158A">
        <w:t>).</w:t>
      </w:r>
      <w:r w:rsidR="00DE3B66">
        <w:t xml:space="preserve"> Areal coverage is complete in Fife, Greater Glasgow and Clyde, and Lanarkshire only, but near-complete in Lothian (99%) and Forth Valley (96%). Areal coverage is much lower in the remaining board areas, and as low as 34% in the Highlands.</w:t>
      </w:r>
    </w:p>
    <w:p w14:paraId="49B950E9" w14:textId="062B07AB" w:rsidR="0015129D" w:rsidRDefault="005E441B" w:rsidP="00D31C30">
      <w:pPr>
        <w:jc w:val="both"/>
      </w:pPr>
      <w:r>
        <w:t xml:space="preserve">Table </w:t>
      </w:r>
      <w:r w:rsidR="00F55D2F">
        <w:t>2</w:t>
      </w:r>
      <w:r w:rsidR="00DE3B66">
        <w:t xml:space="preserve"> </w:t>
      </w:r>
      <w:r>
        <w:t xml:space="preserve">shows </w:t>
      </w:r>
      <w:r w:rsidR="003E158A">
        <w:t xml:space="preserve">the </w:t>
      </w:r>
      <w:r w:rsidR="00DE3B66">
        <w:t xml:space="preserve">population coverage by helicopter, </w:t>
      </w:r>
      <w:r w:rsidR="003E158A">
        <w:t xml:space="preserve">by degree of </w:t>
      </w:r>
      <w:r>
        <w:t xml:space="preserve">rurality. </w:t>
      </w:r>
      <w:r w:rsidR="003E158A">
        <w:t>L</w:t>
      </w:r>
      <w:r>
        <w:t xml:space="preserve">arge urban areas have </w:t>
      </w:r>
      <w:r w:rsidR="003E158A">
        <w:t>complete</w:t>
      </w:r>
      <w:r>
        <w:t xml:space="preserve"> population coverage by helicopter</w:t>
      </w:r>
      <w:r w:rsidR="00DE3B66">
        <w:t xml:space="preserve">, and other urban areas have near-complete coverage (98%). </w:t>
      </w:r>
      <w:r>
        <w:t xml:space="preserve">Accessible small towns have </w:t>
      </w:r>
      <w:r w:rsidR="00DE3B66">
        <w:t>85</w:t>
      </w:r>
      <w:r>
        <w:t>%</w:t>
      </w:r>
      <w:r w:rsidR="00DE3B66">
        <w:t>, and accessible rural areas 86% population coverage</w:t>
      </w:r>
      <w:r w:rsidR="0015129D">
        <w:t>.</w:t>
      </w:r>
      <w:r>
        <w:t xml:space="preserve"> </w:t>
      </w:r>
      <w:r w:rsidR="00DE3B66">
        <w:t>Very remote small towns and very remote rural areas have the lowest population coverage (24% and 30% respectively). Areal coverage again broadly follows population coverage.</w:t>
      </w:r>
    </w:p>
    <w:p w14:paraId="6561D1C9" w14:textId="77777777" w:rsidR="003467F9" w:rsidRDefault="003467F9" w:rsidP="00D31C30">
      <w:pPr>
        <w:pStyle w:val="Heading2"/>
      </w:pPr>
      <w:r>
        <w:t xml:space="preserve">Access to intermediate critical care services </w:t>
      </w:r>
    </w:p>
    <w:p w14:paraId="74B9EF5F" w14:textId="31C90D78" w:rsidR="003467F9" w:rsidRPr="00D30831" w:rsidRDefault="003467F9" w:rsidP="00D31C30">
      <w:pPr>
        <w:pStyle w:val="Heading3"/>
      </w:pPr>
      <w:r>
        <w:t>By road</w:t>
      </w:r>
    </w:p>
    <w:p w14:paraId="1C210A2C" w14:textId="03BCB1E6" w:rsidR="009E2998" w:rsidRDefault="003467F9" w:rsidP="00D31C30">
      <w:pPr>
        <w:jc w:val="both"/>
      </w:pPr>
      <w:r>
        <w:t>96% of the Scottish population reside within a 45 minute ambulance drive</w:t>
      </w:r>
      <w:r w:rsidR="007F28AD">
        <w:t>-</w:t>
      </w:r>
      <w:r>
        <w:t xml:space="preserve">time of the nearest intermediate critical care service. This equates to 64% of the Scottish landmass. </w:t>
      </w:r>
    </w:p>
    <w:p w14:paraId="3A8FFACC" w14:textId="42B09DA5" w:rsidR="003467F9" w:rsidRDefault="003467F9" w:rsidP="00D31C30">
      <w:pPr>
        <w:jc w:val="both"/>
      </w:pPr>
      <w:r>
        <w:t xml:space="preserve">Analysis by health board </w:t>
      </w:r>
      <w:r w:rsidR="009E2998">
        <w:t>(</w:t>
      </w:r>
      <w:r w:rsidR="00D31C30">
        <w:t xml:space="preserve"> T</w:t>
      </w:r>
      <w:r w:rsidR="009E2998">
        <w:t xml:space="preserve">able </w:t>
      </w:r>
      <w:r w:rsidR="00F55D2F">
        <w:t>3</w:t>
      </w:r>
      <w:r w:rsidR="00D31C30">
        <w:t xml:space="preserve">  </w:t>
      </w:r>
      <w:r w:rsidR="009E2998">
        <w:t xml:space="preserve">) </w:t>
      </w:r>
      <w:r>
        <w:t xml:space="preserve">shows that population coverage by road ranges from 63% to 100%. Six health boards (Ayrshire and Arran, Fife, Forth Valley, Greater Glasgow and Clyde, Lanarkshire, and Lothian) have complete population coverage. The health boards with lower population coverage are the Western Isles (63%), Shetland (64%), Orkney (77%) and Highland (77%). </w:t>
      </w:r>
      <w:r w:rsidR="007F28AD">
        <w:t>Areal coverage broadly follows population coverage, with lower coverage in the Highlands (40%), and on the Orkney (46%) and Shetland (41%) Islands, and the Western Isles (38%).</w:t>
      </w:r>
    </w:p>
    <w:p w14:paraId="40954285" w14:textId="0C9C9BF6" w:rsidR="003467F9" w:rsidRDefault="003467F9" w:rsidP="00D31C30">
      <w:pPr>
        <w:jc w:val="both"/>
      </w:pPr>
      <w:r>
        <w:t>The analysis by urban/rural classification category (</w:t>
      </w:r>
      <w:r w:rsidR="00D31C30">
        <w:t xml:space="preserve"> T</w:t>
      </w:r>
      <w:r>
        <w:t>able</w:t>
      </w:r>
      <w:r w:rsidR="00CE17C1">
        <w:t xml:space="preserve"> </w:t>
      </w:r>
      <w:r w:rsidR="00F55D2F">
        <w:t>4</w:t>
      </w:r>
      <w:r w:rsidR="00D31C30">
        <w:t xml:space="preserve"> </w:t>
      </w:r>
      <w:r>
        <w:t xml:space="preserve">) </w:t>
      </w:r>
      <w:r w:rsidR="009E2998">
        <w:t xml:space="preserve">shows that </w:t>
      </w:r>
      <w:r>
        <w:t>100% of the population resid</w:t>
      </w:r>
      <w:r w:rsidR="009E2998">
        <w:t>ing</w:t>
      </w:r>
      <w:r>
        <w:t xml:space="preserve"> in large urban areas, other urban areas, and accessible small towns, have access to intermediate critical care services by road within 45 minutes. Population coverage is also high in remote small towns (95%), accessible rural areas (98%), and remote rural areas (95%), but lower in very remote small towns (69%) and very remote rural areas (51%). </w:t>
      </w:r>
      <w:r w:rsidR="007F28AD">
        <w:t>Again, areal coverage broadly follows population coverage.</w:t>
      </w:r>
    </w:p>
    <w:p w14:paraId="3925BD10" w14:textId="77777777" w:rsidR="003467F9" w:rsidRDefault="003467F9" w:rsidP="00D31C30">
      <w:pPr>
        <w:pStyle w:val="Heading3"/>
      </w:pPr>
      <w:r>
        <w:lastRenderedPageBreak/>
        <w:t>By helicopter</w:t>
      </w:r>
    </w:p>
    <w:p w14:paraId="194E549F" w14:textId="6F17D7C0" w:rsidR="00C9575A" w:rsidRDefault="003467F9" w:rsidP="00D31C30">
      <w:pPr>
        <w:jc w:val="both"/>
      </w:pPr>
      <w:r>
        <w:t>95%</w:t>
      </w:r>
      <w:r w:rsidR="001465C4">
        <w:t xml:space="preserve"> of the Scottish population can</w:t>
      </w:r>
      <w:r>
        <w:t xml:space="preserve"> be retrieved and taken to the nearest intermediate critical care service within 45 minutes</w:t>
      </w:r>
      <w:r w:rsidR="001465C4">
        <w:t>, by helicopter, bu</w:t>
      </w:r>
      <w:r w:rsidR="000522CD">
        <w:t>t</w:t>
      </w:r>
      <w:r w:rsidR="001465C4">
        <w:t xml:space="preserve"> there </w:t>
      </w:r>
      <w:r>
        <w:t xml:space="preserve">is </w:t>
      </w:r>
      <w:r w:rsidR="001465C4">
        <w:t xml:space="preserve">considerable </w:t>
      </w:r>
      <w:r>
        <w:t>variation</w:t>
      </w:r>
      <w:r w:rsidR="001465C4">
        <w:t xml:space="preserve"> between health boards</w:t>
      </w:r>
      <w:r w:rsidR="00C9575A">
        <w:t xml:space="preserve"> (</w:t>
      </w:r>
      <w:r w:rsidR="00D31C30">
        <w:t xml:space="preserve"> T</w:t>
      </w:r>
      <w:r w:rsidR="00C9575A">
        <w:t>able 3</w:t>
      </w:r>
      <w:r w:rsidR="00D31C30">
        <w:t xml:space="preserve"> </w:t>
      </w:r>
      <w:r w:rsidR="00C9575A">
        <w:t>)</w:t>
      </w:r>
      <w:r>
        <w:t>. The Island health</w:t>
      </w:r>
      <w:r w:rsidR="001465C4">
        <w:t xml:space="preserve"> boards lie outwi</w:t>
      </w:r>
      <w:r>
        <w:t xml:space="preserve">th of the range of the 45 minute helicopter access time threshold, and </w:t>
      </w:r>
      <w:r w:rsidR="001465C4">
        <w:t xml:space="preserve">thus </w:t>
      </w:r>
      <w:r>
        <w:t xml:space="preserve">have </w:t>
      </w:r>
      <w:r w:rsidR="00C9575A">
        <w:t>no</w:t>
      </w:r>
      <w:r>
        <w:t xml:space="preserve"> population </w:t>
      </w:r>
      <w:r w:rsidR="00C9575A">
        <w:t xml:space="preserve">or areal </w:t>
      </w:r>
      <w:r>
        <w:t xml:space="preserve">coverage. The healthboards serving the central belt all have </w:t>
      </w:r>
      <w:r w:rsidR="001465C4">
        <w:t xml:space="preserve">complete </w:t>
      </w:r>
      <w:r>
        <w:t>population coverage</w:t>
      </w:r>
      <w:r w:rsidR="00C9575A">
        <w:t xml:space="preserve">. </w:t>
      </w:r>
      <w:r>
        <w:t>Highland (85%), Grampian (9</w:t>
      </w:r>
      <w:r w:rsidR="00C9575A">
        <w:t>6</w:t>
      </w:r>
      <w:r>
        <w:t xml:space="preserve">%) </w:t>
      </w:r>
      <w:r w:rsidR="00C9575A">
        <w:t xml:space="preserve">the </w:t>
      </w:r>
      <w:r>
        <w:t>Borders (5</w:t>
      </w:r>
      <w:r w:rsidR="00C9575A">
        <w:t>5</w:t>
      </w:r>
      <w:r>
        <w:t>%) and Dumfries and Galloway (5</w:t>
      </w:r>
      <w:r w:rsidR="00C9575A">
        <w:t>9</w:t>
      </w:r>
      <w:r>
        <w:t>%) have lower degrees of population coverage.</w:t>
      </w:r>
      <w:r w:rsidR="001465C4">
        <w:t xml:space="preserve"> </w:t>
      </w:r>
      <w:r w:rsidR="00C9575A">
        <w:t>Areal coverage broadly follows this pattern, albeit with lower coverage in the Highlands (54%).</w:t>
      </w:r>
    </w:p>
    <w:p w14:paraId="4147FC13" w14:textId="00BCC11D" w:rsidR="00C9575A" w:rsidRDefault="00C9575A" w:rsidP="00D31C30">
      <w:pPr>
        <w:jc w:val="both"/>
      </w:pPr>
      <w:r>
        <w:t xml:space="preserve">Analysis by urban/rural classification </w:t>
      </w:r>
      <w:r w:rsidR="00F55D2F">
        <w:t>(</w:t>
      </w:r>
      <w:r w:rsidR="00D31C30">
        <w:t xml:space="preserve"> T</w:t>
      </w:r>
      <w:r w:rsidR="00F55D2F">
        <w:t>able 4</w:t>
      </w:r>
      <w:r w:rsidR="00D31C30">
        <w:t xml:space="preserve"> </w:t>
      </w:r>
      <w:r w:rsidR="00F55D2F">
        <w:t xml:space="preserve">) </w:t>
      </w:r>
      <w:r>
        <w:t>shows that large and other urban areas and accessible small towns have complete or near-complete population and areal coverage. Very remote small towns and very remote rural areas have the lowest population (50% and 41% respectively) and areal (49% and 46%) coverage, respectively.</w:t>
      </w:r>
    </w:p>
    <w:p w14:paraId="118D901B" w14:textId="2E7D9B34" w:rsidR="000369DC" w:rsidRDefault="003E158A" w:rsidP="00D31C30">
      <w:pPr>
        <w:pStyle w:val="Heading2"/>
      </w:pPr>
      <w:r w:rsidRPr="000369DC">
        <w:t>Sensitivity analysis</w:t>
      </w:r>
      <w:r w:rsidR="00EC590A">
        <w:t>: 60 minute access time threshold</w:t>
      </w:r>
    </w:p>
    <w:p w14:paraId="21FD6B30" w14:textId="77777777" w:rsidR="00F071D2" w:rsidRDefault="00230C17" w:rsidP="00D31C30">
      <w:pPr>
        <w:jc w:val="both"/>
      </w:pPr>
      <w:r w:rsidRPr="00DD49A4">
        <w:t xml:space="preserve">The results of </w:t>
      </w:r>
      <w:r>
        <w:t>the sensitivity analysis, using a 60 minute (rather than 45 minute) access time threshold are shown in supplementary tables 2-5. As expected, lengthening the access time threshold increases coverage. In terms of access to definitive critical care facilities, population coverage by road is complete or near-complete in all areas except the Highlands (61%), increased to 80% using helicopters. The Islands continue to have no coverage. All categories of the urban/rural classification have complete or near-complete access to definitive critical care facilities, by road and helicopter, except very remote small towns and very remote rural areas</w:t>
      </w:r>
      <w:r w:rsidR="00F071D2">
        <w:t xml:space="preserve">, which have </w:t>
      </w:r>
      <w:r>
        <w:t>19% and 21% population coverage by road</w:t>
      </w:r>
      <w:r w:rsidR="00F071D2">
        <w:t>, respectively. Population coverage in these areas is increased to 47%, using helicopters.</w:t>
      </w:r>
    </w:p>
    <w:p w14:paraId="5DA4D743" w14:textId="1CF2194E" w:rsidR="00230C17" w:rsidRPr="00F071D2" w:rsidRDefault="00F071D2" w:rsidP="00D31C30">
      <w:pPr>
        <w:jc w:val="both"/>
      </w:pPr>
      <w:r>
        <w:t xml:space="preserve">In terms of access to intermediate critical care facilities, a 60 minute access time threshold marginally improves health board population coverage by road. By helicopter, however, parts of the Orkney Islands become accessible. Lengthening the access time threshold improves </w:t>
      </w:r>
      <w:r>
        <w:lastRenderedPageBreak/>
        <w:t>population road coverage in very remote small towns and rural areas. In addition, helicopter use increases coverage in these areas to 90% and 73% respectively.</w:t>
      </w:r>
    </w:p>
    <w:p w14:paraId="7A4BF8AA" w14:textId="5D39881A" w:rsidR="003467F9" w:rsidRDefault="003467F9" w:rsidP="00D31C30">
      <w:pPr>
        <w:jc w:val="both"/>
        <w:rPr>
          <w:rFonts w:eastAsia="Times New Roman"/>
          <w:b/>
          <w:sz w:val="24"/>
        </w:rPr>
      </w:pPr>
      <w:r>
        <w:br w:type="page"/>
      </w:r>
    </w:p>
    <w:p w14:paraId="4F8F9435" w14:textId="77777777" w:rsidR="00261C4A" w:rsidRPr="0015129D" w:rsidRDefault="002A1FC5" w:rsidP="00D31C30">
      <w:pPr>
        <w:pStyle w:val="Heading1"/>
        <w:jc w:val="both"/>
      </w:pPr>
      <w:r w:rsidRPr="001465C4">
        <w:lastRenderedPageBreak/>
        <w:t>Discussion</w:t>
      </w:r>
    </w:p>
    <w:p w14:paraId="5235983C" w14:textId="33976ABD" w:rsidR="002A1FC5" w:rsidRDefault="00EE068D" w:rsidP="00D31C30">
      <w:pPr>
        <w:jc w:val="both"/>
      </w:pPr>
      <w:r>
        <w:t xml:space="preserve">We have conducted a </w:t>
      </w:r>
      <w:r w:rsidR="002A1FC5">
        <w:t>population</w:t>
      </w:r>
      <w:r w:rsidR="001F2F87">
        <w:t>-</w:t>
      </w:r>
      <w:r w:rsidR="002A1FC5">
        <w:t xml:space="preserve">based evaluation of </w:t>
      </w:r>
      <w:r w:rsidR="001F2F87">
        <w:t xml:space="preserve">geographical </w:t>
      </w:r>
      <w:r w:rsidR="002A1FC5">
        <w:t>access to critical care services</w:t>
      </w:r>
      <w:r>
        <w:t xml:space="preserve"> in Scotland</w:t>
      </w:r>
      <w:r w:rsidR="002A1FC5">
        <w:t>.</w:t>
      </w:r>
      <w:r>
        <w:t xml:space="preserve"> </w:t>
      </w:r>
      <w:r w:rsidR="000A4A0E">
        <w:t>We have established a</w:t>
      </w:r>
      <w:r w:rsidR="002A1FC5">
        <w:t xml:space="preserve"> methodology, using freely accessible data to describe the proport</w:t>
      </w:r>
      <w:r w:rsidR="00CD7AD1">
        <w:t xml:space="preserve">ion of the population </w:t>
      </w:r>
      <w:r w:rsidR="002A1FC5">
        <w:t>that can access critical care services within 45</w:t>
      </w:r>
      <w:r w:rsidR="004F1DEC">
        <w:t xml:space="preserve"> and 60</w:t>
      </w:r>
      <w:r w:rsidR="002A1FC5">
        <w:t xml:space="preserve"> minutes</w:t>
      </w:r>
      <w:r w:rsidR="004F1DEC">
        <w:t xml:space="preserve">, </w:t>
      </w:r>
      <w:r w:rsidR="002A1FC5">
        <w:t xml:space="preserve">by road, and by air. </w:t>
      </w:r>
    </w:p>
    <w:p w14:paraId="6D1E0D9C" w14:textId="1A01F4B2" w:rsidR="002A1FC5" w:rsidRDefault="002A1FC5" w:rsidP="00D31C30">
      <w:pPr>
        <w:jc w:val="both"/>
      </w:pPr>
      <w:r w:rsidRPr="00BE582B">
        <w:rPr>
          <w:rFonts w:cs="Arial"/>
        </w:rPr>
        <w:t>There is an increasing interest in the concept of equity o</w:t>
      </w:r>
      <w:r w:rsidR="000D3A66">
        <w:rPr>
          <w:rFonts w:cs="Arial"/>
        </w:rPr>
        <w:t>f access to healthcare resources</w:t>
      </w:r>
      <w:r w:rsidR="00E12C4E" w:rsidRPr="00BE582B">
        <w:rPr>
          <w:rFonts w:cs="Arial"/>
        </w:rPr>
        <w:fldChar w:fldCharType="begin" w:fldLock="1"/>
      </w:r>
      <w:r w:rsidR="00DD49A4">
        <w:rPr>
          <w:rFonts w:cs="Arial"/>
        </w:rPr>
        <w:instrText>ADDIN CSL_CITATION { "citationItems" : [ { "id" : "ITEM-1", "itemData" : { "abstract" : "GOVERNMENT AT A GLANCE 2011 \u00a9 OECD 2011 184 55. Equity in access to health care Reducing inequalities in access to health care remains an important policy goal for governments, regardless of differ-ent health care systems' designs. Most OECD governments seek to reduce potential barriers to access to health care which can be financial; geographic; racial; cultural and informational; or time-related. Health insurance coverage promotes access to health care goods and services and provides financial security against unexpected or serious illness. Most OECD countries have achieved universal coverage of health care for a core set of services, with the exception of Mexico, Turkey, the United States and Chile. Mexico has recently introduced reforms to provide coverage for the poor or uninsured, and the United States has recently passed legislation that will mandate health insurance coverage for almost everyone. Despite having insurance, patients may be asked to pay some costs directly when consulting a doctor or being hospitalised, or when they purchase pharmaceutical drugs. Such direct costs may lead some households to delay or even forgo medical care. On average, out-of-pocket expen-ditures for health care represented 3.3% of final household consumption in 2008, ranging from 6% in Switzerland to less than 1.5% in the Netherlands, Luxembourg and France. The distribution of out-of-pocket expenditures across income groups can vary considerably within countries as well. While many countries have put in place exemptions and caps on out-of-pocket expenditures for lower-income groups to protect health care access, poorer households often allocate a higher proportion of their income or their consumption to pay health care than high-income house-holds (Banthin et al., 2008; De Graeve and Van Ourti, 2003; Westert et al., 2008). Regional inequities in access to health care can also exist within countries. In general, there are greater numbers of physicians in urban areas than in rural regions, where a shortage of physicians can lead to delayed treatment or larger distances travelled to get care.", "id" : "ITEM-1", "issued" : { "date-parts" : [ [ "0" ] ] }, "title" : "Government at a Glance 2011 Equity in access to health care XII. GOVERNMENT PERFORMANCE INDICATORS FROM SELECTED SECTORS", "type" : "article-journal" }, "uris" : [ "http://www.mendeley.com/documents/?uuid=2cc0831e-9531-39bb-90e1-0e3d605ba2f2" ] }, { "id" : "ITEM-2", "itemData" : { "DOI" : "10.1136/jech.2003.017731", "ISSN" : "0143-005X", "PMID" : "15252067", "abstract" : "The Ministers of Health from Chile, Germany, Greece, New Zealand, Slovenia, Sweden, and the United Kingdom recently established The International Forum on Common Access to Health Care Services, based on a common belief that their citizens should enjoy universal and equitable access to good quality health care. The ministers intend to form a network to share thinking and evidence on health care improvements, with the specific aim of sustaining and promoting equitable access to health care. Despite a vast literature on the notion of equity of access, little agreement has been reached in the literature on exactly what this notion ought to mean. This article provides a brief description of the relevance of the access principle of equity, and summarises the research programme that is necessary for turning the principle into a useful, operational policy objective.", "author" : [ { "dropping-particle" : "", "family" : "Oliver", "given" : "Adam", "non-dropping-particle" : "", "parse-names" : false, "suffix" : "" }, { "dropping-particle" : "", "family" : "Mossialos", "given" : "Elias", "non-dropping-particle" : "", "parse-names" : false, "suffix" : "" } ], "container-title" : "Journal of epidemiology and community health", "id" : "ITEM-2", "issue" : "8", "issued" : { "date-parts" : [ [ "2004", "8" ] ] }, "page" : "655-8", "publisher" : "BMJ Publishing Group Ltd", "title" : "Equity of access to health care: outlining the foundations for action.", "type" : "article-journal", "volume" : "58" }, "uris" : [ "http://www.mendeley.com/documents/?uuid=de19a871-48ee-30b3-9dd7-c2c294facd00" ] } ], "mendeley" : { "formattedCitation" : "[4, 25]", "plainTextFormattedCitation" : "[4, 25]", "previouslyFormattedCitation" : "[4, 25]" }, "properties" : { "noteIndex" : 0 }, "schema" : "https://github.com/citation-style-language/schema/raw/master/csl-citation.json" }</w:instrText>
      </w:r>
      <w:r w:rsidR="00E12C4E" w:rsidRPr="00BE582B">
        <w:rPr>
          <w:rFonts w:cs="Arial"/>
        </w:rPr>
        <w:fldChar w:fldCharType="separate"/>
      </w:r>
      <w:r w:rsidR="00DD49A4" w:rsidRPr="00DD49A4">
        <w:rPr>
          <w:rFonts w:cs="Arial"/>
          <w:noProof/>
        </w:rPr>
        <w:t>[4, 25]</w:t>
      </w:r>
      <w:r w:rsidR="00E12C4E" w:rsidRPr="00BE582B">
        <w:rPr>
          <w:rFonts w:cs="Arial"/>
        </w:rPr>
        <w:fldChar w:fldCharType="end"/>
      </w:r>
      <w:r w:rsidR="000D3A66">
        <w:rPr>
          <w:rFonts w:cs="Arial"/>
        </w:rPr>
        <w:t>.</w:t>
      </w:r>
      <w:r w:rsidRPr="00BE582B">
        <w:rPr>
          <w:rFonts w:cs="Arial"/>
        </w:rPr>
        <w:t xml:space="preserve"> In countries with diverse geography</w:t>
      </w:r>
      <w:r w:rsidR="00EE068D" w:rsidRPr="00BE582B">
        <w:rPr>
          <w:rFonts w:cs="Arial"/>
        </w:rPr>
        <w:t>,</w:t>
      </w:r>
      <w:r w:rsidRPr="00BE582B">
        <w:rPr>
          <w:rFonts w:cs="Arial"/>
        </w:rPr>
        <w:t xml:space="preserve"> such as Scotland, </w:t>
      </w:r>
      <w:r w:rsidR="00EE068D" w:rsidRPr="00BE582B">
        <w:rPr>
          <w:rFonts w:cs="Arial"/>
        </w:rPr>
        <w:t xml:space="preserve">ensuring </w:t>
      </w:r>
      <w:r w:rsidRPr="00BE582B">
        <w:rPr>
          <w:rFonts w:cs="Arial"/>
        </w:rPr>
        <w:t>equity is challeng</w:t>
      </w:r>
      <w:r w:rsidR="00EE068D" w:rsidRPr="00BE582B">
        <w:rPr>
          <w:rFonts w:cs="Arial"/>
        </w:rPr>
        <w:t>ing</w:t>
      </w:r>
      <w:r w:rsidRPr="00BE582B">
        <w:rPr>
          <w:rFonts w:cs="Arial"/>
        </w:rPr>
        <w:t>, with evidenc</w:t>
      </w:r>
      <w:r w:rsidR="000D3A66">
        <w:rPr>
          <w:rFonts w:cs="Arial"/>
        </w:rPr>
        <w:t>e that there may be</w:t>
      </w:r>
      <w:r w:rsidRPr="00BE582B">
        <w:rPr>
          <w:rFonts w:cs="Arial"/>
        </w:rPr>
        <w:t xml:space="preserve"> disparities in equity of access </w:t>
      </w:r>
      <w:r w:rsidR="00B05436" w:rsidRPr="00BE582B">
        <w:rPr>
          <w:rFonts w:cs="Arial"/>
        </w:rPr>
        <w:t xml:space="preserve">to </w:t>
      </w:r>
      <w:r w:rsidRPr="00BE582B">
        <w:rPr>
          <w:rFonts w:cs="Arial"/>
        </w:rPr>
        <w:t xml:space="preserve">critical care </w:t>
      </w:r>
      <w:r w:rsidR="00B05436" w:rsidRPr="00BE582B">
        <w:rPr>
          <w:rFonts w:cs="Arial"/>
        </w:rPr>
        <w:t>service.</w:t>
      </w:r>
      <w:r w:rsidR="00BE582B" w:rsidRPr="00BE582B">
        <w:rPr>
          <w:rFonts w:cs="Arial"/>
        </w:rPr>
        <w:t xml:space="preserve"> </w:t>
      </w:r>
      <w:r w:rsidR="00CC6BB5">
        <w:rPr>
          <w:rFonts w:cs="Arial"/>
        </w:rPr>
        <w:t xml:space="preserve">In another study from Scotland, </w:t>
      </w:r>
      <w:r w:rsidR="00BE582B" w:rsidRPr="00BE582B">
        <w:rPr>
          <w:rFonts w:cs="Arial"/>
        </w:rPr>
        <w:t xml:space="preserve">Docherty et al have shown that, </w:t>
      </w:r>
      <w:r w:rsidR="00BE582B" w:rsidRPr="00BE582B">
        <w:rPr>
          <w:rFonts w:cs="Arial"/>
          <w:lang w:val="en-US"/>
        </w:rPr>
        <w:t>a</w:t>
      </w:r>
      <w:r w:rsidR="00C33698" w:rsidRPr="00CA332F">
        <w:rPr>
          <w:rFonts w:cs="Arial"/>
          <w:lang w:val="en-US"/>
        </w:rPr>
        <w:t xml:space="preserve">fter standardization for </w:t>
      </w:r>
      <w:r w:rsidR="004F1DEC">
        <w:rPr>
          <w:rFonts w:cs="Arial"/>
          <w:lang w:val="en-US"/>
        </w:rPr>
        <w:t>gender</w:t>
      </w:r>
      <w:r w:rsidR="004F1DEC" w:rsidRPr="00CA332F">
        <w:rPr>
          <w:rFonts w:cs="Arial"/>
          <w:lang w:val="en-US"/>
        </w:rPr>
        <w:t xml:space="preserve"> </w:t>
      </w:r>
      <w:r w:rsidR="00C33698" w:rsidRPr="00CA332F">
        <w:rPr>
          <w:rFonts w:cs="Arial"/>
          <w:lang w:val="en-US"/>
        </w:rPr>
        <w:t xml:space="preserve">and </w:t>
      </w:r>
      <w:r w:rsidR="00BE582B">
        <w:rPr>
          <w:rFonts w:cs="Arial"/>
          <w:lang w:val="en-US"/>
        </w:rPr>
        <w:t>socioeconomic status</w:t>
      </w:r>
      <w:r w:rsidR="00C33698" w:rsidRPr="00CA332F">
        <w:rPr>
          <w:rFonts w:cs="Arial"/>
          <w:lang w:val="en-US"/>
        </w:rPr>
        <w:t xml:space="preserve">, there was evidence of regional variation in </w:t>
      </w:r>
      <w:r w:rsidR="00F85345">
        <w:rPr>
          <w:rFonts w:cs="Arial"/>
          <w:lang w:val="en-US"/>
        </w:rPr>
        <w:t xml:space="preserve">intensive care unit </w:t>
      </w:r>
      <w:r w:rsidR="00C33698" w:rsidRPr="00CA332F">
        <w:rPr>
          <w:rFonts w:cs="Arial"/>
          <w:lang w:val="en-US"/>
        </w:rPr>
        <w:t>admission rate</w:t>
      </w:r>
      <w:r w:rsidR="00F85345">
        <w:rPr>
          <w:rFonts w:cs="Arial"/>
          <w:lang w:val="en-US"/>
        </w:rPr>
        <w:t>s</w:t>
      </w:r>
      <w:r w:rsidR="00C33698" w:rsidRPr="00CA332F">
        <w:rPr>
          <w:rFonts w:cs="Arial"/>
          <w:lang w:val="en-US"/>
        </w:rPr>
        <w:t xml:space="preserve"> for elderly patients</w:t>
      </w:r>
      <w:r w:rsidR="00F85345">
        <w:rPr>
          <w:rFonts w:cs="Arial"/>
          <w:lang w:val="en-US"/>
        </w:rPr>
        <w:t xml:space="preserve">. The authors concluded that their data </w:t>
      </w:r>
      <w:r w:rsidR="00F85345">
        <w:rPr>
          <w:lang w:val="en-US"/>
        </w:rPr>
        <w:t>indicated possible rationing, based on age, and geographic variation in access to care</w:t>
      </w:r>
      <w:r w:rsidR="00BD590A">
        <w:rPr>
          <w:lang w:val="en-US"/>
        </w:rPr>
        <w:fldChar w:fldCharType="begin" w:fldLock="1"/>
      </w:r>
      <w:r w:rsidR="00DD49A4">
        <w:rPr>
          <w:lang w:val="en-US"/>
        </w:rPr>
        <w:instrText>ADDIN CSL_CITATION { "citationItems" : [ { "id" : "ITEM-1", "itemData" : { "DOI" : "10.1097/CCM.0000000000001377", "ISSN" : "1530-0293", "PMID" : "26672922", "abstract" : "OBJECTIVE To compare elderly (\u2265 80 yr), older (65-79 yr), and younger (&lt; 65 yr) ICU admissions in Scotland in relation to trends in admission rates, regional variation in admissions, ICU treatment intensity, and ICU and 1-year mortality. DESIGN National 5-year cohort study of ICU first admissions (January 1, 2005, to December 31, 2009). SETTING All admissions to ICUs and combined units (level 2/3 care) in Scotland captured by the Scottish Intensive Care Society Audit Group database, linked with hospital discharge data and death records. PATIENTS A total of 40,142 patients: 3,865 were 80 years old or older (9.6%), 13,904 (34.6%) were 65-79 years old; and 22,373 were younger than 65 years (55.7%). INTERVENTIONS None. MEASUREMENTS AND MAIN RESULTS Between 2005 and 2009, elderly admission rates decreased from 36.6/10,000 (95% CI, 34.0-39.2) in 2005 to 28.7/10,000 (95% CI, 26.5-30.9) in 2009 (p &lt; 0.001; relative decrease, 22.0%); older admission rates also decreased, but less steeply (31.1 [95% CI, 29.9-32.2] to 26.1 [95% CI, 25.1-27.1] per 10,000 population; p &lt; 0.001; relative decrease, 16.1%). Rates were static for younger patients. Restricted to mechanically ventilated elderly patients, rates ranged from 13.9 to 30.1/10,000 between healthboard administrative regions (p &lt; 0.001). Emergency surgical diagnoses were more prevalent for elderly patients (elderly, 39.8%; older, 25.1%; younger, 20.3%; p &lt; 0.001). Subgroup analyses limited to pneumonia admissions (elderly, n = 242; older, n = 1,226; younger, n = 1,836) indicated similar acute physiology scores, but fewer preexisting comorbidities among elderly patients (p = 0.007), who received a shorter duration of organ support and ICU stay. Mortality rates were higher in elderly patients at ICU discharge (elderly, 26.5%; older, 25.0%; younger, 17.0%; p &lt; 0.001; confounder adjusted odds ratio elderly vs younger, 2.33 [95% CI, 2.11-2.58]; p &lt; 0.001). Differences persisted at 1 year (elderly, 52.2%; older, 43.8%; younger, 27.6%; adjusted odds ratio elderly vs younger, 3.72 [95% CI, 3.42-4.06]; p &lt; 0.001). CONCLUSIONS In Scotland, elderly and older ICU admission rates are decreasing, with regional geographic variation. Although limited by an absence of a measure of frailty, patient characteristics and treatment intensity suggest selection of less comorbid elderly patients, indicating possible rationing based on chronologic age.", "author" : [ { "dropping-particle" : "", "family" : "Docherty", "given" : "Annemarie B", "non-dropping-particle" : "", "parse-names" : false, "suffix" : "" }, { "dropping-particle" : "", "family" : "Anderson", "given" : "Niall H", "non-dropping-particle" : "", "parse-names" : false, "suffix" : "" }, { "dropping-particle" : "", "family" : "Walsh", "given" : "Timothy S", "non-dropping-particle" : "", "parse-names" : false, "suffix" : "" }, { "dropping-particle" : "", "family" : "Lone", "given" : "Nazir I", "non-dropping-particle" : "", "parse-names" : false, "suffix" : "" } ], "container-title" : "Critical care medicine", "id" : "ITEM-1", "issue" : "1", "issued" : { "date-parts" : [ [ "2016", "1" ] ] }, "page" : "3-13", "title" : "Equity of Access to Critical Care Among Elderly Patients in Scotland: A National Cohort Study.", "type" : "article-journal", "volume" : "44" }, "uris" : [ "http://www.mendeley.com/documents/?uuid=8848f359-2de0-3211-b815-931f86aaa695" ] } ], "mendeley" : { "formattedCitation" : "[26]", "plainTextFormattedCitation" : "[26]", "previouslyFormattedCitation" : "[26]" }, "properties" : { "noteIndex" : 0 }, "schema" : "https://github.com/citation-style-language/schema/raw/master/csl-citation.json" }</w:instrText>
      </w:r>
      <w:r w:rsidR="00BD590A">
        <w:rPr>
          <w:lang w:val="en-US"/>
        </w:rPr>
        <w:fldChar w:fldCharType="separate"/>
      </w:r>
      <w:r w:rsidR="00DD49A4" w:rsidRPr="00DD49A4">
        <w:rPr>
          <w:noProof/>
          <w:lang w:val="en-US"/>
        </w:rPr>
        <w:t>[26]</w:t>
      </w:r>
      <w:r w:rsidR="00BD590A">
        <w:rPr>
          <w:lang w:val="en-US"/>
        </w:rPr>
        <w:fldChar w:fldCharType="end"/>
      </w:r>
      <w:r w:rsidR="004F7BB2">
        <w:t>.</w:t>
      </w:r>
      <w:r w:rsidR="008E7DD6">
        <w:t xml:space="preserve"> </w:t>
      </w:r>
      <w:r>
        <w:t>Quantifying the geographic</w:t>
      </w:r>
      <w:r w:rsidR="00216781">
        <w:t>al</w:t>
      </w:r>
      <w:r>
        <w:t xml:space="preserve"> access to </w:t>
      </w:r>
      <w:r w:rsidR="000D3A66">
        <w:t xml:space="preserve">critical care provides </w:t>
      </w:r>
      <w:r>
        <w:t xml:space="preserve">information </w:t>
      </w:r>
      <w:r w:rsidR="00F85345">
        <w:t xml:space="preserve">on where these inequities lie, and </w:t>
      </w:r>
      <w:r>
        <w:t xml:space="preserve">how </w:t>
      </w:r>
      <w:r w:rsidR="00F85345">
        <w:t xml:space="preserve">such </w:t>
      </w:r>
      <w:r>
        <w:t xml:space="preserve">disparities might be reduced. </w:t>
      </w:r>
    </w:p>
    <w:p w14:paraId="6C29FFE1" w14:textId="0C644A7A" w:rsidR="000D3A66" w:rsidRPr="00463AAB" w:rsidRDefault="002A1FC5" w:rsidP="00D31C30">
      <w:pPr>
        <w:jc w:val="both"/>
      </w:pPr>
      <w:r>
        <w:t>We have shown that</w:t>
      </w:r>
      <w:r w:rsidR="00EE068D">
        <w:t>,</w:t>
      </w:r>
      <w:r>
        <w:t xml:space="preserve"> overall, there is </w:t>
      </w:r>
      <w:r w:rsidR="00924088">
        <w:t xml:space="preserve">a </w:t>
      </w:r>
      <w:r>
        <w:t>good</w:t>
      </w:r>
      <w:r w:rsidR="00924088">
        <w:t xml:space="preserve"> estimated</w:t>
      </w:r>
      <w:r>
        <w:t xml:space="preserve"> population coverage</w:t>
      </w:r>
      <w:r w:rsidR="00216781">
        <w:t xml:space="preserve">, </w:t>
      </w:r>
      <w:r>
        <w:t>with 9</w:t>
      </w:r>
      <w:r w:rsidR="004F1DEC">
        <w:t>4</w:t>
      </w:r>
      <w:r>
        <w:t xml:space="preserve">% of the population </w:t>
      </w:r>
      <w:r w:rsidR="00EE068D">
        <w:t xml:space="preserve">residing </w:t>
      </w:r>
      <w:r>
        <w:t xml:space="preserve">within a 45 minute drive to the nearest </w:t>
      </w:r>
      <w:r w:rsidR="00216781">
        <w:t xml:space="preserve">definitive </w:t>
      </w:r>
      <w:r w:rsidR="003D4397">
        <w:t xml:space="preserve">critical care facility, and the aeromedical retrieval network providing </w:t>
      </w:r>
      <w:r w:rsidR="004F1DEC">
        <w:t xml:space="preserve">definitive critical care access for </w:t>
      </w:r>
      <w:r w:rsidR="003D4397">
        <w:t xml:space="preserve">91% </w:t>
      </w:r>
      <w:r w:rsidR="004F1DEC">
        <w:t xml:space="preserve">of the </w:t>
      </w:r>
      <w:r w:rsidR="003D4397">
        <w:t>population</w:t>
      </w:r>
      <w:r w:rsidR="004F1DEC">
        <w:t xml:space="preserve">, also within 45 minutes. </w:t>
      </w:r>
      <w:r w:rsidR="00467A5C">
        <w:t>An even greater proportion of the population have access to intermediate critical care facilities within this timeframe.</w:t>
      </w:r>
      <w:r w:rsidR="00525F87">
        <w:t xml:space="preserve"> </w:t>
      </w:r>
      <w:r w:rsidR="004D04C3">
        <w:t>In some</w:t>
      </w:r>
      <w:r w:rsidR="00050D61">
        <w:t xml:space="preserve"> </w:t>
      </w:r>
      <w:r w:rsidR="00EF5707">
        <w:t>areas</w:t>
      </w:r>
      <w:r w:rsidR="000D3A66">
        <w:t>, a greater proportion of the population can access critical care services within 45</w:t>
      </w:r>
      <w:r w:rsidR="00777E36">
        <w:t xml:space="preserve"> minutes</w:t>
      </w:r>
      <w:r w:rsidR="000D3A66">
        <w:t xml:space="preserve"> </w:t>
      </w:r>
      <w:r w:rsidR="001D7422">
        <w:t>via road ambulance rath</w:t>
      </w:r>
      <w:r w:rsidR="00E54862">
        <w:t>er than air ambulance</w:t>
      </w:r>
      <w:r w:rsidR="00050D61">
        <w:t xml:space="preserve">. </w:t>
      </w:r>
      <w:r w:rsidR="004D04C3">
        <w:t xml:space="preserve">This finding is </w:t>
      </w:r>
      <w:r w:rsidR="00525F87">
        <w:t>the result</w:t>
      </w:r>
      <w:r w:rsidR="00EF5707">
        <w:t xml:space="preserve"> </w:t>
      </w:r>
      <w:r w:rsidR="004D04C3">
        <w:t>of the locatio</w:t>
      </w:r>
      <w:r w:rsidR="0015129D">
        <w:t>n of the heliports</w:t>
      </w:r>
      <w:r w:rsidR="00EF5707">
        <w:t>,</w:t>
      </w:r>
      <w:r w:rsidR="0015129D">
        <w:t xml:space="preserve"> </w:t>
      </w:r>
      <w:r w:rsidR="004D04C3">
        <w:t>in Perth, Glasgow and Inverness. W</w:t>
      </w:r>
      <w:r w:rsidR="0015129D">
        <w:t>e have previously analysed these</w:t>
      </w:r>
      <w:r w:rsidR="004D04C3">
        <w:t xml:space="preserve"> locations in relation to major trauma</w:t>
      </w:r>
      <w:r w:rsidR="005F325F" w:rsidDel="005F325F">
        <w:t xml:space="preserve"> </w:t>
      </w:r>
      <w:r w:rsidR="0015129D">
        <w:fldChar w:fldCharType="begin" w:fldLock="1"/>
      </w:r>
      <w:r w:rsidR="00DB6107">
        <w:instrText>ADDIN CSL_CITATION { "citationItems" : [ { "id" : "ITEM-1", "itemData" : { "DOI" : "10.1097/TA.0000000000001335", "ISSN" : "2163-0755", "author" : [ { "dropping-particle" : "", "family" : "Dodds", "given" : "Naomi", "non-dropping-particle" : "", "parse-names" : false, "suffix" : "" }, { "dropping-particle" : "", "family" : "Emerson", "given" : "Phillip", "non-dropping-particle" : "", "parse-names" : false, "suffix" : "" }, { "dropping-particle" : "", "family" : "Phillips", "given" : "Stephanie", "non-dropping-particle" : "", "parse-names" : false, "suffix" : "" }, { "dropping-particle" : "", "family" : "Green", "given" : "David R", "non-dropping-particle" : "", "parse-names" : false, "suffix" : "" }, { "dropping-particle" : "", "family" : "Jansen", "given" : "Jan O", "non-dropping-particle" : "", "parse-names" : false, "suffix" : "" } ], "container-title" : "Journal of Trauma and Acute Care Surgery", "id" : "ITEM-1", "issued" : { "date-parts" : [ [ "2016", "12" ] ] }, "page" : "1", "title" : "Analysis of aeromedical retrieval coverage using elliptical isochrones", "type" : "article-journal" }, "uris" : [ "http://www.mendeley.com/documents/?uuid=aaa1d526-c493-3a15-b5c0-3b98a3396217" ] } ], "mendeley" : { "formattedCitation" : "[12]", "plainTextFormattedCitation" : "[12]", "previouslyFormattedCitation" : "[12]" }, "properties" : { "noteIndex" : 0 }, "schema" : "https://github.com/citation-style-language/schema/raw/master/csl-citation.json" }</w:instrText>
      </w:r>
      <w:r w:rsidR="0015129D">
        <w:fldChar w:fldCharType="separate"/>
      </w:r>
      <w:r w:rsidR="00DD49A4" w:rsidRPr="00DD49A4">
        <w:rPr>
          <w:noProof/>
        </w:rPr>
        <w:t>[12]</w:t>
      </w:r>
      <w:r w:rsidR="0015129D">
        <w:fldChar w:fldCharType="end"/>
      </w:r>
      <w:r w:rsidR="00777E36">
        <w:t xml:space="preserve">. </w:t>
      </w:r>
    </w:p>
    <w:p w14:paraId="224A4C2F" w14:textId="3F314E15" w:rsidR="0018740B" w:rsidRDefault="00050D61" w:rsidP="00D31C30">
      <w:pPr>
        <w:jc w:val="both"/>
      </w:pPr>
      <w:r>
        <w:t>O</w:t>
      </w:r>
      <w:r w:rsidR="00CC6BB5">
        <w:t>ur</w:t>
      </w:r>
      <w:r w:rsidR="00EE068D">
        <w:t xml:space="preserve"> data </w:t>
      </w:r>
      <w:r w:rsidR="00936D55">
        <w:t xml:space="preserve">suggest that the current critical care </w:t>
      </w:r>
      <w:r w:rsidR="00CC6BB5">
        <w:t xml:space="preserve">network </w:t>
      </w:r>
      <w:r w:rsidR="00936D55">
        <w:t xml:space="preserve">infrastructure can serve the majority of the population who develop a critical illness in </w:t>
      </w:r>
      <w:r w:rsidR="00924088">
        <w:t xml:space="preserve">a </w:t>
      </w:r>
      <w:r w:rsidR="00936D55">
        <w:t xml:space="preserve">time sensitive fashion. </w:t>
      </w:r>
      <w:r w:rsidR="002A1FC5">
        <w:t>As might be expected, remote areas, and health boards serving these areas</w:t>
      </w:r>
      <w:r w:rsidR="008E7DD6">
        <w:t>,</w:t>
      </w:r>
      <w:r w:rsidR="002A1FC5">
        <w:t xml:space="preserve"> have poorer access to critical care services</w:t>
      </w:r>
      <w:r w:rsidR="00CC6BB5">
        <w:t>,</w:t>
      </w:r>
      <w:r w:rsidR="002A1FC5">
        <w:t xml:space="preserve"> with certain isolat</w:t>
      </w:r>
      <w:r w:rsidR="00777E36">
        <w:t>ed communities having</w:t>
      </w:r>
      <w:r w:rsidR="002A1FC5">
        <w:t xml:space="preserve"> poor access to level three critical care facilities</w:t>
      </w:r>
      <w:r w:rsidR="004D04C3">
        <w:t>, even via helicopter</w:t>
      </w:r>
      <w:r w:rsidR="002A1FC5">
        <w:t xml:space="preserve">. </w:t>
      </w:r>
      <w:r w:rsidR="00ED6AAC">
        <w:t>We have shown</w:t>
      </w:r>
      <w:r w:rsidR="00216781">
        <w:t xml:space="preserve"> that, of the mainland health boards, Grampian </w:t>
      </w:r>
      <w:r w:rsidR="00216781">
        <w:lastRenderedPageBreak/>
        <w:t>and Highland have relatively poor population access to criti</w:t>
      </w:r>
      <w:r w:rsidR="00CC6BB5">
        <w:t>cal care. Similarly, in terms of</w:t>
      </w:r>
      <w:r w:rsidR="00216781">
        <w:t xml:space="preserve"> rurality, very remote small towns and very remote rural areas have poor access to definitive critical care facilities, but reasona</w:t>
      </w:r>
      <w:r w:rsidR="00777E36">
        <w:t>ble access to intermediate care. R</w:t>
      </w:r>
      <w:r w:rsidR="00216781">
        <w:t>emote small towns, accessible rural areas, and remote rural areas have surprisingly good access, even to definitive critical care.</w:t>
      </w:r>
      <w:r w:rsidR="00106B4E">
        <w:t xml:space="preserve"> </w:t>
      </w:r>
      <w:r w:rsidR="00F41890">
        <w:t xml:space="preserve">The number of people </w:t>
      </w:r>
      <w:r w:rsidR="00EE068D">
        <w:t xml:space="preserve">who </w:t>
      </w:r>
      <w:r w:rsidR="00F41890">
        <w:t xml:space="preserve">live in </w:t>
      </w:r>
      <w:r w:rsidR="00CC6BB5">
        <w:t xml:space="preserve">remote </w:t>
      </w:r>
      <w:r w:rsidR="00F41890">
        <w:t xml:space="preserve">areas is </w:t>
      </w:r>
      <w:r w:rsidR="00EE068D">
        <w:t xml:space="preserve">relatively </w:t>
      </w:r>
      <w:r w:rsidR="00F41890">
        <w:t xml:space="preserve">small, but in a healthcare system </w:t>
      </w:r>
      <w:r w:rsidR="00CC6BB5">
        <w:t xml:space="preserve">which </w:t>
      </w:r>
      <w:r w:rsidR="00F41890">
        <w:t xml:space="preserve">aims to provide equity of access, </w:t>
      </w:r>
      <w:r w:rsidR="00216781">
        <w:t xml:space="preserve">consideration should be given to </w:t>
      </w:r>
      <w:r w:rsidR="00F41890">
        <w:t>address</w:t>
      </w:r>
      <w:r w:rsidR="00216781">
        <w:t>ing</w:t>
      </w:r>
      <w:r w:rsidR="00F41890">
        <w:t xml:space="preserve"> these inequities. This </w:t>
      </w:r>
      <w:r w:rsidR="000533E7">
        <w:t xml:space="preserve">would, most likely, </w:t>
      </w:r>
      <w:r w:rsidR="00F41890">
        <w:t xml:space="preserve">involve </w:t>
      </w:r>
      <w:r w:rsidR="000533E7">
        <w:t>the enhancement of local facilities, as well as the existing aeromedical ret</w:t>
      </w:r>
      <w:r w:rsidR="00CC6BB5">
        <w:t>rieval and transfer service, but requires further study</w:t>
      </w:r>
      <w:r w:rsidR="000533E7" w:rsidDel="000533E7">
        <w:t xml:space="preserve"> </w:t>
      </w:r>
      <w:r w:rsidR="00E12C4E">
        <w:fldChar w:fldCharType="begin" w:fldLock="1"/>
      </w:r>
      <w:r w:rsidR="00DD49A4">
        <w:instrText>ADDIN CSL_CITATION { "citationItems" : [ { "id" : "ITEM-1", "itemData" : { "author" : [ { "dropping-particle" : "", "family" : "Scottish Government", "given" : "The", "non-dropping-particle" : "", "parse-names" : false, "suffix" : "" } ], "id" : "ITEM-1", "issued" : { "date-parts" : [ [ "2011" ] ] }, "title" : "Towards a Single National Specialist Transport Service for Scotland \u2013 ScotSTAR Strategic Vision National Planning Forum -Specialist Transport Services Strategic Review", "type" : "article-journal" }, "uris" : [ "http://www.mendeley.com/documents/?uuid=c18cc438-4cd1-308c-8fe7-d0e02d7b248d" ] } ], "mendeley" : { "formattedCitation" : "[27]", "plainTextFormattedCitation" : "[27]", "previouslyFormattedCitation" : "[27]" }, "properties" : { "noteIndex" : 0 }, "schema" : "https://github.com/citation-style-language/schema/raw/master/csl-citation.json" }</w:instrText>
      </w:r>
      <w:r w:rsidR="00E12C4E">
        <w:fldChar w:fldCharType="separate"/>
      </w:r>
      <w:r w:rsidR="00DD49A4" w:rsidRPr="00DD49A4">
        <w:rPr>
          <w:noProof/>
        </w:rPr>
        <w:t>[27]</w:t>
      </w:r>
      <w:r w:rsidR="00E12C4E">
        <w:fldChar w:fldCharType="end"/>
      </w:r>
      <w:r w:rsidR="0015129D">
        <w:t>.</w:t>
      </w:r>
    </w:p>
    <w:p w14:paraId="48B0F677" w14:textId="3451AA6A" w:rsidR="00AF4D5E" w:rsidRDefault="004D04C3" w:rsidP="00D31C30">
      <w:pPr>
        <w:jc w:val="both"/>
      </w:pPr>
      <w:r>
        <w:t>This</w:t>
      </w:r>
      <w:r w:rsidR="006F22F4" w:rsidRPr="004D04C3">
        <w:t xml:space="preserve"> </w:t>
      </w:r>
      <w:r w:rsidR="00733B4C" w:rsidRPr="004D04C3">
        <w:t>analysis</w:t>
      </w:r>
      <w:r w:rsidR="009C40E7" w:rsidRPr="004D04C3">
        <w:t xml:space="preserve"> </w:t>
      </w:r>
      <w:r w:rsidR="00451B40">
        <w:t xml:space="preserve">has limitations. It is </w:t>
      </w:r>
      <w:r w:rsidR="00CC6BB5">
        <w:t xml:space="preserve">based exclusively on population distribution data, </w:t>
      </w:r>
      <w:r w:rsidR="009C40E7">
        <w:t>and the geographical distribution of patients who suffer critical illness may differ from that of the general population.</w:t>
      </w:r>
      <w:r>
        <w:t xml:space="preserve"> T</w:t>
      </w:r>
      <w:r w:rsidR="00CC6BB5">
        <w:t>h</w:t>
      </w:r>
      <w:r w:rsidR="00572850">
        <w:t>e</w:t>
      </w:r>
      <w:r w:rsidR="00CC6BB5">
        <w:t xml:space="preserve"> most frequent cause of critical illness outside of </w:t>
      </w:r>
      <w:r w:rsidR="00451B40">
        <w:t xml:space="preserve">the </w:t>
      </w:r>
      <w:r w:rsidR="00CC6BB5">
        <w:t xml:space="preserve">home is trauma, </w:t>
      </w:r>
      <w:r w:rsidR="00451B40">
        <w:t xml:space="preserve">but </w:t>
      </w:r>
      <w:r w:rsidR="00CC6BB5">
        <w:t>the organisation of trauma services differs from that of critical care</w:t>
      </w:r>
      <w:r w:rsidR="00451B40">
        <w:t>, and has been extensively analysed</w:t>
      </w:r>
      <w:r w:rsidR="00DB6107">
        <w:fldChar w:fldCharType="begin" w:fldLock="1"/>
      </w:r>
      <w:r w:rsidR="009A2C47">
        <w:instrText>ADDIN CSL_CITATION { "citationItems" : [ { "id" : "ITEM-1", "itemData" : { "DOI" : "10.1097/TA.0000000000000827", "ISSN" : "2163-0755", "author" : [ { "dropping-particle" : "", "family" : "Jansen", "given" : "Jan O.", "non-dropping-particle" : "", "parse-names" : false, "suffix" : "" }, { "dropping-particle" : "", "family" : "Morrison", "given" : "Jonathan J.", "non-dropping-particle" : "", "parse-names" : false, "suffix" : "" }, { "dropping-particle" : "", "family" : "Wang", "given" : "Handing", "non-dropping-particle" : "", "parse-names" : false, "suffix" : "" }, { "dropping-particle" : "", "family" : "He", "given" : "Shan", "non-dropping-particle" : "", "parse-names" : false, "suffix" : "" }, { "dropping-particle" : "", "family" : "Lawrenson", "given" : "Robin", "non-dropping-particle" : "", "parse-names" : false, "suffix" : "" }, { "dropping-particle" : "", "family" : "Hutchison", "given" : "James D.", "non-dropping-particle" : "", "parse-names" : false, "suffix" : "" }, { "dropping-particle" : "", "family" : "Campbell", "given" : "Marion K.", "non-dropping-particle" : "", "parse-names" : false, "suffix" : "" } ], "container-title" : "Journal of Trauma and Acute Care Surgery", "id" : "ITEM-1", "issue" : "5", "issued" : { "date-parts" : [ [ "2015", "11" ] ] }, "page" : "756-765", "title" : "Access to specialist care", "type" : "article-journal", "volume" : "79" }, "uris" : [ "http://www.mendeley.com/documents/?uuid=84f9f658-8976-3905-9918-161370599776" ] }, { "id" : "ITEM-2", "itemData" : { "DOI" : "10.1097/TA.0000000000001335", "ISSN" : "2163-0755", "author" : [ { "dropping-particle" : "", "family" : "Dodds", "given" : "Naomi", "non-dropping-particle" : "", "parse-names" : false, "suffix" : "" }, { "dropping-particle" : "", "family" : "Emerson", "given" : "Phillip", "non-dropping-particle" : "", "parse-names" : false, "suffix" : "" }, { "dropping-particle" : "", "family" : "Phillips", "given" : "Stephanie", "non-dropping-particle" : "", "parse-names" : false, "suffix" : "" }, { "dropping-particle" : "", "family" : "Green", "given" : "David R", "non-dropping-particle" : "", "parse-names" : false, "suffix" : "" }, { "dropping-particle" : "", "family" : "Jansen", "given" : "Jan O", "non-dropping-particle" : "", "parse-names" : false, "suffix" : "" } ], "container-title" : "Journal of Trauma and Acute Care Surgery", "id" : "ITEM-2", "issued" : { "date-parts" : [ [ "2016", "12" ] ] }, "page" : "1", "title" : "Analysis of aeromedical retrieval coverage using elliptical isochrones", "type" : "article-journal" }, "uris" : [ "http://www.mendeley.com/documents/?uuid=aaa1d526-c493-3a15-b5c0-3b98a3396217" ] } ], "mendeley" : { "formattedCitation" : "[11, 12]", "plainTextFormattedCitation" : "[11, 12]", "previouslyFormattedCitation" : "[11, 12]" }, "properties" : { "noteIndex" : 0 }, "schema" : "https://github.com/citation-style-language/schema/raw/master/csl-citation.json" }</w:instrText>
      </w:r>
      <w:r w:rsidR="00DB6107">
        <w:fldChar w:fldCharType="separate"/>
      </w:r>
      <w:r w:rsidR="00DB6107" w:rsidRPr="00DB6107">
        <w:rPr>
          <w:noProof/>
        </w:rPr>
        <w:t>[11, 12]</w:t>
      </w:r>
      <w:r w:rsidR="00DB6107">
        <w:fldChar w:fldCharType="end"/>
      </w:r>
      <w:r w:rsidR="00CC6BB5">
        <w:t>.</w:t>
      </w:r>
      <w:r w:rsidR="00FF281E">
        <w:t xml:space="preserve"> </w:t>
      </w:r>
      <w:r w:rsidR="00451B40">
        <w:t xml:space="preserve">The use of </w:t>
      </w:r>
      <w:r w:rsidR="00FF281E">
        <w:t xml:space="preserve">an </w:t>
      </w:r>
      <w:r w:rsidR="00451B40">
        <w:t>inbound-</w:t>
      </w:r>
      <w:r w:rsidR="00FF281E">
        <w:t xml:space="preserve">leg </w:t>
      </w:r>
      <w:r w:rsidR="00451B40">
        <w:t xml:space="preserve">access time threshold can be questioned – arguably, the </w:t>
      </w:r>
      <w:r w:rsidR="00FF281E">
        <w:t xml:space="preserve">total </w:t>
      </w:r>
      <w:r w:rsidR="00451B40">
        <w:t xml:space="preserve">time from </w:t>
      </w:r>
      <w:r w:rsidR="00FF281E">
        <w:t xml:space="preserve">notification of the ambulance service (regardless of whether by the patient, relatives, or a clinician) to arrival in hospital </w:t>
      </w:r>
      <w:r w:rsidR="00451B40">
        <w:t>may be more important. However, most analyses have focused on inbound time</w:t>
      </w:r>
      <w:r w:rsidR="00FF281E">
        <w:t xml:space="preserve"> only</w:t>
      </w:r>
      <w:r w:rsidR="00AF4D5E">
        <w:t xml:space="preserve">, at least in part </w:t>
      </w:r>
      <w:r w:rsidR="00FF281E">
        <w:t>because i</w:t>
      </w:r>
      <w:r w:rsidR="00435639">
        <w:t xml:space="preserve">t is </w:t>
      </w:r>
      <w:r w:rsidR="00572850">
        <w:t xml:space="preserve">difficult to accurately model the outward leg of </w:t>
      </w:r>
      <w:r w:rsidR="00FF281E">
        <w:t xml:space="preserve">a </w:t>
      </w:r>
      <w:r w:rsidR="00572850">
        <w:t>journey</w:t>
      </w:r>
      <w:r w:rsidR="00AF4D5E">
        <w:t xml:space="preserve"> –  a</w:t>
      </w:r>
      <w:r w:rsidR="00FF281E">
        <w:t>mbulances do not return to a “base location”</w:t>
      </w:r>
      <w:r w:rsidR="00AF4D5E">
        <w:t xml:space="preserve"> before attending the next call. In contrast, our model of helicopter tasking, does incorporate both outbound and inbound legs, which reflects current practice, because most critically ill patients are seen by a local provider first. However, there are a number of factors which we were not able to include in this model, including adverse weather conditions, night time flying, and the time taken to transfer the patient from landing to the emergency department at the destination hospital. At present, the Scottish Ambulance Service does not have night-flying capability, which means </w:t>
      </w:r>
      <w:r w:rsidR="002A56D7">
        <w:t xml:space="preserve">that the realised access </w:t>
      </w:r>
      <w:r w:rsidR="00AF4D5E">
        <w:t xml:space="preserve">is less than </w:t>
      </w:r>
      <w:r w:rsidR="002A56D7">
        <w:t>half of the theoretical access.</w:t>
      </w:r>
    </w:p>
    <w:p w14:paraId="634CBF3A" w14:textId="34272407" w:rsidR="00AF4D5E" w:rsidRDefault="002A56D7" w:rsidP="00D31C30">
      <w:pPr>
        <w:jc w:val="both"/>
      </w:pPr>
      <w:r>
        <w:lastRenderedPageBreak/>
        <w:t>However, t</w:t>
      </w:r>
      <w:r w:rsidR="00AF4D5E">
        <w:t>his study also has several strengths. The most important are the population-based design, which provides a comprehensive picture of geographical accessibility, and the use of elliptical isochrones to monitor helicopter coverage. The use of smaller geographical units, such as health board regions, and the urban/rural classification, adds detail and granularity, and permits the identification of settings with poorer access. Furthermore, the analyses described here are technically straightforward, and can be conducted using freely and readily available data, making the techniques easily reproducible.</w:t>
      </w:r>
    </w:p>
    <w:p w14:paraId="7CF70537" w14:textId="77777777" w:rsidR="002A56D7" w:rsidRDefault="002A56D7" w:rsidP="00D31C30">
      <w:pPr>
        <w:spacing w:after="0" w:line="240" w:lineRule="auto"/>
        <w:jc w:val="both"/>
        <w:rPr>
          <w:rFonts w:eastAsia="Times New Roman"/>
          <w:b/>
          <w:bCs/>
          <w:caps/>
          <w:sz w:val="24"/>
          <w:szCs w:val="20"/>
          <w:lang w:val="x-none" w:eastAsia="x-none"/>
        </w:rPr>
      </w:pPr>
      <w:r>
        <w:br w:type="page"/>
      </w:r>
    </w:p>
    <w:p w14:paraId="6512692A" w14:textId="77777777" w:rsidR="00261C4A" w:rsidRPr="00435639" w:rsidRDefault="004945F6" w:rsidP="00D31C30">
      <w:pPr>
        <w:pStyle w:val="Heading1"/>
        <w:jc w:val="both"/>
      </w:pPr>
      <w:r w:rsidRPr="00435639">
        <w:lastRenderedPageBreak/>
        <w:t xml:space="preserve">Conclusion </w:t>
      </w:r>
    </w:p>
    <w:p w14:paraId="0E59544A" w14:textId="77777777" w:rsidR="000A4561" w:rsidRPr="00435639" w:rsidRDefault="00E334E5" w:rsidP="00D31C30">
      <w:pPr>
        <w:jc w:val="both"/>
      </w:pPr>
      <w:r>
        <w:t xml:space="preserve">This study demonstrates the feasibility of profiling the accessibility of services, using geographically referenced population distribution data. </w:t>
      </w:r>
      <w:r w:rsidR="009C40E7">
        <w:t>Overall, t</w:t>
      </w:r>
      <w:r w:rsidR="002A1FC5">
        <w:t>here is good popula</w:t>
      </w:r>
      <w:r w:rsidR="00F549CF">
        <w:t xml:space="preserve">tion </w:t>
      </w:r>
      <w:r w:rsidR="009C40E7">
        <w:t>access to critical care services in Scotland</w:t>
      </w:r>
      <w:r w:rsidR="00F549CF">
        <w:t>, but there remain</w:t>
      </w:r>
      <w:r w:rsidR="002A1FC5">
        <w:t xml:space="preserve"> disparities</w:t>
      </w:r>
      <w:r w:rsidR="009C40E7">
        <w:t>, in identifiable areas.</w:t>
      </w:r>
      <w:r>
        <w:t xml:space="preserve"> The impact of these disparities on utilisation rates and clinical outcomes requires further study.</w:t>
      </w:r>
    </w:p>
    <w:p w14:paraId="4D2837E9" w14:textId="77777777" w:rsidR="002A56D7" w:rsidRDefault="002A56D7" w:rsidP="00D31C30">
      <w:pPr>
        <w:spacing w:after="0" w:line="240" w:lineRule="auto"/>
        <w:jc w:val="both"/>
        <w:rPr>
          <w:rFonts w:eastAsia="Times New Roman"/>
          <w:b/>
          <w:bCs/>
          <w:caps/>
          <w:sz w:val="24"/>
          <w:szCs w:val="20"/>
          <w:lang w:val="x-none" w:eastAsia="x-none"/>
        </w:rPr>
      </w:pPr>
      <w:r>
        <w:br w:type="page"/>
      </w:r>
    </w:p>
    <w:p w14:paraId="1403612B" w14:textId="2B8FF7F5" w:rsidR="00085B5E" w:rsidRDefault="00085B5E" w:rsidP="00D31C30">
      <w:pPr>
        <w:pStyle w:val="Heading1"/>
        <w:jc w:val="both"/>
      </w:pPr>
      <w:r>
        <w:lastRenderedPageBreak/>
        <w:t>List of abbreviations</w:t>
      </w:r>
    </w:p>
    <w:p w14:paraId="60B370A2" w14:textId="77777777" w:rsidR="00085B5E" w:rsidRPr="00406232" w:rsidRDefault="00085B5E" w:rsidP="00D31C30">
      <w:pPr>
        <w:jc w:val="both"/>
      </w:pPr>
      <w:r w:rsidRPr="00406232">
        <w:rPr>
          <w:b/>
        </w:rPr>
        <w:t>GIS</w:t>
      </w:r>
      <w:r w:rsidRPr="00085B5E">
        <w:t xml:space="preserve"> – Geographic Information System; </w:t>
      </w:r>
      <w:r w:rsidRPr="00406232">
        <w:rPr>
          <w:b/>
        </w:rPr>
        <w:t>ICU</w:t>
      </w:r>
      <w:r w:rsidRPr="00085B5E">
        <w:t xml:space="preserve"> – Intensive Care Unit; </w:t>
      </w:r>
      <w:r w:rsidRPr="00406232">
        <w:rPr>
          <w:b/>
        </w:rPr>
        <w:t>SICSAG</w:t>
      </w:r>
      <w:r w:rsidRPr="00085B5E">
        <w:t xml:space="preserve"> – Scottish Intensive Care Society Audit Group.</w:t>
      </w:r>
    </w:p>
    <w:p w14:paraId="5EF4D1AA" w14:textId="77777777" w:rsidR="000A4561" w:rsidRDefault="000A4561" w:rsidP="00D31C30">
      <w:pPr>
        <w:jc w:val="both"/>
        <w:rPr>
          <w:b/>
        </w:rPr>
      </w:pPr>
    </w:p>
    <w:p w14:paraId="711C464A" w14:textId="77777777" w:rsidR="000A4561" w:rsidRDefault="000A4561" w:rsidP="00D31C30">
      <w:pPr>
        <w:jc w:val="both"/>
        <w:rPr>
          <w:b/>
        </w:rPr>
      </w:pPr>
    </w:p>
    <w:p w14:paraId="64C1756C" w14:textId="77777777" w:rsidR="000A4561" w:rsidRDefault="000A4561" w:rsidP="00D31C30">
      <w:pPr>
        <w:jc w:val="both"/>
        <w:rPr>
          <w:b/>
        </w:rPr>
      </w:pPr>
    </w:p>
    <w:p w14:paraId="6CC2A9D7" w14:textId="77777777" w:rsidR="000A4561" w:rsidRDefault="000A4561" w:rsidP="00D31C30">
      <w:pPr>
        <w:jc w:val="both"/>
        <w:rPr>
          <w:b/>
        </w:rPr>
      </w:pPr>
    </w:p>
    <w:p w14:paraId="02FA95BE" w14:textId="77777777" w:rsidR="000A4561" w:rsidRDefault="000A4561" w:rsidP="00D31C30">
      <w:pPr>
        <w:jc w:val="both"/>
        <w:rPr>
          <w:b/>
        </w:rPr>
      </w:pPr>
    </w:p>
    <w:p w14:paraId="624F5E95" w14:textId="77777777" w:rsidR="000A4561" w:rsidRDefault="000A4561" w:rsidP="00D31C30">
      <w:pPr>
        <w:jc w:val="both"/>
        <w:rPr>
          <w:b/>
        </w:rPr>
      </w:pPr>
    </w:p>
    <w:p w14:paraId="19EC5BB1" w14:textId="77777777" w:rsidR="000A4561" w:rsidRDefault="000A4561" w:rsidP="00D31C30">
      <w:pPr>
        <w:jc w:val="both"/>
        <w:rPr>
          <w:b/>
        </w:rPr>
      </w:pPr>
    </w:p>
    <w:p w14:paraId="1B864C73" w14:textId="77777777" w:rsidR="000A4561" w:rsidRDefault="000A4561" w:rsidP="00D31C30">
      <w:pPr>
        <w:jc w:val="both"/>
        <w:rPr>
          <w:b/>
        </w:rPr>
      </w:pPr>
    </w:p>
    <w:p w14:paraId="0A2FA5A2" w14:textId="77777777" w:rsidR="000A4561" w:rsidRDefault="000A4561" w:rsidP="00D31C30">
      <w:pPr>
        <w:jc w:val="both"/>
        <w:rPr>
          <w:b/>
        </w:rPr>
      </w:pPr>
    </w:p>
    <w:p w14:paraId="60F1E0C3" w14:textId="77777777" w:rsidR="000A4561" w:rsidRDefault="000A4561" w:rsidP="00D31C30">
      <w:pPr>
        <w:jc w:val="both"/>
        <w:rPr>
          <w:b/>
        </w:rPr>
      </w:pPr>
    </w:p>
    <w:p w14:paraId="3A48796C" w14:textId="77777777" w:rsidR="00435639" w:rsidRDefault="00435639" w:rsidP="00D31C30">
      <w:pPr>
        <w:jc w:val="both"/>
        <w:rPr>
          <w:b/>
        </w:rPr>
      </w:pPr>
    </w:p>
    <w:p w14:paraId="0967033F" w14:textId="77777777" w:rsidR="00435639" w:rsidRDefault="00435639" w:rsidP="00D31C30">
      <w:pPr>
        <w:jc w:val="both"/>
        <w:rPr>
          <w:b/>
        </w:rPr>
      </w:pPr>
    </w:p>
    <w:p w14:paraId="4FF447A6" w14:textId="77777777" w:rsidR="00435639" w:rsidRDefault="00435639" w:rsidP="00D31C30">
      <w:pPr>
        <w:jc w:val="both"/>
        <w:rPr>
          <w:b/>
        </w:rPr>
      </w:pPr>
    </w:p>
    <w:p w14:paraId="696D9B3F" w14:textId="77777777" w:rsidR="00435639" w:rsidRDefault="00435639" w:rsidP="00D31C30">
      <w:pPr>
        <w:jc w:val="both"/>
        <w:rPr>
          <w:b/>
        </w:rPr>
      </w:pPr>
    </w:p>
    <w:p w14:paraId="2CE9A7F7" w14:textId="77777777" w:rsidR="00435639" w:rsidRDefault="00435639" w:rsidP="00D31C30">
      <w:pPr>
        <w:jc w:val="both"/>
        <w:rPr>
          <w:b/>
        </w:rPr>
      </w:pPr>
    </w:p>
    <w:p w14:paraId="1ADD6DAC" w14:textId="77777777" w:rsidR="00435639" w:rsidRDefault="00435639" w:rsidP="00D31C30">
      <w:pPr>
        <w:jc w:val="both"/>
        <w:rPr>
          <w:b/>
        </w:rPr>
      </w:pPr>
    </w:p>
    <w:p w14:paraId="3BC52924" w14:textId="77777777" w:rsidR="00C049C7" w:rsidRPr="00CE083A" w:rsidRDefault="00C049C7" w:rsidP="00D31C30">
      <w:pPr>
        <w:spacing w:line="259" w:lineRule="auto"/>
        <w:jc w:val="both"/>
        <w:rPr>
          <w:rFonts w:eastAsia="Times New Roman"/>
          <w:b/>
          <w:bCs/>
          <w:caps/>
        </w:rPr>
      </w:pPr>
    </w:p>
    <w:p w14:paraId="63748A8D" w14:textId="77777777" w:rsidR="002A56D7" w:rsidRDefault="002A56D7" w:rsidP="00D31C30">
      <w:pPr>
        <w:spacing w:after="0" w:line="240" w:lineRule="auto"/>
        <w:jc w:val="both"/>
        <w:rPr>
          <w:rFonts w:eastAsia="Times New Roman"/>
          <w:b/>
          <w:bCs/>
          <w:caps/>
          <w:sz w:val="24"/>
          <w:szCs w:val="20"/>
          <w:lang w:val="x-none" w:eastAsia="x-none"/>
        </w:rPr>
      </w:pPr>
      <w:r>
        <w:br w:type="page"/>
      </w:r>
    </w:p>
    <w:p w14:paraId="15C812C3" w14:textId="1AF5D18B" w:rsidR="0018740B" w:rsidRDefault="00C049C7" w:rsidP="00D31C30">
      <w:pPr>
        <w:pStyle w:val="Heading1"/>
        <w:jc w:val="both"/>
      </w:pPr>
      <w:r>
        <w:lastRenderedPageBreak/>
        <w:t>References</w:t>
      </w:r>
    </w:p>
    <w:p w14:paraId="674DE88A" w14:textId="08F456DA" w:rsidR="009A2C47" w:rsidRPr="009A2C47" w:rsidRDefault="00B16ECB" w:rsidP="00D31C30">
      <w:pPr>
        <w:widowControl w:val="0"/>
        <w:autoSpaceDE w:val="0"/>
        <w:autoSpaceDN w:val="0"/>
        <w:adjustRightInd w:val="0"/>
        <w:jc w:val="both"/>
        <w:rPr>
          <w:rFonts w:cs="Arial"/>
          <w:noProof/>
          <w:szCs w:val="24"/>
        </w:rPr>
      </w:pPr>
      <w:r>
        <w:fldChar w:fldCharType="begin" w:fldLock="1"/>
      </w:r>
      <w:r>
        <w:instrText xml:space="preserve">ADDIN Mendeley Bibliography CSL_BIBLIOGRAPHY </w:instrText>
      </w:r>
      <w:r>
        <w:fldChar w:fldCharType="separate"/>
      </w:r>
      <w:r w:rsidR="009A2C47" w:rsidRPr="009A2C47">
        <w:rPr>
          <w:rFonts w:cs="Arial"/>
          <w:noProof/>
          <w:szCs w:val="24"/>
        </w:rPr>
        <w:t>1. Hung S-C, Kung C-T, Hung C-W, Liu B-M, Liu J-W, Chew G, et al. Determining delayed admission to intensive care unit for mechanically ventilated patients in the emergency department. Crit Care. 2014;18:485. doi:10.1186/s13054-014-0485-1.</w:t>
      </w:r>
    </w:p>
    <w:p w14:paraId="32DEE567" w14:textId="77777777" w:rsidR="009A2C47" w:rsidRPr="009A2C47" w:rsidRDefault="009A2C47" w:rsidP="00D31C30">
      <w:pPr>
        <w:widowControl w:val="0"/>
        <w:autoSpaceDE w:val="0"/>
        <w:autoSpaceDN w:val="0"/>
        <w:adjustRightInd w:val="0"/>
        <w:jc w:val="both"/>
        <w:rPr>
          <w:rFonts w:cs="Arial"/>
          <w:noProof/>
          <w:szCs w:val="24"/>
        </w:rPr>
      </w:pPr>
      <w:r w:rsidRPr="009A2C47">
        <w:rPr>
          <w:rFonts w:cs="Arial"/>
          <w:noProof/>
          <w:szCs w:val="24"/>
        </w:rPr>
        <w:t>2. Cardoso LTQ, Grion CMC, Matsuo T, Anami EHT, Kauss IAM, Seko L, et al. Impact of delayed admission to intensive care units on mortality of critically ill patients: a cohort study. Crit Care. 2011;15:R28. doi:10.1186/cc9975.</w:t>
      </w:r>
    </w:p>
    <w:p w14:paraId="2C137025" w14:textId="77777777" w:rsidR="009A2C47" w:rsidRPr="009A2C47" w:rsidRDefault="009A2C47" w:rsidP="00D31C30">
      <w:pPr>
        <w:widowControl w:val="0"/>
        <w:autoSpaceDE w:val="0"/>
        <w:autoSpaceDN w:val="0"/>
        <w:adjustRightInd w:val="0"/>
        <w:jc w:val="both"/>
        <w:rPr>
          <w:rFonts w:cs="Arial"/>
          <w:noProof/>
          <w:szCs w:val="24"/>
        </w:rPr>
      </w:pPr>
      <w:r w:rsidRPr="009A2C47">
        <w:rPr>
          <w:rFonts w:cs="Arial"/>
          <w:noProof/>
          <w:szCs w:val="24"/>
        </w:rPr>
        <w:t>3. Chalfin DB, Trzeciak S, Likourezos A, Baumann BM, Dellinger RP. Impact of delayed transfer of critically ill patients from the emergency department to the intensive care unit. Crit Care Med. 2007;35:1477–83. doi:10.1097/01.CCM.0000266585.74905.5A.</w:t>
      </w:r>
    </w:p>
    <w:p w14:paraId="00C1F91D" w14:textId="77777777" w:rsidR="009A2C47" w:rsidRPr="009A2C47" w:rsidRDefault="009A2C47" w:rsidP="00D31C30">
      <w:pPr>
        <w:widowControl w:val="0"/>
        <w:autoSpaceDE w:val="0"/>
        <w:autoSpaceDN w:val="0"/>
        <w:adjustRightInd w:val="0"/>
        <w:jc w:val="both"/>
        <w:rPr>
          <w:rFonts w:cs="Arial"/>
          <w:noProof/>
          <w:szCs w:val="24"/>
        </w:rPr>
      </w:pPr>
      <w:r w:rsidRPr="009A2C47">
        <w:rPr>
          <w:rFonts w:cs="Arial"/>
          <w:noProof/>
          <w:szCs w:val="24"/>
        </w:rPr>
        <w:t>4. Oliver A, Mossialos E. Equity of access to health care: outlining the foundations for action. J Epidemiol Community Health. 2004;58:655–8. doi:10.1136/jech.2003.017731.</w:t>
      </w:r>
    </w:p>
    <w:p w14:paraId="2C7E6D75" w14:textId="77777777" w:rsidR="009A2C47" w:rsidRPr="009A2C47" w:rsidRDefault="009A2C47" w:rsidP="00D31C30">
      <w:pPr>
        <w:widowControl w:val="0"/>
        <w:autoSpaceDE w:val="0"/>
        <w:autoSpaceDN w:val="0"/>
        <w:adjustRightInd w:val="0"/>
        <w:jc w:val="both"/>
        <w:rPr>
          <w:rFonts w:cs="Arial"/>
          <w:noProof/>
          <w:szCs w:val="24"/>
        </w:rPr>
      </w:pPr>
      <w:r w:rsidRPr="009A2C47">
        <w:rPr>
          <w:rFonts w:cs="Arial"/>
          <w:noProof/>
          <w:szCs w:val="24"/>
        </w:rPr>
        <w:t>5. Wallace DJ, Angus DC, Seymour CW, Yealy DM, Carr BG, Kurland K, et al. Geographic Access to High Capability Severe Acute Respiratory Failure Centers in the United States. PLoS One. 2014;9:e94057. doi:10.1371/journal.pone.0094057.</w:t>
      </w:r>
    </w:p>
    <w:p w14:paraId="0939E385" w14:textId="77777777" w:rsidR="009A2C47" w:rsidRPr="009A2C47" w:rsidRDefault="009A2C47" w:rsidP="00D31C30">
      <w:pPr>
        <w:widowControl w:val="0"/>
        <w:autoSpaceDE w:val="0"/>
        <w:autoSpaceDN w:val="0"/>
        <w:adjustRightInd w:val="0"/>
        <w:jc w:val="both"/>
        <w:rPr>
          <w:rFonts w:cs="Arial"/>
          <w:noProof/>
          <w:szCs w:val="24"/>
        </w:rPr>
      </w:pPr>
      <w:r w:rsidRPr="009A2C47">
        <w:rPr>
          <w:rFonts w:cs="Arial"/>
          <w:noProof/>
          <w:szCs w:val="24"/>
        </w:rPr>
        <w:t>6. Klein MB, Kramer CB, Nelson J, Rivara FP, Gibran NS, Concannon T. Geographic access to burn center hospitals. JAMA. 2009;302:1774–81. doi:10.1001/jama.2009.1548.</w:t>
      </w:r>
    </w:p>
    <w:p w14:paraId="0CDA2545" w14:textId="77777777" w:rsidR="009A2C47" w:rsidRPr="009A2C47" w:rsidRDefault="009A2C47" w:rsidP="00D31C30">
      <w:pPr>
        <w:widowControl w:val="0"/>
        <w:autoSpaceDE w:val="0"/>
        <w:autoSpaceDN w:val="0"/>
        <w:adjustRightInd w:val="0"/>
        <w:jc w:val="both"/>
        <w:rPr>
          <w:rFonts w:cs="Arial"/>
          <w:noProof/>
          <w:szCs w:val="24"/>
        </w:rPr>
      </w:pPr>
      <w:r w:rsidRPr="009A2C47">
        <w:rPr>
          <w:rFonts w:cs="Arial"/>
          <w:noProof/>
          <w:szCs w:val="24"/>
        </w:rPr>
        <w:t>7. Branas CC, MacKenzie EJ, Williams JC, Schwab CW, Teter HM, Flanigan MC, et al. Access to Trauma Centers in the United States. JAMA. 2005;293:2626. doi:10.1001/jama.293.21.2626.</w:t>
      </w:r>
    </w:p>
    <w:p w14:paraId="27D48FE3" w14:textId="77777777" w:rsidR="009A2C47" w:rsidRPr="009A2C47" w:rsidRDefault="009A2C47" w:rsidP="00D31C30">
      <w:pPr>
        <w:widowControl w:val="0"/>
        <w:autoSpaceDE w:val="0"/>
        <w:autoSpaceDN w:val="0"/>
        <w:adjustRightInd w:val="0"/>
        <w:jc w:val="both"/>
        <w:rPr>
          <w:rFonts w:cs="Arial"/>
          <w:noProof/>
          <w:szCs w:val="24"/>
        </w:rPr>
      </w:pPr>
      <w:r w:rsidRPr="009A2C47">
        <w:rPr>
          <w:rFonts w:cs="Arial"/>
          <w:noProof/>
          <w:szCs w:val="24"/>
        </w:rPr>
        <w:t>8. Nance ML, Carr BG, Branas CC. Access to pediatric trauma care in the United States. Arch Pediatr Adolesc Med. 2009;163:512–8. doi:10.1001/archpediatrics.2009.65.</w:t>
      </w:r>
    </w:p>
    <w:p w14:paraId="20A0C20F" w14:textId="77777777" w:rsidR="009A2C47" w:rsidRPr="009A2C47" w:rsidRDefault="009A2C47" w:rsidP="00D31C30">
      <w:pPr>
        <w:widowControl w:val="0"/>
        <w:autoSpaceDE w:val="0"/>
        <w:autoSpaceDN w:val="0"/>
        <w:adjustRightInd w:val="0"/>
        <w:jc w:val="both"/>
        <w:rPr>
          <w:rFonts w:cs="Arial"/>
          <w:noProof/>
          <w:szCs w:val="24"/>
        </w:rPr>
      </w:pPr>
      <w:r w:rsidRPr="009A2C47">
        <w:rPr>
          <w:rFonts w:cs="Arial"/>
          <w:noProof/>
          <w:szCs w:val="24"/>
        </w:rPr>
        <w:t>9. Hameed SM, Schuurman N, Razek T, Boone D, Van Heest R, Taulu T, et al. Access to Trauma Systems in Canada. J Trauma Inj Infect Crit Care. 2010;69:1350–61. doi:10.1097/TA.0b013e3181e751f7.</w:t>
      </w:r>
    </w:p>
    <w:p w14:paraId="52417953" w14:textId="77777777" w:rsidR="009A2C47" w:rsidRPr="009A2C47" w:rsidRDefault="009A2C47" w:rsidP="00D31C30">
      <w:pPr>
        <w:widowControl w:val="0"/>
        <w:autoSpaceDE w:val="0"/>
        <w:autoSpaceDN w:val="0"/>
        <w:adjustRightInd w:val="0"/>
        <w:jc w:val="both"/>
        <w:rPr>
          <w:rFonts w:cs="Arial"/>
          <w:noProof/>
          <w:szCs w:val="24"/>
        </w:rPr>
      </w:pPr>
      <w:r w:rsidRPr="009A2C47">
        <w:rPr>
          <w:rFonts w:cs="Arial"/>
          <w:noProof/>
          <w:szCs w:val="24"/>
        </w:rPr>
        <w:t xml:space="preserve">10. Ward MJ, Shutter LA, Branas CC, Adeoye O, Albright KC, Carr BG. Geographic access </w:t>
      </w:r>
      <w:r w:rsidRPr="009A2C47">
        <w:rPr>
          <w:rFonts w:cs="Arial"/>
          <w:noProof/>
          <w:szCs w:val="24"/>
        </w:rPr>
        <w:lastRenderedPageBreak/>
        <w:t>to US Neurocritical Care Units registered with the Neurocritical Care Society. Neurocrit Care. 2012;16:232–40. doi:10.1007/s12028-011-9644-2.</w:t>
      </w:r>
    </w:p>
    <w:p w14:paraId="34D84C5E" w14:textId="77777777" w:rsidR="009A2C47" w:rsidRPr="009A2C47" w:rsidRDefault="009A2C47" w:rsidP="00D31C30">
      <w:pPr>
        <w:widowControl w:val="0"/>
        <w:autoSpaceDE w:val="0"/>
        <w:autoSpaceDN w:val="0"/>
        <w:adjustRightInd w:val="0"/>
        <w:jc w:val="both"/>
        <w:rPr>
          <w:rFonts w:cs="Arial"/>
          <w:noProof/>
          <w:szCs w:val="24"/>
        </w:rPr>
      </w:pPr>
      <w:r w:rsidRPr="009A2C47">
        <w:rPr>
          <w:rFonts w:cs="Arial"/>
          <w:noProof/>
          <w:szCs w:val="24"/>
        </w:rPr>
        <w:t>11. Jansen JO, Morrison JJ, Wang H, He S, Lawrenson R, Hutchison JD, et al. Access to specialist care. J Trauma Acute Care Surg. 2015;79:756–65. doi:10.1097/TA.0000000000000827.</w:t>
      </w:r>
    </w:p>
    <w:p w14:paraId="68F680D2" w14:textId="77777777" w:rsidR="009A2C47" w:rsidRPr="009A2C47" w:rsidRDefault="009A2C47" w:rsidP="00D31C30">
      <w:pPr>
        <w:widowControl w:val="0"/>
        <w:autoSpaceDE w:val="0"/>
        <w:autoSpaceDN w:val="0"/>
        <w:adjustRightInd w:val="0"/>
        <w:jc w:val="both"/>
        <w:rPr>
          <w:rFonts w:cs="Arial"/>
          <w:noProof/>
          <w:szCs w:val="24"/>
        </w:rPr>
      </w:pPr>
      <w:r w:rsidRPr="009A2C47">
        <w:rPr>
          <w:rFonts w:cs="Arial"/>
          <w:noProof/>
          <w:szCs w:val="24"/>
        </w:rPr>
        <w:t>12. Dodds N, Emerson P, Phillips S, Green DR, Jansen JO. Analysis of aeromedical retrieval coverage using elliptical isochrones. J Trauma Acute Care Surg. 2016;:1. doi:10.1097/TA.0000000000001335.</w:t>
      </w:r>
    </w:p>
    <w:p w14:paraId="53B8EDDA" w14:textId="77777777" w:rsidR="009A2C47" w:rsidRPr="009A2C47" w:rsidRDefault="009A2C47" w:rsidP="00D31C30">
      <w:pPr>
        <w:widowControl w:val="0"/>
        <w:autoSpaceDE w:val="0"/>
        <w:autoSpaceDN w:val="0"/>
        <w:adjustRightInd w:val="0"/>
        <w:jc w:val="both"/>
        <w:rPr>
          <w:rFonts w:cs="Arial"/>
          <w:noProof/>
          <w:szCs w:val="24"/>
        </w:rPr>
      </w:pPr>
      <w:r w:rsidRPr="009A2C47">
        <w:rPr>
          <w:rFonts w:cs="Arial"/>
          <w:noProof/>
          <w:szCs w:val="24"/>
        </w:rPr>
        <w:t>13. Scottish Government. A National Clinical Strategy for Scotland. 2016. http://www.gov.scot/Resource/0049/00494144.pdf. Accessed 10 May 2016.</w:t>
      </w:r>
    </w:p>
    <w:p w14:paraId="78899DCE" w14:textId="77777777" w:rsidR="009A2C47" w:rsidRPr="009A2C47" w:rsidRDefault="009A2C47" w:rsidP="00D31C30">
      <w:pPr>
        <w:widowControl w:val="0"/>
        <w:autoSpaceDE w:val="0"/>
        <w:autoSpaceDN w:val="0"/>
        <w:adjustRightInd w:val="0"/>
        <w:jc w:val="both"/>
        <w:rPr>
          <w:rFonts w:cs="Arial"/>
          <w:noProof/>
          <w:szCs w:val="24"/>
        </w:rPr>
      </w:pPr>
      <w:r w:rsidRPr="009A2C47">
        <w:rPr>
          <w:rFonts w:cs="Arial"/>
          <w:noProof/>
          <w:szCs w:val="24"/>
        </w:rPr>
        <w:t>14. Team NR of SW. National Records of Scotland. http://www.nrscotland.gov.uk/statistics-and-data. Accessed 10 May 2016.</w:t>
      </w:r>
    </w:p>
    <w:p w14:paraId="5277F154" w14:textId="77777777" w:rsidR="009A2C47" w:rsidRPr="009A2C47" w:rsidRDefault="009A2C47" w:rsidP="00D31C30">
      <w:pPr>
        <w:widowControl w:val="0"/>
        <w:autoSpaceDE w:val="0"/>
        <w:autoSpaceDN w:val="0"/>
        <w:adjustRightInd w:val="0"/>
        <w:jc w:val="both"/>
        <w:rPr>
          <w:rFonts w:cs="Arial"/>
          <w:noProof/>
          <w:szCs w:val="24"/>
        </w:rPr>
      </w:pPr>
      <w:r w:rsidRPr="009A2C47">
        <w:rPr>
          <w:rFonts w:cs="Arial"/>
          <w:noProof/>
          <w:szCs w:val="24"/>
        </w:rPr>
        <w:t>15. 2011 Census: First Results on Population and Household Estimates for Scotland -Release 1C (Part Two). 2013.</w:t>
      </w:r>
    </w:p>
    <w:p w14:paraId="5E720957" w14:textId="77777777" w:rsidR="009A2C47" w:rsidRPr="009A2C47" w:rsidRDefault="009A2C47" w:rsidP="00D31C30">
      <w:pPr>
        <w:widowControl w:val="0"/>
        <w:autoSpaceDE w:val="0"/>
        <w:autoSpaceDN w:val="0"/>
        <w:adjustRightInd w:val="0"/>
        <w:jc w:val="both"/>
        <w:rPr>
          <w:rFonts w:cs="Arial"/>
          <w:noProof/>
          <w:szCs w:val="24"/>
        </w:rPr>
      </w:pPr>
      <w:r w:rsidRPr="009A2C47">
        <w:rPr>
          <w:rFonts w:cs="Arial"/>
          <w:noProof/>
          <w:szCs w:val="24"/>
        </w:rPr>
        <w:t>16. Scottish Government R and ES and ASD. Scottish Government Urban/Rural Classification 2013 - 2014. 2014. www.gov.scot/Resource/0046/00464780.pdf. Accessed 18 Oct 2016.</w:t>
      </w:r>
    </w:p>
    <w:p w14:paraId="57DD490A" w14:textId="77777777" w:rsidR="009A2C47" w:rsidRPr="009A2C47" w:rsidRDefault="009A2C47" w:rsidP="00D31C30">
      <w:pPr>
        <w:widowControl w:val="0"/>
        <w:autoSpaceDE w:val="0"/>
        <w:autoSpaceDN w:val="0"/>
        <w:adjustRightInd w:val="0"/>
        <w:jc w:val="both"/>
        <w:rPr>
          <w:rFonts w:cs="Arial"/>
          <w:noProof/>
          <w:szCs w:val="24"/>
        </w:rPr>
      </w:pPr>
      <w:r w:rsidRPr="009A2C47">
        <w:rPr>
          <w:rFonts w:cs="Arial"/>
          <w:noProof/>
          <w:szCs w:val="24"/>
        </w:rPr>
        <w:t>17. Scottish Intensive Care Society Audit Group. http://www.sicsag.scot.nhs.uk/.</w:t>
      </w:r>
    </w:p>
    <w:p w14:paraId="5F47D6D4" w14:textId="77777777" w:rsidR="009A2C47" w:rsidRPr="009A2C47" w:rsidRDefault="009A2C47" w:rsidP="00D31C30">
      <w:pPr>
        <w:widowControl w:val="0"/>
        <w:autoSpaceDE w:val="0"/>
        <w:autoSpaceDN w:val="0"/>
        <w:adjustRightInd w:val="0"/>
        <w:jc w:val="both"/>
        <w:rPr>
          <w:rFonts w:cs="Arial"/>
          <w:noProof/>
          <w:szCs w:val="24"/>
        </w:rPr>
      </w:pPr>
      <w:r w:rsidRPr="009A2C47">
        <w:rPr>
          <w:rFonts w:cs="Arial"/>
          <w:noProof/>
          <w:szCs w:val="24"/>
        </w:rPr>
        <w:t>18. The Intensive Care Society: Levels of critical care for adult patients: Standards and Guidelines. 2015. http://www.ics.ac.uk/professional/standards_safety_quality/standards_and_guidelines/levels_of_critical_care_for_adult_patients.</w:t>
      </w:r>
    </w:p>
    <w:p w14:paraId="620966D1" w14:textId="77777777" w:rsidR="009A2C47" w:rsidRPr="009A2C47" w:rsidRDefault="009A2C47" w:rsidP="00D31C30">
      <w:pPr>
        <w:widowControl w:val="0"/>
        <w:autoSpaceDE w:val="0"/>
        <w:autoSpaceDN w:val="0"/>
        <w:adjustRightInd w:val="0"/>
        <w:jc w:val="both"/>
        <w:rPr>
          <w:rFonts w:cs="Arial"/>
          <w:noProof/>
          <w:szCs w:val="24"/>
        </w:rPr>
      </w:pPr>
      <w:r w:rsidRPr="009A2C47">
        <w:rPr>
          <w:rFonts w:cs="Arial"/>
          <w:noProof/>
          <w:szCs w:val="24"/>
        </w:rPr>
        <w:t>19. Scotland A. Accident and Emergency: Briefing paper to the Public Audit Committee. 2015.</w:t>
      </w:r>
    </w:p>
    <w:p w14:paraId="1DBA5E08" w14:textId="77777777" w:rsidR="009A2C47" w:rsidRPr="009A2C47" w:rsidRDefault="009A2C47" w:rsidP="00D31C30">
      <w:pPr>
        <w:widowControl w:val="0"/>
        <w:autoSpaceDE w:val="0"/>
        <w:autoSpaceDN w:val="0"/>
        <w:adjustRightInd w:val="0"/>
        <w:jc w:val="both"/>
        <w:rPr>
          <w:rFonts w:cs="Arial"/>
          <w:noProof/>
          <w:szCs w:val="24"/>
        </w:rPr>
      </w:pPr>
      <w:r w:rsidRPr="009A2C47">
        <w:rPr>
          <w:rFonts w:cs="Arial"/>
          <w:noProof/>
          <w:szCs w:val="24"/>
        </w:rPr>
        <w:t>20. Google maps. 2017. www.googlemaps.com. Accessed 5 Apr 2017.</w:t>
      </w:r>
    </w:p>
    <w:p w14:paraId="11B62749" w14:textId="77777777" w:rsidR="009A2C47" w:rsidRPr="009A2C47" w:rsidRDefault="009A2C47" w:rsidP="00D31C30">
      <w:pPr>
        <w:widowControl w:val="0"/>
        <w:autoSpaceDE w:val="0"/>
        <w:autoSpaceDN w:val="0"/>
        <w:adjustRightInd w:val="0"/>
        <w:jc w:val="both"/>
        <w:rPr>
          <w:rFonts w:cs="Arial"/>
          <w:noProof/>
          <w:szCs w:val="24"/>
        </w:rPr>
      </w:pPr>
      <w:r w:rsidRPr="009A2C47">
        <w:rPr>
          <w:rFonts w:cs="Arial"/>
          <w:noProof/>
          <w:szCs w:val="24"/>
        </w:rPr>
        <w:t>21. MacKenzie EJ, Rivara FP, Jurkovich GJ, Nathens AB, Frey KP, Egleston BL, et al. A national evaluation of the effect of trauma-center care on mortality. N Engl J Med. 2006;354:366–78. doi:10.1056/NEJMsa052049.</w:t>
      </w:r>
    </w:p>
    <w:p w14:paraId="140DCED9" w14:textId="77777777" w:rsidR="009A2C47" w:rsidRPr="009A2C47" w:rsidRDefault="009A2C47" w:rsidP="00D31C30">
      <w:pPr>
        <w:widowControl w:val="0"/>
        <w:autoSpaceDE w:val="0"/>
        <w:autoSpaceDN w:val="0"/>
        <w:adjustRightInd w:val="0"/>
        <w:jc w:val="both"/>
        <w:rPr>
          <w:rFonts w:cs="Arial"/>
          <w:noProof/>
          <w:szCs w:val="24"/>
        </w:rPr>
      </w:pPr>
      <w:r w:rsidRPr="009A2C47">
        <w:rPr>
          <w:rFonts w:cs="Arial"/>
          <w:noProof/>
          <w:szCs w:val="24"/>
        </w:rPr>
        <w:lastRenderedPageBreak/>
        <w:t>22. Calderwood C. Saving lives. Giving life back. 2017. http://www.traumacare.scot/files/National-Trauma-Network-Implementation-Group-Jan-2017.pdf. Accessed 14 Apr 2017.</w:t>
      </w:r>
    </w:p>
    <w:p w14:paraId="70C51E91" w14:textId="77777777" w:rsidR="009A2C47" w:rsidRPr="009A2C47" w:rsidRDefault="009A2C47" w:rsidP="00D31C30">
      <w:pPr>
        <w:widowControl w:val="0"/>
        <w:autoSpaceDE w:val="0"/>
        <w:autoSpaceDN w:val="0"/>
        <w:adjustRightInd w:val="0"/>
        <w:jc w:val="both"/>
        <w:rPr>
          <w:rFonts w:cs="Arial"/>
          <w:noProof/>
          <w:szCs w:val="24"/>
        </w:rPr>
      </w:pPr>
      <w:r w:rsidRPr="009A2C47">
        <w:rPr>
          <w:rFonts w:cs="Arial"/>
          <w:noProof/>
          <w:szCs w:val="24"/>
        </w:rPr>
        <w:t>23. Major trauma: service delivery | Guidance and guidelines | NICE. 2016. https://www.nice.org.uk/guidance/ng40. Accessed 14 Apr 2017.</w:t>
      </w:r>
    </w:p>
    <w:p w14:paraId="5532824E" w14:textId="77777777" w:rsidR="009A2C47" w:rsidRPr="009A2C47" w:rsidRDefault="009A2C47" w:rsidP="00D31C30">
      <w:pPr>
        <w:widowControl w:val="0"/>
        <w:autoSpaceDE w:val="0"/>
        <w:autoSpaceDN w:val="0"/>
        <w:adjustRightInd w:val="0"/>
        <w:jc w:val="both"/>
        <w:rPr>
          <w:rFonts w:cs="Arial"/>
          <w:noProof/>
          <w:szCs w:val="24"/>
        </w:rPr>
      </w:pPr>
      <w:r w:rsidRPr="009A2C47">
        <w:rPr>
          <w:rFonts w:cs="Arial"/>
          <w:noProof/>
          <w:szCs w:val="24"/>
        </w:rPr>
        <w:t xml:space="preserve">24. Scottish Government SAHRREE 3DG T 556 8400 ceu@scotland. gsi. gov. u. </w:t>
      </w:r>
      <w:r w:rsidRPr="009A2C47">
        <w:rPr>
          <w:rFonts w:cs="Arial"/>
          <w:noProof/>
          <w:szCs w:val="24"/>
        </w:rPr>
        <w:tab/>
        <w:t>Scottish Neighbourhood Statistics Guide. 2005. http://www.gov.scot/Publications/2005/02/20697/52626. Accessed 10 May 2016.</w:t>
      </w:r>
    </w:p>
    <w:p w14:paraId="0DBDDE41" w14:textId="77777777" w:rsidR="009A2C47" w:rsidRPr="009A2C47" w:rsidRDefault="009A2C47" w:rsidP="00D31C30">
      <w:pPr>
        <w:widowControl w:val="0"/>
        <w:autoSpaceDE w:val="0"/>
        <w:autoSpaceDN w:val="0"/>
        <w:adjustRightInd w:val="0"/>
        <w:jc w:val="both"/>
        <w:rPr>
          <w:rFonts w:cs="Arial"/>
          <w:noProof/>
          <w:szCs w:val="24"/>
        </w:rPr>
      </w:pPr>
      <w:r w:rsidRPr="009A2C47">
        <w:rPr>
          <w:rFonts w:cs="Arial"/>
          <w:noProof/>
          <w:szCs w:val="24"/>
        </w:rPr>
        <w:t>25. Government at a Glance 2011 Equity in access to health care XII. GOVERNMENT PERFORMANCE INDICATORS FROM SELECTED SECTORS. http://dx.doi.org/10.1787/gov_glance-2011-en. Accessed 19 Sep 2016.</w:t>
      </w:r>
    </w:p>
    <w:p w14:paraId="48041704" w14:textId="77777777" w:rsidR="009A2C47" w:rsidRPr="009A2C47" w:rsidRDefault="009A2C47" w:rsidP="00D31C30">
      <w:pPr>
        <w:widowControl w:val="0"/>
        <w:autoSpaceDE w:val="0"/>
        <w:autoSpaceDN w:val="0"/>
        <w:adjustRightInd w:val="0"/>
        <w:jc w:val="both"/>
        <w:rPr>
          <w:rFonts w:cs="Arial"/>
          <w:noProof/>
          <w:szCs w:val="24"/>
        </w:rPr>
      </w:pPr>
      <w:r w:rsidRPr="009A2C47">
        <w:rPr>
          <w:rFonts w:cs="Arial"/>
          <w:noProof/>
          <w:szCs w:val="24"/>
        </w:rPr>
        <w:t>26. Docherty AB, Anderson NH, Walsh TS, Lone NI. Equity of Access to Critical Care Among Elderly Patients in Scotland: A National Cohort Study. Crit Care Med. 2016;44:3–13. doi:10.1097/CCM.0000000000001377.</w:t>
      </w:r>
    </w:p>
    <w:p w14:paraId="5FF3BF28" w14:textId="77777777" w:rsidR="009A2C47" w:rsidRPr="009A2C47" w:rsidRDefault="009A2C47" w:rsidP="00D31C30">
      <w:pPr>
        <w:widowControl w:val="0"/>
        <w:autoSpaceDE w:val="0"/>
        <w:autoSpaceDN w:val="0"/>
        <w:adjustRightInd w:val="0"/>
        <w:jc w:val="both"/>
        <w:rPr>
          <w:rFonts w:cs="Arial"/>
          <w:noProof/>
        </w:rPr>
      </w:pPr>
      <w:r w:rsidRPr="009A2C47">
        <w:rPr>
          <w:rFonts w:cs="Arial"/>
          <w:noProof/>
          <w:szCs w:val="24"/>
        </w:rPr>
        <w:t>27. Scottish Government T. Towards a Single National Specialist Transport Service for Scotland – ScotSTAR Strategic Vision National Planning Forum -Specialist Transport Services Strategic Review. 2011.</w:t>
      </w:r>
    </w:p>
    <w:p w14:paraId="04502C14" w14:textId="77777777" w:rsidR="00C779A6" w:rsidRDefault="00B16ECB" w:rsidP="00D31C30">
      <w:pPr>
        <w:widowControl w:val="0"/>
        <w:autoSpaceDE w:val="0"/>
        <w:autoSpaceDN w:val="0"/>
        <w:adjustRightInd w:val="0"/>
        <w:jc w:val="both"/>
      </w:pPr>
      <w:r>
        <w:fldChar w:fldCharType="end"/>
      </w:r>
    </w:p>
    <w:p w14:paraId="12B79C50" w14:textId="77777777" w:rsidR="008E4AD7" w:rsidRDefault="00C779A6" w:rsidP="00D31C30">
      <w:pPr>
        <w:pStyle w:val="Heading1"/>
        <w:jc w:val="both"/>
      </w:pPr>
      <w:r>
        <w:br w:type="page"/>
      </w:r>
      <w:r w:rsidR="008E4AD7">
        <w:lastRenderedPageBreak/>
        <w:t>Figures</w:t>
      </w:r>
    </w:p>
    <w:p w14:paraId="28F46083" w14:textId="77777777" w:rsidR="006432F6" w:rsidRDefault="006432F6" w:rsidP="00D31C30">
      <w:pPr>
        <w:jc w:val="both"/>
      </w:pPr>
      <w:r w:rsidRPr="00E964A2">
        <w:rPr>
          <w:b/>
        </w:rPr>
        <w:t xml:space="preserve">Figure </w:t>
      </w:r>
      <w:r>
        <w:rPr>
          <w:b/>
        </w:rPr>
        <w:t>1</w:t>
      </w:r>
      <w:r w:rsidRPr="00E964A2">
        <w:rPr>
          <w:b/>
        </w:rPr>
        <w:t>.</w:t>
      </w:r>
      <w:r>
        <w:t xml:space="preserve"> Population density in Scotland with datazones underlain.  </w:t>
      </w:r>
    </w:p>
    <w:p w14:paraId="422744F3" w14:textId="77777777" w:rsidR="00E964A2" w:rsidRDefault="00EE2E90" w:rsidP="00D31C30">
      <w:pPr>
        <w:jc w:val="both"/>
      </w:pPr>
      <w:r w:rsidRPr="00E964A2">
        <w:rPr>
          <w:b/>
        </w:rPr>
        <w:t xml:space="preserve">Figure </w:t>
      </w:r>
      <w:r w:rsidR="006432F6">
        <w:rPr>
          <w:b/>
        </w:rPr>
        <w:t>2</w:t>
      </w:r>
      <w:r>
        <w:t>. Location of critical care facilities, with 45 minute drive times and 45 minute helicopter</w:t>
      </w:r>
      <w:r w:rsidR="000F7123">
        <w:t xml:space="preserve"> </w:t>
      </w:r>
      <w:r>
        <w:t xml:space="preserve">access.  </w:t>
      </w:r>
      <w:r w:rsidR="000F7123">
        <w:t xml:space="preserve"> </w:t>
      </w:r>
    </w:p>
    <w:p w14:paraId="778D036D" w14:textId="77777777" w:rsidR="00B27785" w:rsidRPr="00B27785" w:rsidRDefault="00572B95" w:rsidP="00D31C30">
      <w:pPr>
        <w:pStyle w:val="Heading1"/>
        <w:jc w:val="both"/>
      </w:pPr>
      <w:r>
        <w:t>Tables</w:t>
      </w:r>
    </w:p>
    <w:p w14:paraId="77C9750A" w14:textId="77777777" w:rsidR="0015687D" w:rsidRDefault="0015687D" w:rsidP="00D31C30">
      <w:pPr>
        <w:jc w:val="both"/>
      </w:pPr>
      <w:r>
        <w:t>Table 1. Accessibility by road ambulance: Population and areal coverage, by health board.</w:t>
      </w:r>
    </w:p>
    <w:p w14:paraId="069BF7FF" w14:textId="77777777" w:rsidR="0015687D" w:rsidRDefault="0015687D" w:rsidP="00D31C30">
      <w:pPr>
        <w:spacing w:line="259" w:lineRule="auto"/>
        <w:jc w:val="both"/>
      </w:pPr>
      <w:r>
        <w:t>Table 2. Accessibility by road ambulance: Population and areal coverage, by Scottish urban/rural classification category.</w:t>
      </w:r>
    </w:p>
    <w:p w14:paraId="2885B2C0" w14:textId="77777777" w:rsidR="0015687D" w:rsidRDefault="0015687D" w:rsidP="00D31C30">
      <w:pPr>
        <w:jc w:val="both"/>
      </w:pPr>
      <w:r>
        <w:t>Table 3. Accessibility by helicopter: Population and areal coverage, by health board.</w:t>
      </w:r>
    </w:p>
    <w:p w14:paraId="2C2743AC" w14:textId="77777777" w:rsidR="0015687D" w:rsidRDefault="0015687D" w:rsidP="00D31C30">
      <w:pPr>
        <w:spacing w:line="259" w:lineRule="auto"/>
        <w:jc w:val="both"/>
      </w:pPr>
      <w:r>
        <w:t>Table 4. Accessibility by helicopter: Population and areal coverage, by Scottish urban/rural classification category.</w:t>
      </w:r>
    </w:p>
    <w:p w14:paraId="795BE1BE" w14:textId="77777777" w:rsidR="00D67A74" w:rsidRDefault="00D67A74" w:rsidP="00D31C30">
      <w:pPr>
        <w:pStyle w:val="Heading1"/>
        <w:jc w:val="both"/>
      </w:pPr>
      <w:r>
        <w:t>Supplemental online content</w:t>
      </w:r>
    </w:p>
    <w:p w14:paraId="54F02212" w14:textId="74B57BAE" w:rsidR="0015687D" w:rsidRDefault="0015687D" w:rsidP="00D31C30">
      <w:pPr>
        <w:jc w:val="both"/>
        <w:rPr>
          <w:lang w:eastAsia="x-none"/>
        </w:rPr>
      </w:pPr>
      <w:bookmarkStart w:id="1" w:name="_Hlk479954114"/>
      <w:r>
        <w:rPr>
          <w:lang w:eastAsia="x-none"/>
        </w:rPr>
        <w:t>Table 5. The Scottish Rural-Urban Classification</w:t>
      </w:r>
      <w:r>
        <w:rPr>
          <w:lang w:eastAsia="x-none"/>
        </w:rPr>
        <w:fldChar w:fldCharType="begin" w:fldLock="1"/>
      </w:r>
      <w:r w:rsidR="00DB6107">
        <w:rPr>
          <w:lang w:eastAsia="x-none"/>
        </w:rPr>
        <w:instrText>ADDIN CSL_CITATION { "citationItems" : [ { "id" : "ITEM-1", "itemData" : { "author" : [ { "dropping-particle" : "", "family" : "Scottish Government", "given" : "Rural and Environment Science and Analytical Services Division.", "non-dropping-particle" : "", "parse-names" : false, "suffix" : "" } ], "id" : "ITEM-1", "issued" : { "date-parts" : [ [ "2014" ] ] }, "title" : "Scottish Government Urban/Rural Classification 2013 - 2014", "type" : "report" }, "uris" : [ "http://www.mendeley.com/documents/?uuid=1b24a616-1e1e-3218-9738-74ebeab48786" ] } ], "mendeley" : { "formattedCitation" : "[16]", "plainTextFormattedCitation" : "[16]", "previouslyFormattedCitation" : "[16]" }, "properties" : { "noteIndex" : 0 }, "schema" : "https://github.com/citation-style-language/schema/raw/master/csl-citation.json" }</w:instrText>
      </w:r>
      <w:r>
        <w:rPr>
          <w:lang w:eastAsia="x-none"/>
        </w:rPr>
        <w:fldChar w:fldCharType="separate"/>
      </w:r>
      <w:r w:rsidR="00DD49A4" w:rsidRPr="00DD49A4">
        <w:rPr>
          <w:noProof/>
          <w:lang w:eastAsia="x-none"/>
        </w:rPr>
        <w:t>[16]</w:t>
      </w:r>
      <w:r>
        <w:rPr>
          <w:lang w:eastAsia="x-none"/>
        </w:rPr>
        <w:fldChar w:fldCharType="end"/>
      </w:r>
      <w:r>
        <w:rPr>
          <w:lang w:eastAsia="x-none"/>
        </w:rPr>
        <w:t>.</w:t>
      </w:r>
    </w:p>
    <w:p w14:paraId="1B57E3AF" w14:textId="77777777" w:rsidR="0015687D" w:rsidRDefault="0015687D" w:rsidP="00D31C30">
      <w:pPr>
        <w:jc w:val="both"/>
      </w:pPr>
      <w:r>
        <w:t>Table 6. 60 minute accessibility by road ambulance: Population and areal coverage, by health board.</w:t>
      </w:r>
    </w:p>
    <w:p w14:paraId="15C66D92" w14:textId="77777777" w:rsidR="0015687D" w:rsidRDefault="0015687D" w:rsidP="00D31C30">
      <w:pPr>
        <w:spacing w:line="259" w:lineRule="auto"/>
        <w:jc w:val="both"/>
      </w:pPr>
      <w:r>
        <w:t>Table 7. 60 minute accessibility by road ambulance: Population and areal coverage, by Scottish urban/rural classification category.</w:t>
      </w:r>
    </w:p>
    <w:p w14:paraId="786627F8" w14:textId="77777777" w:rsidR="0015687D" w:rsidRDefault="0015687D" w:rsidP="00D31C30">
      <w:pPr>
        <w:jc w:val="both"/>
      </w:pPr>
      <w:r>
        <w:t>Table 8. 60 minute accessibility by helicopter: Population and areal coverage, by health board.</w:t>
      </w:r>
    </w:p>
    <w:p w14:paraId="02183C33" w14:textId="77777777" w:rsidR="0015687D" w:rsidRPr="0015687D" w:rsidRDefault="0015687D" w:rsidP="00D31C30">
      <w:pPr>
        <w:jc w:val="both"/>
        <w:rPr>
          <w:lang w:eastAsia="x-none"/>
        </w:rPr>
      </w:pPr>
      <w:r>
        <w:t>T</w:t>
      </w:r>
      <w:r w:rsidR="001827AD">
        <w:t>able 9</w:t>
      </w:r>
      <w:r>
        <w:t>. 60 minute accessibility by helicopter: Population and areal coverage, by Scottish urban/rural classification category</w:t>
      </w:r>
      <w:bookmarkEnd w:id="1"/>
      <w:r>
        <w:t xml:space="preserve">. </w:t>
      </w:r>
    </w:p>
    <w:p w14:paraId="76CA219A" w14:textId="77777777" w:rsidR="00340073" w:rsidRPr="00340073" w:rsidRDefault="00340073" w:rsidP="00D31C30">
      <w:pPr>
        <w:jc w:val="both"/>
      </w:pPr>
    </w:p>
    <w:sectPr w:rsidR="00340073" w:rsidRPr="00340073" w:rsidSect="003A1233">
      <w:footerReference w:type="default" r:id="rId8"/>
      <w:pgSz w:w="11900" w:h="16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6FDA9CA" w14:textId="77777777" w:rsidR="007E45AB" w:rsidRDefault="007E45AB" w:rsidP="00340073">
      <w:pPr>
        <w:spacing w:after="0" w:line="240" w:lineRule="auto"/>
      </w:pPr>
      <w:r>
        <w:separator/>
      </w:r>
    </w:p>
  </w:endnote>
  <w:endnote w:type="continuationSeparator" w:id="0">
    <w:p w14:paraId="59CF95CF" w14:textId="77777777" w:rsidR="007E45AB" w:rsidRDefault="007E45AB" w:rsidP="0034007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Lucida Grande">
    <w:altName w:val="Segoe UI"/>
    <w:charset w:val="00"/>
    <w:family w:val="auto"/>
    <w:pitch w:val="variable"/>
    <w:sig w:usb0="E1000AEF" w:usb1="5000A1FF" w:usb2="00000000" w:usb3="00000000" w:csb0="000001BF" w:csb1="00000000"/>
  </w:font>
  <w:font w:name="Times">
    <w:panose1 w:val="02020603050405020304"/>
    <w:charset w:val="00"/>
    <w:family w:val="auto"/>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4E"/>
    <w:family w:val="auto"/>
    <w:pitch w:val="variable"/>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987EB9" w14:textId="31976A39" w:rsidR="00AF4D5E" w:rsidRDefault="00AF4D5E" w:rsidP="00BD5F6F">
    <w:pPr>
      <w:pStyle w:val="Footer"/>
      <w:jc w:val="center"/>
    </w:pPr>
    <w:r>
      <w:rPr>
        <w:rStyle w:val="PageNumber"/>
      </w:rPr>
      <w:fldChar w:fldCharType="begin"/>
    </w:r>
    <w:r>
      <w:rPr>
        <w:rStyle w:val="PageNumber"/>
      </w:rPr>
      <w:instrText xml:space="preserve"> PAGE </w:instrText>
    </w:r>
    <w:r>
      <w:rPr>
        <w:rStyle w:val="PageNumber"/>
      </w:rPr>
      <w:fldChar w:fldCharType="separate"/>
    </w:r>
    <w:r w:rsidR="00325E7B">
      <w:rPr>
        <w:rStyle w:val="PageNumber"/>
        <w:noProof/>
      </w:rPr>
      <w:t>19</w:t>
    </w:r>
    <w:r>
      <w:rPr>
        <w:rStyle w:val="PageNumber"/>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D75C00D" w14:textId="77777777" w:rsidR="007E45AB" w:rsidRDefault="007E45AB" w:rsidP="00340073">
      <w:pPr>
        <w:spacing w:after="0" w:line="240" w:lineRule="auto"/>
      </w:pPr>
      <w:r>
        <w:separator/>
      </w:r>
    </w:p>
  </w:footnote>
  <w:footnote w:type="continuationSeparator" w:id="0">
    <w:p w14:paraId="44684654" w14:textId="77777777" w:rsidR="007E45AB" w:rsidRDefault="007E45AB" w:rsidP="0034007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1D"/>
    <w:multiLevelType w:val="multilevel"/>
    <w:tmpl w:val="B00099C6"/>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0000001"/>
    <w:multiLevelType w:val="hybridMultilevel"/>
    <w:tmpl w:val="00000001"/>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05AF32DA"/>
    <w:multiLevelType w:val="hybridMultilevel"/>
    <w:tmpl w:val="9E080C6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8111AFD"/>
    <w:multiLevelType w:val="hybridMultilevel"/>
    <w:tmpl w:val="30429F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DA2409F"/>
    <w:multiLevelType w:val="hybridMultilevel"/>
    <w:tmpl w:val="C7DA96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E1D1271"/>
    <w:multiLevelType w:val="hybridMultilevel"/>
    <w:tmpl w:val="711C9C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81F77A5"/>
    <w:multiLevelType w:val="hybridMultilevel"/>
    <w:tmpl w:val="9F56281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15:restartNumberingAfterBreak="0">
    <w:nsid w:val="35AD73BF"/>
    <w:multiLevelType w:val="hybridMultilevel"/>
    <w:tmpl w:val="8714AF5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5CC6591"/>
    <w:multiLevelType w:val="hybridMultilevel"/>
    <w:tmpl w:val="6D1EB7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615543C"/>
    <w:multiLevelType w:val="hybridMultilevel"/>
    <w:tmpl w:val="A540030A"/>
    <w:lvl w:ilvl="0" w:tplc="89AE456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6B13BD7"/>
    <w:multiLevelType w:val="hybridMultilevel"/>
    <w:tmpl w:val="EAA084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83A2C78"/>
    <w:multiLevelType w:val="hybridMultilevel"/>
    <w:tmpl w:val="8BAEFE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BE2694C"/>
    <w:multiLevelType w:val="hybridMultilevel"/>
    <w:tmpl w:val="C9DEED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E3D0B71"/>
    <w:multiLevelType w:val="hybridMultilevel"/>
    <w:tmpl w:val="2F9854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600F792B"/>
    <w:multiLevelType w:val="hybridMultilevel"/>
    <w:tmpl w:val="F4EE0826"/>
    <w:lvl w:ilvl="0" w:tplc="174E631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6BA97FA8"/>
    <w:multiLevelType w:val="hybridMultilevel"/>
    <w:tmpl w:val="0BE46B82"/>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6FFB4495"/>
    <w:multiLevelType w:val="hybridMultilevel"/>
    <w:tmpl w:val="6A329EC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7FE541A4"/>
    <w:multiLevelType w:val="hybridMultilevel"/>
    <w:tmpl w:val="FEE2E32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10"/>
  </w:num>
  <w:num w:numId="2">
    <w:abstractNumId w:val="17"/>
  </w:num>
  <w:num w:numId="3">
    <w:abstractNumId w:val="11"/>
  </w:num>
  <w:num w:numId="4">
    <w:abstractNumId w:val="13"/>
  </w:num>
  <w:num w:numId="5">
    <w:abstractNumId w:val="6"/>
  </w:num>
  <w:num w:numId="6">
    <w:abstractNumId w:val="3"/>
  </w:num>
  <w:num w:numId="7">
    <w:abstractNumId w:val="12"/>
  </w:num>
  <w:num w:numId="8">
    <w:abstractNumId w:val="14"/>
  </w:num>
  <w:num w:numId="9">
    <w:abstractNumId w:val="5"/>
  </w:num>
  <w:num w:numId="10">
    <w:abstractNumId w:val="4"/>
  </w:num>
  <w:num w:numId="11">
    <w:abstractNumId w:val="1"/>
  </w:num>
  <w:num w:numId="12">
    <w:abstractNumId w:val="8"/>
  </w:num>
  <w:num w:numId="13">
    <w:abstractNumId w:val="7"/>
  </w:num>
  <w:num w:numId="14">
    <w:abstractNumId w:val="16"/>
  </w:num>
  <w:num w:numId="15">
    <w:abstractNumId w:val="2"/>
  </w:num>
  <w:num w:numId="16">
    <w:abstractNumId w:val="9"/>
  </w:num>
  <w:num w:numId="17">
    <w:abstractNumId w:val="15"/>
  </w:num>
  <w:num w:numId="1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20"/>
  <w:trackRevisions/>
  <w:documentProtection w:edit="trackedChanges" w:formatting="1" w:enforcement="1"/>
  <w:defaultTabStop w:val="720"/>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E1A67"/>
    <w:rsid w:val="00007C7B"/>
    <w:rsid w:val="00007D0F"/>
    <w:rsid w:val="0001092A"/>
    <w:rsid w:val="000204F1"/>
    <w:rsid w:val="00022233"/>
    <w:rsid w:val="000263F4"/>
    <w:rsid w:val="000345CB"/>
    <w:rsid w:val="000369DC"/>
    <w:rsid w:val="00041D60"/>
    <w:rsid w:val="00047FF9"/>
    <w:rsid w:val="00050D61"/>
    <w:rsid w:val="00051C66"/>
    <w:rsid w:val="000522CD"/>
    <w:rsid w:val="000533E7"/>
    <w:rsid w:val="0006453D"/>
    <w:rsid w:val="00071388"/>
    <w:rsid w:val="00073561"/>
    <w:rsid w:val="000833EE"/>
    <w:rsid w:val="00085B5E"/>
    <w:rsid w:val="00093E9F"/>
    <w:rsid w:val="000968CF"/>
    <w:rsid w:val="000A1F9D"/>
    <w:rsid w:val="000A4561"/>
    <w:rsid w:val="000A4A0E"/>
    <w:rsid w:val="000A62D5"/>
    <w:rsid w:val="000A70CB"/>
    <w:rsid w:val="000B24D6"/>
    <w:rsid w:val="000B6EFA"/>
    <w:rsid w:val="000B6F7E"/>
    <w:rsid w:val="000C14A6"/>
    <w:rsid w:val="000C46C7"/>
    <w:rsid w:val="000D360A"/>
    <w:rsid w:val="000D3A66"/>
    <w:rsid w:val="000D3D20"/>
    <w:rsid w:val="000D7C4B"/>
    <w:rsid w:val="000F7123"/>
    <w:rsid w:val="00106B4E"/>
    <w:rsid w:val="00113069"/>
    <w:rsid w:val="001307C2"/>
    <w:rsid w:val="00130906"/>
    <w:rsid w:val="001465C4"/>
    <w:rsid w:val="0015006F"/>
    <w:rsid w:val="0015129D"/>
    <w:rsid w:val="0015687D"/>
    <w:rsid w:val="0016102B"/>
    <w:rsid w:val="001638EE"/>
    <w:rsid w:val="00170F9A"/>
    <w:rsid w:val="00176446"/>
    <w:rsid w:val="001827AD"/>
    <w:rsid w:val="0018740B"/>
    <w:rsid w:val="00187D01"/>
    <w:rsid w:val="001904E7"/>
    <w:rsid w:val="00194224"/>
    <w:rsid w:val="001A6FD9"/>
    <w:rsid w:val="001C27AD"/>
    <w:rsid w:val="001D7422"/>
    <w:rsid w:val="001D7559"/>
    <w:rsid w:val="001F2F87"/>
    <w:rsid w:val="001F3A29"/>
    <w:rsid w:val="001F5431"/>
    <w:rsid w:val="001F775F"/>
    <w:rsid w:val="002005F8"/>
    <w:rsid w:val="00202C1C"/>
    <w:rsid w:val="00211E7C"/>
    <w:rsid w:val="00216781"/>
    <w:rsid w:val="00230C17"/>
    <w:rsid w:val="002317C0"/>
    <w:rsid w:val="00232459"/>
    <w:rsid w:val="002324B8"/>
    <w:rsid w:val="00234C53"/>
    <w:rsid w:val="0024010A"/>
    <w:rsid w:val="00243CDD"/>
    <w:rsid w:val="00261C4A"/>
    <w:rsid w:val="00263069"/>
    <w:rsid w:val="00264591"/>
    <w:rsid w:val="002678E2"/>
    <w:rsid w:val="002864E9"/>
    <w:rsid w:val="002875EA"/>
    <w:rsid w:val="00290DB5"/>
    <w:rsid w:val="00296378"/>
    <w:rsid w:val="002967EB"/>
    <w:rsid w:val="002A1FC5"/>
    <w:rsid w:val="002A56D7"/>
    <w:rsid w:val="002A7598"/>
    <w:rsid w:val="002B1AB8"/>
    <w:rsid w:val="002B6117"/>
    <w:rsid w:val="002C72D0"/>
    <w:rsid w:val="002D465C"/>
    <w:rsid w:val="002E3C51"/>
    <w:rsid w:val="002F52F4"/>
    <w:rsid w:val="002F596A"/>
    <w:rsid w:val="0030720F"/>
    <w:rsid w:val="00310D61"/>
    <w:rsid w:val="003144E8"/>
    <w:rsid w:val="00317EC9"/>
    <w:rsid w:val="00321BBD"/>
    <w:rsid w:val="00325E7B"/>
    <w:rsid w:val="003312E4"/>
    <w:rsid w:val="003348B8"/>
    <w:rsid w:val="00340073"/>
    <w:rsid w:val="003428BB"/>
    <w:rsid w:val="00343864"/>
    <w:rsid w:val="003467F9"/>
    <w:rsid w:val="00357A1A"/>
    <w:rsid w:val="00372068"/>
    <w:rsid w:val="003750D2"/>
    <w:rsid w:val="00375927"/>
    <w:rsid w:val="00375F21"/>
    <w:rsid w:val="00377036"/>
    <w:rsid w:val="00380F0F"/>
    <w:rsid w:val="003A1233"/>
    <w:rsid w:val="003C6120"/>
    <w:rsid w:val="003D4223"/>
    <w:rsid w:val="003D4397"/>
    <w:rsid w:val="003E158A"/>
    <w:rsid w:val="003E30E6"/>
    <w:rsid w:val="003E4CE3"/>
    <w:rsid w:val="003E58F4"/>
    <w:rsid w:val="003E7183"/>
    <w:rsid w:val="003F1650"/>
    <w:rsid w:val="003F283B"/>
    <w:rsid w:val="00402F51"/>
    <w:rsid w:val="00405140"/>
    <w:rsid w:val="00406232"/>
    <w:rsid w:val="00416310"/>
    <w:rsid w:val="00427B73"/>
    <w:rsid w:val="00435639"/>
    <w:rsid w:val="004434D5"/>
    <w:rsid w:val="00447572"/>
    <w:rsid w:val="004506B1"/>
    <w:rsid w:val="00451B40"/>
    <w:rsid w:val="00463AAB"/>
    <w:rsid w:val="00467A5C"/>
    <w:rsid w:val="00471521"/>
    <w:rsid w:val="00477496"/>
    <w:rsid w:val="00494487"/>
    <w:rsid w:val="004945F6"/>
    <w:rsid w:val="004955EA"/>
    <w:rsid w:val="004971DE"/>
    <w:rsid w:val="004A0435"/>
    <w:rsid w:val="004A12F4"/>
    <w:rsid w:val="004A13E6"/>
    <w:rsid w:val="004B1E84"/>
    <w:rsid w:val="004B7C1A"/>
    <w:rsid w:val="004C4D9B"/>
    <w:rsid w:val="004C5717"/>
    <w:rsid w:val="004D04C3"/>
    <w:rsid w:val="004D5994"/>
    <w:rsid w:val="004E3286"/>
    <w:rsid w:val="004E6853"/>
    <w:rsid w:val="004E7700"/>
    <w:rsid w:val="004F1A76"/>
    <w:rsid w:val="004F1DEC"/>
    <w:rsid w:val="004F2499"/>
    <w:rsid w:val="004F59DC"/>
    <w:rsid w:val="004F715E"/>
    <w:rsid w:val="004F7BB2"/>
    <w:rsid w:val="005045C7"/>
    <w:rsid w:val="00511093"/>
    <w:rsid w:val="005165FC"/>
    <w:rsid w:val="00517B09"/>
    <w:rsid w:val="00523E0B"/>
    <w:rsid w:val="005245D5"/>
    <w:rsid w:val="00524AF0"/>
    <w:rsid w:val="00525F87"/>
    <w:rsid w:val="005416F4"/>
    <w:rsid w:val="005419E1"/>
    <w:rsid w:val="0055007E"/>
    <w:rsid w:val="005515A1"/>
    <w:rsid w:val="0055301E"/>
    <w:rsid w:val="005553CF"/>
    <w:rsid w:val="00557157"/>
    <w:rsid w:val="0056518D"/>
    <w:rsid w:val="00567D0A"/>
    <w:rsid w:val="00570C8D"/>
    <w:rsid w:val="00572850"/>
    <w:rsid w:val="00572B95"/>
    <w:rsid w:val="00573AAD"/>
    <w:rsid w:val="0057425F"/>
    <w:rsid w:val="00581622"/>
    <w:rsid w:val="005828BD"/>
    <w:rsid w:val="00584A10"/>
    <w:rsid w:val="00584BB0"/>
    <w:rsid w:val="0059221A"/>
    <w:rsid w:val="0059392E"/>
    <w:rsid w:val="00596587"/>
    <w:rsid w:val="005B0F5C"/>
    <w:rsid w:val="005B200D"/>
    <w:rsid w:val="005B2DB2"/>
    <w:rsid w:val="005B3AF1"/>
    <w:rsid w:val="005C1562"/>
    <w:rsid w:val="005C7E70"/>
    <w:rsid w:val="005D3DDB"/>
    <w:rsid w:val="005E00BD"/>
    <w:rsid w:val="005E441B"/>
    <w:rsid w:val="005E4C01"/>
    <w:rsid w:val="005F1089"/>
    <w:rsid w:val="005F325F"/>
    <w:rsid w:val="005F36BB"/>
    <w:rsid w:val="005F65AA"/>
    <w:rsid w:val="00601E7E"/>
    <w:rsid w:val="00620A23"/>
    <w:rsid w:val="00621149"/>
    <w:rsid w:val="00622DAA"/>
    <w:rsid w:val="006240A4"/>
    <w:rsid w:val="0062646C"/>
    <w:rsid w:val="0062705F"/>
    <w:rsid w:val="006400A6"/>
    <w:rsid w:val="006432F6"/>
    <w:rsid w:val="00644B74"/>
    <w:rsid w:val="00650320"/>
    <w:rsid w:val="00655B21"/>
    <w:rsid w:val="00672186"/>
    <w:rsid w:val="00674F26"/>
    <w:rsid w:val="00677D01"/>
    <w:rsid w:val="00690881"/>
    <w:rsid w:val="00693149"/>
    <w:rsid w:val="006C4CF9"/>
    <w:rsid w:val="006C73B6"/>
    <w:rsid w:val="006D5928"/>
    <w:rsid w:val="006E0940"/>
    <w:rsid w:val="006E0DE1"/>
    <w:rsid w:val="006E133D"/>
    <w:rsid w:val="006E5CD3"/>
    <w:rsid w:val="006F22F4"/>
    <w:rsid w:val="00701238"/>
    <w:rsid w:val="0070362A"/>
    <w:rsid w:val="00706CE7"/>
    <w:rsid w:val="00711A95"/>
    <w:rsid w:val="007229EC"/>
    <w:rsid w:val="0072487D"/>
    <w:rsid w:val="00725E8A"/>
    <w:rsid w:val="00727EFE"/>
    <w:rsid w:val="00733B4C"/>
    <w:rsid w:val="007424BB"/>
    <w:rsid w:val="00745951"/>
    <w:rsid w:val="00761A92"/>
    <w:rsid w:val="0077491D"/>
    <w:rsid w:val="00777E36"/>
    <w:rsid w:val="007814FD"/>
    <w:rsid w:val="007858F5"/>
    <w:rsid w:val="00786B91"/>
    <w:rsid w:val="007A27DE"/>
    <w:rsid w:val="007A6B94"/>
    <w:rsid w:val="007B0246"/>
    <w:rsid w:val="007B37E2"/>
    <w:rsid w:val="007C7403"/>
    <w:rsid w:val="007D1209"/>
    <w:rsid w:val="007D16A7"/>
    <w:rsid w:val="007D266C"/>
    <w:rsid w:val="007D55C5"/>
    <w:rsid w:val="007D7CED"/>
    <w:rsid w:val="007E1A67"/>
    <w:rsid w:val="007E45AB"/>
    <w:rsid w:val="007E6A4F"/>
    <w:rsid w:val="007E7EBA"/>
    <w:rsid w:val="007F28AD"/>
    <w:rsid w:val="007F7CD4"/>
    <w:rsid w:val="00805434"/>
    <w:rsid w:val="008068A5"/>
    <w:rsid w:val="00815C78"/>
    <w:rsid w:val="00822B4B"/>
    <w:rsid w:val="00827CE8"/>
    <w:rsid w:val="00830ADF"/>
    <w:rsid w:val="00832F5E"/>
    <w:rsid w:val="00840C99"/>
    <w:rsid w:val="00841BDF"/>
    <w:rsid w:val="0084565A"/>
    <w:rsid w:val="008548E9"/>
    <w:rsid w:val="00857757"/>
    <w:rsid w:val="008616E8"/>
    <w:rsid w:val="008724BA"/>
    <w:rsid w:val="00873959"/>
    <w:rsid w:val="00880365"/>
    <w:rsid w:val="00881CB4"/>
    <w:rsid w:val="008911CA"/>
    <w:rsid w:val="008A2FF1"/>
    <w:rsid w:val="008A4C6D"/>
    <w:rsid w:val="008B7BE9"/>
    <w:rsid w:val="008C1588"/>
    <w:rsid w:val="008C683B"/>
    <w:rsid w:val="008C707F"/>
    <w:rsid w:val="008D2C19"/>
    <w:rsid w:val="008D4980"/>
    <w:rsid w:val="008D5F11"/>
    <w:rsid w:val="008D7D05"/>
    <w:rsid w:val="008E4AD7"/>
    <w:rsid w:val="008E7DD6"/>
    <w:rsid w:val="00913927"/>
    <w:rsid w:val="00915A0C"/>
    <w:rsid w:val="00924088"/>
    <w:rsid w:val="009247AD"/>
    <w:rsid w:val="00932565"/>
    <w:rsid w:val="00936D55"/>
    <w:rsid w:val="00947FC5"/>
    <w:rsid w:val="00951B25"/>
    <w:rsid w:val="00951B61"/>
    <w:rsid w:val="00952B26"/>
    <w:rsid w:val="009568BF"/>
    <w:rsid w:val="00980E89"/>
    <w:rsid w:val="00991615"/>
    <w:rsid w:val="0099797A"/>
    <w:rsid w:val="009A1567"/>
    <w:rsid w:val="009A2C47"/>
    <w:rsid w:val="009A5F37"/>
    <w:rsid w:val="009B07FE"/>
    <w:rsid w:val="009B7BF3"/>
    <w:rsid w:val="009C40E7"/>
    <w:rsid w:val="009D1E40"/>
    <w:rsid w:val="009D2CB0"/>
    <w:rsid w:val="009D2D4E"/>
    <w:rsid w:val="009D6F23"/>
    <w:rsid w:val="009E103F"/>
    <w:rsid w:val="009E1320"/>
    <w:rsid w:val="009E151F"/>
    <w:rsid w:val="009E1EBC"/>
    <w:rsid w:val="009E2998"/>
    <w:rsid w:val="009F38E4"/>
    <w:rsid w:val="009F6DA1"/>
    <w:rsid w:val="009F6E9D"/>
    <w:rsid w:val="00A01AB7"/>
    <w:rsid w:val="00A05285"/>
    <w:rsid w:val="00A06397"/>
    <w:rsid w:val="00A122B7"/>
    <w:rsid w:val="00A158A8"/>
    <w:rsid w:val="00A17959"/>
    <w:rsid w:val="00A24962"/>
    <w:rsid w:val="00A36880"/>
    <w:rsid w:val="00A4092E"/>
    <w:rsid w:val="00A410AE"/>
    <w:rsid w:val="00A44DF8"/>
    <w:rsid w:val="00A47DC5"/>
    <w:rsid w:val="00A61868"/>
    <w:rsid w:val="00A621C1"/>
    <w:rsid w:val="00A70513"/>
    <w:rsid w:val="00A71954"/>
    <w:rsid w:val="00A802EF"/>
    <w:rsid w:val="00A834EE"/>
    <w:rsid w:val="00A839DD"/>
    <w:rsid w:val="00A9243D"/>
    <w:rsid w:val="00A95470"/>
    <w:rsid w:val="00AA137A"/>
    <w:rsid w:val="00AA305D"/>
    <w:rsid w:val="00AA392A"/>
    <w:rsid w:val="00AB4D0C"/>
    <w:rsid w:val="00AB69A8"/>
    <w:rsid w:val="00AB6A50"/>
    <w:rsid w:val="00AC3EE6"/>
    <w:rsid w:val="00AD49D5"/>
    <w:rsid w:val="00AD6CDB"/>
    <w:rsid w:val="00AE56C0"/>
    <w:rsid w:val="00AF4D5E"/>
    <w:rsid w:val="00B03336"/>
    <w:rsid w:val="00B0494F"/>
    <w:rsid w:val="00B05436"/>
    <w:rsid w:val="00B10482"/>
    <w:rsid w:val="00B1108B"/>
    <w:rsid w:val="00B15123"/>
    <w:rsid w:val="00B16ECB"/>
    <w:rsid w:val="00B1748A"/>
    <w:rsid w:val="00B27785"/>
    <w:rsid w:val="00B32003"/>
    <w:rsid w:val="00B325E6"/>
    <w:rsid w:val="00B50855"/>
    <w:rsid w:val="00B52708"/>
    <w:rsid w:val="00B53C32"/>
    <w:rsid w:val="00B5732B"/>
    <w:rsid w:val="00B60F69"/>
    <w:rsid w:val="00B65590"/>
    <w:rsid w:val="00B67CA8"/>
    <w:rsid w:val="00B723C8"/>
    <w:rsid w:val="00B817E8"/>
    <w:rsid w:val="00B83B20"/>
    <w:rsid w:val="00B86B1C"/>
    <w:rsid w:val="00B92796"/>
    <w:rsid w:val="00B95A5E"/>
    <w:rsid w:val="00B960C5"/>
    <w:rsid w:val="00BA4ADF"/>
    <w:rsid w:val="00BA5BF6"/>
    <w:rsid w:val="00BB061F"/>
    <w:rsid w:val="00BB5A7B"/>
    <w:rsid w:val="00BC2299"/>
    <w:rsid w:val="00BC44FB"/>
    <w:rsid w:val="00BD4BAB"/>
    <w:rsid w:val="00BD590A"/>
    <w:rsid w:val="00BD5F6F"/>
    <w:rsid w:val="00BD778F"/>
    <w:rsid w:val="00BE0A71"/>
    <w:rsid w:val="00BE582B"/>
    <w:rsid w:val="00BE6D75"/>
    <w:rsid w:val="00BF6BC6"/>
    <w:rsid w:val="00C02CFC"/>
    <w:rsid w:val="00C049C7"/>
    <w:rsid w:val="00C073BC"/>
    <w:rsid w:val="00C129B6"/>
    <w:rsid w:val="00C1404A"/>
    <w:rsid w:val="00C14AB6"/>
    <w:rsid w:val="00C1713F"/>
    <w:rsid w:val="00C2520F"/>
    <w:rsid w:val="00C27CFA"/>
    <w:rsid w:val="00C33698"/>
    <w:rsid w:val="00C40EC5"/>
    <w:rsid w:val="00C463B4"/>
    <w:rsid w:val="00C52C50"/>
    <w:rsid w:val="00C779A6"/>
    <w:rsid w:val="00C855AD"/>
    <w:rsid w:val="00C87471"/>
    <w:rsid w:val="00C87D82"/>
    <w:rsid w:val="00C95722"/>
    <w:rsid w:val="00C9575A"/>
    <w:rsid w:val="00CA1A22"/>
    <w:rsid w:val="00CA332F"/>
    <w:rsid w:val="00CA38E0"/>
    <w:rsid w:val="00CA79C6"/>
    <w:rsid w:val="00CB3443"/>
    <w:rsid w:val="00CB5438"/>
    <w:rsid w:val="00CB7A62"/>
    <w:rsid w:val="00CB7B82"/>
    <w:rsid w:val="00CC5121"/>
    <w:rsid w:val="00CC6BB5"/>
    <w:rsid w:val="00CD185B"/>
    <w:rsid w:val="00CD2CA1"/>
    <w:rsid w:val="00CD5CD6"/>
    <w:rsid w:val="00CD7AD1"/>
    <w:rsid w:val="00CE083A"/>
    <w:rsid w:val="00CE17C1"/>
    <w:rsid w:val="00CE2516"/>
    <w:rsid w:val="00CE2C24"/>
    <w:rsid w:val="00CE4AC5"/>
    <w:rsid w:val="00CE7C31"/>
    <w:rsid w:val="00CF14FC"/>
    <w:rsid w:val="00D05A95"/>
    <w:rsid w:val="00D060EF"/>
    <w:rsid w:val="00D13389"/>
    <w:rsid w:val="00D15D60"/>
    <w:rsid w:val="00D16021"/>
    <w:rsid w:val="00D259AE"/>
    <w:rsid w:val="00D26A56"/>
    <w:rsid w:val="00D30831"/>
    <w:rsid w:val="00D31C30"/>
    <w:rsid w:val="00D325C5"/>
    <w:rsid w:val="00D35ECA"/>
    <w:rsid w:val="00D37920"/>
    <w:rsid w:val="00D431F3"/>
    <w:rsid w:val="00D64310"/>
    <w:rsid w:val="00D66B21"/>
    <w:rsid w:val="00D67A74"/>
    <w:rsid w:val="00D7069C"/>
    <w:rsid w:val="00D713F4"/>
    <w:rsid w:val="00D732D2"/>
    <w:rsid w:val="00D7733C"/>
    <w:rsid w:val="00D8090C"/>
    <w:rsid w:val="00D80EEA"/>
    <w:rsid w:val="00D8256E"/>
    <w:rsid w:val="00D82D90"/>
    <w:rsid w:val="00D87E0E"/>
    <w:rsid w:val="00D93645"/>
    <w:rsid w:val="00DA4A81"/>
    <w:rsid w:val="00DB2746"/>
    <w:rsid w:val="00DB2C57"/>
    <w:rsid w:val="00DB4781"/>
    <w:rsid w:val="00DB6107"/>
    <w:rsid w:val="00DD49A4"/>
    <w:rsid w:val="00DE0410"/>
    <w:rsid w:val="00DE3B66"/>
    <w:rsid w:val="00E01A83"/>
    <w:rsid w:val="00E036FF"/>
    <w:rsid w:val="00E04787"/>
    <w:rsid w:val="00E123F0"/>
    <w:rsid w:val="00E12C4E"/>
    <w:rsid w:val="00E13224"/>
    <w:rsid w:val="00E156F1"/>
    <w:rsid w:val="00E31394"/>
    <w:rsid w:val="00E31A0C"/>
    <w:rsid w:val="00E3205E"/>
    <w:rsid w:val="00E334E5"/>
    <w:rsid w:val="00E45C40"/>
    <w:rsid w:val="00E46D6E"/>
    <w:rsid w:val="00E50F13"/>
    <w:rsid w:val="00E5272E"/>
    <w:rsid w:val="00E54862"/>
    <w:rsid w:val="00E603D2"/>
    <w:rsid w:val="00E6323C"/>
    <w:rsid w:val="00E6463D"/>
    <w:rsid w:val="00E6680D"/>
    <w:rsid w:val="00E70DE4"/>
    <w:rsid w:val="00E964A2"/>
    <w:rsid w:val="00EA4338"/>
    <w:rsid w:val="00EA4CB4"/>
    <w:rsid w:val="00EB160A"/>
    <w:rsid w:val="00EB620A"/>
    <w:rsid w:val="00EC10E2"/>
    <w:rsid w:val="00EC574D"/>
    <w:rsid w:val="00EC590A"/>
    <w:rsid w:val="00EC7872"/>
    <w:rsid w:val="00ED106F"/>
    <w:rsid w:val="00ED28A4"/>
    <w:rsid w:val="00ED2A05"/>
    <w:rsid w:val="00ED32C0"/>
    <w:rsid w:val="00ED3D9C"/>
    <w:rsid w:val="00ED6AAC"/>
    <w:rsid w:val="00ED7F32"/>
    <w:rsid w:val="00EE068D"/>
    <w:rsid w:val="00EE2E90"/>
    <w:rsid w:val="00EE528A"/>
    <w:rsid w:val="00EE702F"/>
    <w:rsid w:val="00EF234B"/>
    <w:rsid w:val="00EF4A58"/>
    <w:rsid w:val="00EF5707"/>
    <w:rsid w:val="00F00F8E"/>
    <w:rsid w:val="00F03AC5"/>
    <w:rsid w:val="00F05984"/>
    <w:rsid w:val="00F071D2"/>
    <w:rsid w:val="00F125C8"/>
    <w:rsid w:val="00F1273F"/>
    <w:rsid w:val="00F1358D"/>
    <w:rsid w:val="00F26A33"/>
    <w:rsid w:val="00F36CC5"/>
    <w:rsid w:val="00F41890"/>
    <w:rsid w:val="00F549CF"/>
    <w:rsid w:val="00F55D2F"/>
    <w:rsid w:val="00F70C9C"/>
    <w:rsid w:val="00F71A30"/>
    <w:rsid w:val="00F8169C"/>
    <w:rsid w:val="00F827EC"/>
    <w:rsid w:val="00F83DF8"/>
    <w:rsid w:val="00F85345"/>
    <w:rsid w:val="00F915A4"/>
    <w:rsid w:val="00F93287"/>
    <w:rsid w:val="00F966E9"/>
    <w:rsid w:val="00FA2504"/>
    <w:rsid w:val="00FA4CD4"/>
    <w:rsid w:val="00FA5CE9"/>
    <w:rsid w:val="00FA702C"/>
    <w:rsid w:val="00FB7267"/>
    <w:rsid w:val="00FC7175"/>
    <w:rsid w:val="00FD1773"/>
    <w:rsid w:val="00FF281E"/>
    <w:rsid w:val="00FF385A"/>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13BE3E6B"/>
  <w14:defaultImageDpi w14:val="300"/>
  <w15:docId w15:val="{B8730D73-2463-43BE-9078-787DCF730F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GB" w:eastAsia="en-US" w:bidi="ar-SA"/>
      </w:rPr>
    </w:rPrDefault>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67"/>
    <w:lsdException w:name="No Spacing" w:uiPriority="68"/>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lsdException w:name="Colorful List" w:uiPriority="34" w:qFormat="1"/>
    <w:lsdException w:name="Colorful Grid" w:uiPriority="2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71"/>
    <w:lsdException w:name="List Paragraph" w:uiPriority="72"/>
    <w:lsdException w:name="Quote" w:uiPriority="73"/>
    <w:lsdException w:name="Intense Quote" w:uiPriority="60"/>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3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rsid w:val="003E158A"/>
    <w:pPr>
      <w:spacing w:after="60" w:line="480" w:lineRule="auto"/>
    </w:pPr>
    <w:rPr>
      <w:rFonts w:ascii="Arial" w:hAnsi="Arial"/>
      <w:sz w:val="22"/>
      <w:szCs w:val="22"/>
    </w:rPr>
  </w:style>
  <w:style w:type="paragraph" w:styleId="Heading1">
    <w:name w:val="heading 1"/>
    <w:basedOn w:val="Normal"/>
    <w:next w:val="Normal"/>
    <w:link w:val="Heading1Char"/>
    <w:uiPriority w:val="9"/>
    <w:qFormat/>
    <w:rsid w:val="005828BD"/>
    <w:pPr>
      <w:keepNext/>
      <w:keepLines/>
      <w:spacing w:before="480" w:after="240"/>
      <w:outlineLvl w:val="0"/>
    </w:pPr>
    <w:rPr>
      <w:rFonts w:eastAsia="Times New Roman"/>
      <w:b/>
      <w:bCs/>
      <w:caps/>
      <w:sz w:val="24"/>
      <w:szCs w:val="20"/>
      <w:lang w:val="x-none" w:eastAsia="x-none"/>
    </w:rPr>
  </w:style>
  <w:style w:type="paragraph" w:styleId="Heading2">
    <w:name w:val="heading 2"/>
    <w:basedOn w:val="Normal"/>
    <w:next w:val="Normal"/>
    <w:link w:val="Heading2Char"/>
    <w:uiPriority w:val="9"/>
    <w:unhideWhenUsed/>
    <w:qFormat/>
    <w:rsid w:val="003467F9"/>
    <w:pPr>
      <w:keepNext/>
      <w:spacing w:before="120" w:after="0"/>
      <w:jc w:val="both"/>
      <w:outlineLvl w:val="1"/>
    </w:pPr>
    <w:rPr>
      <w:b/>
      <w:szCs w:val="20"/>
      <w:lang w:val="x-none" w:eastAsia="x-none"/>
    </w:rPr>
  </w:style>
  <w:style w:type="paragraph" w:styleId="Heading3">
    <w:name w:val="heading 3"/>
    <w:basedOn w:val="Normal"/>
    <w:next w:val="Normal"/>
    <w:link w:val="Heading3Char"/>
    <w:uiPriority w:val="9"/>
    <w:unhideWhenUsed/>
    <w:qFormat/>
    <w:rsid w:val="003E158A"/>
    <w:pPr>
      <w:keepNext/>
      <w:jc w:val="both"/>
      <w:outlineLvl w:val="2"/>
    </w:pPr>
    <w:rPr>
      <w:b/>
      <w:i/>
      <w:sz w:val="20"/>
      <w:szCs w:val="20"/>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F715E"/>
    <w:pPr>
      <w:ind w:left="720"/>
      <w:contextualSpacing/>
    </w:pPr>
  </w:style>
  <w:style w:type="character" w:styleId="CommentReference">
    <w:name w:val="annotation reference"/>
    <w:uiPriority w:val="99"/>
    <w:semiHidden/>
    <w:unhideWhenUsed/>
    <w:rsid w:val="006E5CD3"/>
    <w:rPr>
      <w:sz w:val="18"/>
      <w:szCs w:val="18"/>
    </w:rPr>
  </w:style>
  <w:style w:type="paragraph" w:styleId="CommentText">
    <w:name w:val="annotation text"/>
    <w:basedOn w:val="Normal"/>
    <w:link w:val="CommentTextChar"/>
    <w:uiPriority w:val="99"/>
    <w:semiHidden/>
    <w:unhideWhenUsed/>
    <w:rsid w:val="006E5CD3"/>
    <w:pPr>
      <w:spacing w:line="240" w:lineRule="auto"/>
    </w:pPr>
    <w:rPr>
      <w:rFonts w:ascii="Calibri" w:hAnsi="Calibri"/>
      <w:sz w:val="24"/>
      <w:szCs w:val="24"/>
      <w:lang w:val="x-none" w:eastAsia="x-none"/>
    </w:rPr>
  </w:style>
  <w:style w:type="character" w:customStyle="1" w:styleId="CommentTextChar">
    <w:name w:val="Comment Text Char"/>
    <w:link w:val="CommentText"/>
    <w:uiPriority w:val="99"/>
    <w:semiHidden/>
    <w:rsid w:val="006E5CD3"/>
    <w:rPr>
      <w:sz w:val="24"/>
      <w:szCs w:val="24"/>
    </w:rPr>
  </w:style>
  <w:style w:type="paragraph" w:styleId="CommentSubject">
    <w:name w:val="annotation subject"/>
    <w:basedOn w:val="CommentText"/>
    <w:next w:val="CommentText"/>
    <w:link w:val="CommentSubjectChar"/>
    <w:uiPriority w:val="99"/>
    <w:semiHidden/>
    <w:unhideWhenUsed/>
    <w:rsid w:val="006E5CD3"/>
    <w:rPr>
      <w:b/>
      <w:bCs/>
      <w:sz w:val="20"/>
      <w:szCs w:val="20"/>
    </w:rPr>
  </w:style>
  <w:style w:type="character" w:customStyle="1" w:styleId="CommentSubjectChar">
    <w:name w:val="Comment Subject Char"/>
    <w:link w:val="CommentSubject"/>
    <w:uiPriority w:val="99"/>
    <w:semiHidden/>
    <w:rsid w:val="006E5CD3"/>
    <w:rPr>
      <w:b/>
      <w:bCs/>
      <w:sz w:val="20"/>
      <w:szCs w:val="20"/>
    </w:rPr>
  </w:style>
  <w:style w:type="paragraph" w:styleId="BalloonText">
    <w:name w:val="Balloon Text"/>
    <w:basedOn w:val="Normal"/>
    <w:link w:val="BalloonTextChar"/>
    <w:uiPriority w:val="99"/>
    <w:semiHidden/>
    <w:unhideWhenUsed/>
    <w:rsid w:val="006E5CD3"/>
    <w:pPr>
      <w:spacing w:after="0" w:line="240" w:lineRule="auto"/>
    </w:pPr>
    <w:rPr>
      <w:rFonts w:ascii="Lucida Grande" w:hAnsi="Lucida Grande"/>
      <w:sz w:val="18"/>
      <w:szCs w:val="18"/>
      <w:lang w:val="x-none" w:eastAsia="x-none"/>
    </w:rPr>
  </w:style>
  <w:style w:type="character" w:customStyle="1" w:styleId="BalloonTextChar">
    <w:name w:val="Balloon Text Char"/>
    <w:link w:val="BalloonText"/>
    <w:uiPriority w:val="99"/>
    <w:semiHidden/>
    <w:rsid w:val="006E5CD3"/>
    <w:rPr>
      <w:rFonts w:ascii="Lucida Grande" w:hAnsi="Lucida Grande" w:cs="Lucida Grande"/>
      <w:sz w:val="18"/>
      <w:szCs w:val="18"/>
    </w:rPr>
  </w:style>
  <w:style w:type="paragraph" w:styleId="Revision">
    <w:name w:val="Revision"/>
    <w:hidden/>
    <w:uiPriority w:val="99"/>
    <w:semiHidden/>
    <w:rsid w:val="00A9243D"/>
    <w:rPr>
      <w:sz w:val="22"/>
      <w:szCs w:val="22"/>
    </w:rPr>
  </w:style>
  <w:style w:type="paragraph" w:styleId="Header">
    <w:name w:val="header"/>
    <w:basedOn w:val="Normal"/>
    <w:link w:val="HeaderChar"/>
    <w:uiPriority w:val="99"/>
    <w:unhideWhenUsed/>
    <w:rsid w:val="00340073"/>
    <w:pPr>
      <w:tabs>
        <w:tab w:val="center" w:pos="4513"/>
        <w:tab w:val="right" w:pos="9026"/>
      </w:tabs>
      <w:spacing w:after="0" w:line="240" w:lineRule="auto"/>
    </w:pPr>
  </w:style>
  <w:style w:type="character" w:customStyle="1" w:styleId="HeaderChar">
    <w:name w:val="Header Char"/>
    <w:basedOn w:val="DefaultParagraphFont"/>
    <w:link w:val="Header"/>
    <w:uiPriority w:val="99"/>
    <w:rsid w:val="00340073"/>
  </w:style>
  <w:style w:type="paragraph" w:styleId="Footer">
    <w:name w:val="footer"/>
    <w:basedOn w:val="Normal"/>
    <w:link w:val="FooterChar"/>
    <w:uiPriority w:val="99"/>
    <w:unhideWhenUsed/>
    <w:rsid w:val="00340073"/>
    <w:pPr>
      <w:tabs>
        <w:tab w:val="center" w:pos="4513"/>
        <w:tab w:val="right" w:pos="9026"/>
      </w:tabs>
      <w:spacing w:after="0" w:line="240" w:lineRule="auto"/>
    </w:pPr>
  </w:style>
  <w:style w:type="character" w:customStyle="1" w:styleId="FooterChar">
    <w:name w:val="Footer Char"/>
    <w:basedOn w:val="DefaultParagraphFont"/>
    <w:link w:val="Footer"/>
    <w:uiPriority w:val="99"/>
    <w:rsid w:val="00340073"/>
  </w:style>
  <w:style w:type="character" w:customStyle="1" w:styleId="Heading2Char">
    <w:name w:val="Heading 2 Char"/>
    <w:link w:val="Heading2"/>
    <w:uiPriority w:val="9"/>
    <w:rsid w:val="003467F9"/>
    <w:rPr>
      <w:rFonts w:ascii="Arial" w:hAnsi="Arial"/>
      <w:b/>
      <w:sz w:val="22"/>
      <w:lang w:val="x-none" w:eastAsia="x-none"/>
    </w:rPr>
  </w:style>
  <w:style w:type="character" w:customStyle="1" w:styleId="Heading1Char">
    <w:name w:val="Heading 1 Char"/>
    <w:link w:val="Heading1"/>
    <w:uiPriority w:val="9"/>
    <w:rsid w:val="005828BD"/>
    <w:rPr>
      <w:rFonts w:ascii="Arial" w:eastAsia="Times New Roman" w:hAnsi="Arial"/>
      <w:b/>
      <w:bCs/>
      <w:caps/>
      <w:sz w:val="24"/>
      <w:lang w:val="x-none" w:eastAsia="x-none"/>
    </w:rPr>
  </w:style>
  <w:style w:type="character" w:customStyle="1" w:styleId="Heading3Char">
    <w:name w:val="Heading 3 Char"/>
    <w:link w:val="Heading3"/>
    <w:uiPriority w:val="9"/>
    <w:rsid w:val="003E158A"/>
    <w:rPr>
      <w:rFonts w:ascii="Arial" w:hAnsi="Arial"/>
      <w:b/>
      <w:i/>
      <w:lang w:val="x-none" w:eastAsia="x-none"/>
    </w:rPr>
  </w:style>
  <w:style w:type="table" w:styleId="TableGrid">
    <w:name w:val="Table Grid"/>
    <w:basedOn w:val="TableNormal"/>
    <w:uiPriority w:val="39"/>
    <w:rsid w:val="00572B9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524AF0"/>
    <w:pPr>
      <w:spacing w:before="100" w:beforeAutospacing="1" w:after="100" w:afterAutospacing="1" w:line="240" w:lineRule="auto"/>
    </w:pPr>
    <w:rPr>
      <w:rFonts w:ascii="Times" w:hAnsi="Times"/>
      <w:sz w:val="20"/>
      <w:szCs w:val="20"/>
    </w:rPr>
  </w:style>
  <w:style w:type="paragraph" w:styleId="Caption">
    <w:name w:val="caption"/>
    <w:basedOn w:val="Normal"/>
    <w:next w:val="Normal"/>
    <w:uiPriority w:val="35"/>
    <w:qFormat/>
    <w:rsid w:val="00DB4781"/>
    <w:pPr>
      <w:keepNext/>
      <w:tabs>
        <w:tab w:val="left" w:pos="720"/>
        <w:tab w:val="left" w:pos="1440"/>
        <w:tab w:val="left" w:pos="2160"/>
        <w:tab w:val="left" w:pos="2880"/>
        <w:tab w:val="left" w:pos="4680"/>
        <w:tab w:val="left" w:pos="5400"/>
        <w:tab w:val="right" w:pos="9000"/>
      </w:tabs>
      <w:spacing w:before="240" w:line="360" w:lineRule="auto"/>
    </w:pPr>
    <w:rPr>
      <w:rFonts w:ascii="Arial Narrow" w:eastAsia="Times New Roman" w:hAnsi="Arial Narrow"/>
      <w:b/>
      <w:sz w:val="24"/>
      <w:szCs w:val="20"/>
      <w:lang w:eastAsia="en-GB"/>
    </w:rPr>
  </w:style>
  <w:style w:type="character" w:styleId="Hyperlink">
    <w:name w:val="Hyperlink"/>
    <w:uiPriority w:val="99"/>
    <w:unhideWhenUsed/>
    <w:rsid w:val="00E334E5"/>
    <w:rPr>
      <w:color w:val="0563C1"/>
      <w:u w:val="single"/>
    </w:rPr>
  </w:style>
  <w:style w:type="character" w:styleId="PageNumber">
    <w:name w:val="page number"/>
    <w:basedOn w:val="DefaultParagraphFont"/>
    <w:uiPriority w:val="99"/>
    <w:semiHidden/>
    <w:unhideWhenUsed/>
    <w:rsid w:val="00BD5F6F"/>
  </w:style>
  <w:style w:type="paragraph" w:styleId="DocumentMap">
    <w:name w:val="Document Map"/>
    <w:basedOn w:val="Normal"/>
    <w:link w:val="DocumentMapChar"/>
    <w:uiPriority w:val="99"/>
    <w:semiHidden/>
    <w:unhideWhenUsed/>
    <w:rsid w:val="008E7DD6"/>
    <w:pPr>
      <w:spacing w:after="0" w:line="240" w:lineRule="auto"/>
    </w:pPr>
    <w:rPr>
      <w:rFonts w:ascii="Lucida Grande" w:hAnsi="Lucida Grande"/>
      <w:sz w:val="24"/>
      <w:szCs w:val="24"/>
      <w:lang w:val="x-none" w:eastAsia="x-none"/>
    </w:rPr>
  </w:style>
  <w:style w:type="character" w:customStyle="1" w:styleId="DocumentMapChar">
    <w:name w:val="Document Map Char"/>
    <w:link w:val="DocumentMap"/>
    <w:uiPriority w:val="99"/>
    <w:semiHidden/>
    <w:rsid w:val="008E7DD6"/>
    <w:rPr>
      <w:rFonts w:ascii="Lucida Grande" w:hAnsi="Lucida Grande" w:cs="Lucida Grande"/>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46016541">
      <w:bodyDiv w:val="1"/>
      <w:marLeft w:val="0"/>
      <w:marRight w:val="0"/>
      <w:marTop w:val="0"/>
      <w:marBottom w:val="0"/>
      <w:divBdr>
        <w:top w:val="none" w:sz="0" w:space="0" w:color="auto"/>
        <w:left w:val="none" w:sz="0" w:space="0" w:color="auto"/>
        <w:bottom w:val="none" w:sz="0" w:space="0" w:color="auto"/>
        <w:right w:val="none" w:sz="0" w:space="0" w:color="auto"/>
      </w:divBdr>
      <w:divsChild>
        <w:div w:id="449011986">
          <w:marLeft w:val="0"/>
          <w:marRight w:val="0"/>
          <w:marTop w:val="0"/>
          <w:marBottom w:val="0"/>
          <w:divBdr>
            <w:top w:val="none" w:sz="0" w:space="0" w:color="auto"/>
            <w:left w:val="none" w:sz="0" w:space="0" w:color="auto"/>
            <w:bottom w:val="none" w:sz="0" w:space="0" w:color="auto"/>
            <w:right w:val="none" w:sz="0" w:space="0" w:color="auto"/>
          </w:divBdr>
          <w:divsChild>
            <w:div w:id="980690984">
              <w:marLeft w:val="0"/>
              <w:marRight w:val="0"/>
              <w:marTop w:val="0"/>
              <w:marBottom w:val="0"/>
              <w:divBdr>
                <w:top w:val="none" w:sz="0" w:space="0" w:color="auto"/>
                <w:left w:val="none" w:sz="0" w:space="0" w:color="auto"/>
                <w:bottom w:val="none" w:sz="0" w:space="0" w:color="auto"/>
                <w:right w:val="none" w:sz="0" w:space="0" w:color="auto"/>
              </w:divBdr>
              <w:divsChild>
                <w:div w:id="21114609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5709208">
      <w:bodyDiv w:val="1"/>
      <w:marLeft w:val="0"/>
      <w:marRight w:val="0"/>
      <w:marTop w:val="0"/>
      <w:marBottom w:val="0"/>
      <w:divBdr>
        <w:top w:val="none" w:sz="0" w:space="0" w:color="auto"/>
        <w:left w:val="none" w:sz="0" w:space="0" w:color="auto"/>
        <w:bottom w:val="none" w:sz="0" w:space="0" w:color="auto"/>
        <w:right w:val="none" w:sz="0" w:space="0" w:color="auto"/>
      </w:divBdr>
    </w:div>
    <w:div w:id="1246841526">
      <w:bodyDiv w:val="1"/>
      <w:marLeft w:val="0"/>
      <w:marRight w:val="0"/>
      <w:marTop w:val="0"/>
      <w:marBottom w:val="0"/>
      <w:divBdr>
        <w:top w:val="none" w:sz="0" w:space="0" w:color="auto"/>
        <w:left w:val="none" w:sz="0" w:space="0" w:color="auto"/>
        <w:bottom w:val="none" w:sz="0" w:space="0" w:color="auto"/>
        <w:right w:val="none" w:sz="0" w:space="0" w:color="auto"/>
      </w:divBdr>
      <w:divsChild>
        <w:div w:id="2095087040">
          <w:marLeft w:val="0"/>
          <w:marRight w:val="0"/>
          <w:marTop w:val="0"/>
          <w:marBottom w:val="0"/>
          <w:divBdr>
            <w:top w:val="none" w:sz="0" w:space="0" w:color="auto"/>
            <w:left w:val="none" w:sz="0" w:space="0" w:color="auto"/>
            <w:bottom w:val="none" w:sz="0" w:space="0" w:color="auto"/>
            <w:right w:val="none" w:sz="0" w:space="0" w:color="auto"/>
          </w:divBdr>
          <w:divsChild>
            <w:div w:id="798034588">
              <w:marLeft w:val="0"/>
              <w:marRight w:val="0"/>
              <w:marTop w:val="0"/>
              <w:marBottom w:val="0"/>
              <w:divBdr>
                <w:top w:val="none" w:sz="0" w:space="0" w:color="auto"/>
                <w:left w:val="none" w:sz="0" w:space="0" w:color="auto"/>
                <w:bottom w:val="none" w:sz="0" w:space="0" w:color="auto"/>
                <w:right w:val="none" w:sz="0" w:space="0" w:color="auto"/>
              </w:divBdr>
              <w:divsChild>
                <w:div w:id="248393135">
                  <w:marLeft w:val="0"/>
                  <w:marRight w:val="0"/>
                  <w:marTop w:val="0"/>
                  <w:marBottom w:val="0"/>
                  <w:divBdr>
                    <w:top w:val="none" w:sz="0" w:space="0" w:color="auto"/>
                    <w:left w:val="none" w:sz="0" w:space="0" w:color="auto"/>
                    <w:bottom w:val="none" w:sz="0" w:space="0" w:color="auto"/>
                    <w:right w:val="none" w:sz="0" w:space="0" w:color="auto"/>
                  </w:divBdr>
                  <w:divsChild>
                    <w:div w:id="1471897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65850273">
      <w:bodyDiv w:val="1"/>
      <w:marLeft w:val="0"/>
      <w:marRight w:val="0"/>
      <w:marTop w:val="0"/>
      <w:marBottom w:val="0"/>
      <w:divBdr>
        <w:top w:val="none" w:sz="0" w:space="0" w:color="auto"/>
        <w:left w:val="none" w:sz="0" w:space="0" w:color="auto"/>
        <w:bottom w:val="none" w:sz="0" w:space="0" w:color="auto"/>
        <w:right w:val="none" w:sz="0" w:space="0" w:color="auto"/>
      </w:divBdr>
    </w:div>
    <w:div w:id="1936598658">
      <w:bodyDiv w:val="1"/>
      <w:marLeft w:val="0"/>
      <w:marRight w:val="0"/>
      <w:marTop w:val="0"/>
      <w:marBottom w:val="0"/>
      <w:divBdr>
        <w:top w:val="none" w:sz="0" w:space="0" w:color="auto"/>
        <w:left w:val="none" w:sz="0" w:space="0" w:color="auto"/>
        <w:bottom w:val="none" w:sz="0" w:space="0" w:color="auto"/>
        <w:right w:val="none" w:sz="0" w:space="0" w:color="auto"/>
      </w:divBdr>
    </w:div>
    <w:div w:id="2037610387">
      <w:bodyDiv w:val="1"/>
      <w:marLeft w:val="0"/>
      <w:marRight w:val="0"/>
      <w:marTop w:val="0"/>
      <w:marBottom w:val="0"/>
      <w:divBdr>
        <w:top w:val="none" w:sz="0" w:space="0" w:color="auto"/>
        <w:left w:val="none" w:sz="0" w:space="0" w:color="auto"/>
        <w:bottom w:val="none" w:sz="0" w:space="0" w:color="auto"/>
        <w:right w:val="none" w:sz="0" w:space="0" w:color="auto"/>
      </w:divBdr>
      <w:divsChild>
        <w:div w:id="581065144">
          <w:marLeft w:val="0"/>
          <w:marRight w:val="0"/>
          <w:marTop w:val="0"/>
          <w:marBottom w:val="0"/>
          <w:divBdr>
            <w:top w:val="none" w:sz="0" w:space="0" w:color="auto"/>
            <w:left w:val="none" w:sz="0" w:space="0" w:color="auto"/>
            <w:bottom w:val="none" w:sz="0" w:space="0" w:color="auto"/>
            <w:right w:val="none" w:sz="0" w:space="0" w:color="auto"/>
          </w:divBdr>
          <w:divsChild>
            <w:div w:id="130946067">
              <w:marLeft w:val="0"/>
              <w:marRight w:val="0"/>
              <w:marTop w:val="0"/>
              <w:marBottom w:val="0"/>
              <w:divBdr>
                <w:top w:val="none" w:sz="0" w:space="0" w:color="auto"/>
                <w:left w:val="none" w:sz="0" w:space="0" w:color="auto"/>
                <w:bottom w:val="none" w:sz="0" w:space="0" w:color="auto"/>
                <w:right w:val="none" w:sz="0" w:space="0" w:color="auto"/>
              </w:divBdr>
              <w:divsChild>
                <w:div w:id="1959339561">
                  <w:marLeft w:val="0"/>
                  <w:marRight w:val="0"/>
                  <w:marTop w:val="0"/>
                  <w:marBottom w:val="0"/>
                  <w:divBdr>
                    <w:top w:val="none" w:sz="0" w:space="0" w:color="auto"/>
                    <w:left w:val="none" w:sz="0" w:space="0" w:color="auto"/>
                    <w:bottom w:val="none" w:sz="0" w:space="0" w:color="auto"/>
                    <w:right w:val="none" w:sz="0" w:space="0" w:color="auto"/>
                  </w:divBdr>
                  <w:divsChild>
                    <w:div w:id="100222927">
                      <w:marLeft w:val="0"/>
                      <w:marRight w:val="0"/>
                      <w:marTop w:val="0"/>
                      <w:marBottom w:val="0"/>
                      <w:divBdr>
                        <w:top w:val="none" w:sz="0" w:space="0" w:color="auto"/>
                        <w:left w:val="none" w:sz="0" w:space="0" w:color="auto"/>
                        <w:bottom w:val="none" w:sz="0" w:space="0" w:color="auto"/>
                        <w:right w:val="none" w:sz="0" w:space="0" w:color="auto"/>
                      </w:divBdr>
                      <w:divsChild>
                        <w:div w:id="1116095341">
                          <w:marLeft w:val="0"/>
                          <w:marRight w:val="0"/>
                          <w:marTop w:val="0"/>
                          <w:marBottom w:val="0"/>
                          <w:divBdr>
                            <w:top w:val="none" w:sz="0" w:space="0" w:color="auto"/>
                            <w:left w:val="none" w:sz="0" w:space="0" w:color="auto"/>
                            <w:bottom w:val="none" w:sz="0" w:space="0" w:color="auto"/>
                            <w:right w:val="none" w:sz="0" w:space="0" w:color="auto"/>
                          </w:divBdr>
                        </w:div>
                        <w:div w:id="1744251854">
                          <w:marLeft w:val="0"/>
                          <w:marRight w:val="0"/>
                          <w:marTop w:val="0"/>
                          <w:marBottom w:val="0"/>
                          <w:divBdr>
                            <w:top w:val="none" w:sz="0" w:space="0" w:color="auto"/>
                            <w:left w:val="none" w:sz="0" w:space="0" w:color="auto"/>
                            <w:bottom w:val="none" w:sz="0" w:space="0" w:color="auto"/>
                            <w:right w:val="none" w:sz="0" w:space="0" w:color="auto"/>
                          </w:divBdr>
                          <w:divsChild>
                            <w:div w:id="57750165">
                              <w:marLeft w:val="0"/>
                              <w:marRight w:val="0"/>
                              <w:marTop w:val="0"/>
                              <w:marBottom w:val="0"/>
                              <w:divBdr>
                                <w:top w:val="none" w:sz="0" w:space="0" w:color="auto"/>
                                <w:left w:val="none" w:sz="0" w:space="0" w:color="auto"/>
                                <w:bottom w:val="none" w:sz="0" w:space="0" w:color="auto"/>
                                <w:right w:val="none" w:sz="0" w:space="0" w:color="auto"/>
                              </w:divBdr>
                              <w:divsChild>
                                <w:div w:id="1013916004">
                                  <w:marLeft w:val="0"/>
                                  <w:marRight w:val="0"/>
                                  <w:marTop w:val="0"/>
                                  <w:marBottom w:val="0"/>
                                  <w:divBdr>
                                    <w:top w:val="none" w:sz="0" w:space="0" w:color="auto"/>
                                    <w:left w:val="none" w:sz="0" w:space="0" w:color="auto"/>
                                    <w:bottom w:val="none" w:sz="0" w:space="0" w:color="auto"/>
                                    <w:right w:val="none" w:sz="0" w:space="0" w:color="auto"/>
                                  </w:divBdr>
                                </w:div>
                              </w:divsChild>
                            </w:div>
                            <w:div w:id="642467423">
                              <w:marLeft w:val="0"/>
                              <w:marRight w:val="0"/>
                              <w:marTop w:val="0"/>
                              <w:marBottom w:val="0"/>
                              <w:divBdr>
                                <w:top w:val="none" w:sz="0" w:space="0" w:color="auto"/>
                                <w:left w:val="none" w:sz="0" w:space="0" w:color="auto"/>
                                <w:bottom w:val="none" w:sz="0" w:space="0" w:color="auto"/>
                                <w:right w:val="none" w:sz="0" w:space="0" w:color="auto"/>
                              </w:divBdr>
                              <w:divsChild>
                                <w:div w:id="310256436">
                                  <w:marLeft w:val="0"/>
                                  <w:marRight w:val="0"/>
                                  <w:marTop w:val="0"/>
                                  <w:marBottom w:val="0"/>
                                  <w:divBdr>
                                    <w:top w:val="none" w:sz="0" w:space="0" w:color="auto"/>
                                    <w:left w:val="none" w:sz="0" w:space="0" w:color="auto"/>
                                    <w:bottom w:val="none" w:sz="0" w:space="0" w:color="auto"/>
                                    <w:right w:val="none" w:sz="0" w:space="0" w:color="auto"/>
                                  </w:divBdr>
                                </w:div>
                              </w:divsChild>
                            </w:div>
                            <w:div w:id="1213882761">
                              <w:marLeft w:val="0"/>
                              <w:marRight w:val="0"/>
                              <w:marTop w:val="0"/>
                              <w:marBottom w:val="0"/>
                              <w:divBdr>
                                <w:top w:val="none" w:sz="0" w:space="0" w:color="auto"/>
                                <w:left w:val="none" w:sz="0" w:space="0" w:color="auto"/>
                                <w:bottom w:val="none" w:sz="0" w:space="0" w:color="auto"/>
                                <w:right w:val="none" w:sz="0" w:space="0" w:color="auto"/>
                              </w:divBdr>
                              <w:divsChild>
                                <w:div w:id="1437171693">
                                  <w:marLeft w:val="0"/>
                                  <w:marRight w:val="0"/>
                                  <w:marTop w:val="0"/>
                                  <w:marBottom w:val="0"/>
                                  <w:divBdr>
                                    <w:top w:val="none" w:sz="0" w:space="0" w:color="auto"/>
                                    <w:left w:val="none" w:sz="0" w:space="0" w:color="auto"/>
                                    <w:bottom w:val="none" w:sz="0" w:space="0" w:color="auto"/>
                                    <w:right w:val="none" w:sz="0" w:space="0" w:color="auto"/>
                                  </w:divBdr>
                                </w:div>
                              </w:divsChild>
                            </w:div>
                            <w:div w:id="1854346013">
                              <w:marLeft w:val="0"/>
                              <w:marRight w:val="0"/>
                              <w:marTop w:val="0"/>
                              <w:marBottom w:val="0"/>
                              <w:divBdr>
                                <w:top w:val="none" w:sz="0" w:space="0" w:color="auto"/>
                                <w:left w:val="none" w:sz="0" w:space="0" w:color="auto"/>
                                <w:bottom w:val="none" w:sz="0" w:space="0" w:color="auto"/>
                                <w:right w:val="none" w:sz="0" w:space="0" w:color="auto"/>
                              </w:divBdr>
                              <w:divsChild>
                                <w:div w:id="336924359">
                                  <w:marLeft w:val="0"/>
                                  <w:marRight w:val="0"/>
                                  <w:marTop w:val="0"/>
                                  <w:marBottom w:val="0"/>
                                  <w:divBdr>
                                    <w:top w:val="none" w:sz="0" w:space="0" w:color="auto"/>
                                    <w:left w:val="none" w:sz="0" w:space="0" w:color="auto"/>
                                    <w:bottom w:val="none" w:sz="0" w:space="0" w:color="auto"/>
                                    <w:right w:val="none" w:sz="0" w:space="0" w:color="auto"/>
                                  </w:divBdr>
                                </w:div>
                              </w:divsChild>
                            </w:div>
                            <w:div w:id="1987542912">
                              <w:marLeft w:val="0"/>
                              <w:marRight w:val="0"/>
                              <w:marTop w:val="0"/>
                              <w:marBottom w:val="0"/>
                              <w:divBdr>
                                <w:top w:val="none" w:sz="0" w:space="0" w:color="auto"/>
                                <w:left w:val="none" w:sz="0" w:space="0" w:color="auto"/>
                                <w:bottom w:val="none" w:sz="0" w:space="0" w:color="auto"/>
                                <w:right w:val="none" w:sz="0" w:space="0" w:color="auto"/>
                              </w:divBdr>
                              <w:divsChild>
                                <w:div w:id="249510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78892112">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FACC064-80CB-4D00-9D7F-2621E44436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19</Pages>
  <Words>19710</Words>
  <Characters>112350</Characters>
  <Application>Microsoft Office Word</Application>
  <DocSecurity>0</DocSecurity>
  <Lines>936</Lines>
  <Paragraphs>263</Paragraphs>
  <ScaleCrop>false</ScaleCrop>
  <HeadingPairs>
    <vt:vector size="2" baseType="variant">
      <vt:variant>
        <vt:lpstr>Title</vt:lpstr>
      </vt:variant>
      <vt:variant>
        <vt:i4>1</vt:i4>
      </vt:variant>
    </vt:vector>
  </HeadingPairs>
  <TitlesOfParts>
    <vt:vector size="1" baseType="lpstr">
      <vt:lpstr/>
    </vt:vector>
  </TitlesOfParts>
  <Company>University of Aberdeen</Company>
  <LinksUpToDate>false</LinksUpToDate>
  <CharactersWithSpaces>131797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Emerson, Philip</dc:creator>
  <cp:keywords/>
  <cp:lastModifiedBy>Phil Emerson</cp:lastModifiedBy>
  <cp:revision>4</cp:revision>
  <dcterms:created xsi:type="dcterms:W3CDTF">2017-04-25T09:46:00Z</dcterms:created>
  <dcterms:modified xsi:type="dcterms:W3CDTF">2017-04-25T22:54:00Z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Citation Style_1">
    <vt:lpwstr>http://www.zotero.org/styles/biomed-central</vt:lpwstr>
  </property>
  <property fmtid="{D5CDD505-2E9C-101B-9397-08002B2CF9AE}" pid="4" name="Mendeley Recent Style Id 0_1">
    <vt:lpwstr>http://www.zotero.org/styles/american-medical-association</vt:lpwstr>
  </property>
  <property fmtid="{D5CDD505-2E9C-101B-9397-08002B2CF9AE}" pid="5" name="Mendeley Recent Style Name 0_1">
    <vt:lpwstr>American Medical Association</vt:lpwstr>
  </property>
  <property fmtid="{D5CDD505-2E9C-101B-9397-08002B2CF9AE}" pid="6" name="Mendeley Recent Style Id 1_1">
    <vt:lpwstr>http://www.zotero.org/styles/american-political-science-association</vt:lpwstr>
  </property>
  <property fmtid="{D5CDD505-2E9C-101B-9397-08002B2CF9AE}" pid="7" name="Mendeley Recent Style Name 1_1">
    <vt:lpwstr>American Political Science Association</vt:lpwstr>
  </property>
  <property fmtid="{D5CDD505-2E9C-101B-9397-08002B2CF9AE}" pid="8" name="Mendeley Recent Style Id 2_1">
    <vt:lpwstr>http://www.zotero.org/styles/apa</vt:lpwstr>
  </property>
  <property fmtid="{D5CDD505-2E9C-101B-9397-08002B2CF9AE}" pid="9" name="Mendeley Recent Style Name 2_1">
    <vt:lpwstr>American Psychological Association 6th edition</vt:lpwstr>
  </property>
  <property fmtid="{D5CDD505-2E9C-101B-9397-08002B2CF9AE}" pid="10" name="Mendeley Recent Style Id 3_1">
    <vt:lpwstr>http://www.zotero.org/styles/american-sociological-association</vt:lpwstr>
  </property>
  <property fmtid="{D5CDD505-2E9C-101B-9397-08002B2CF9AE}" pid="11" name="Mendeley Recent Style Name 3_1">
    <vt:lpwstr>American Sociological Association</vt:lpwstr>
  </property>
  <property fmtid="{D5CDD505-2E9C-101B-9397-08002B2CF9AE}" pid="12" name="Mendeley Recent Style Id 4_1">
    <vt:lpwstr>http://www.zotero.org/styles/biomed-central</vt:lpwstr>
  </property>
  <property fmtid="{D5CDD505-2E9C-101B-9397-08002B2CF9AE}" pid="13" name="Mendeley Recent Style Name 4_1">
    <vt:lpwstr>BioMed Central</vt:lpwstr>
  </property>
  <property fmtid="{D5CDD505-2E9C-101B-9397-08002B2CF9AE}" pid="14" name="Mendeley Recent Style Id 5_1">
    <vt:lpwstr>http://www.zotero.org/styles/chicago-author-date</vt:lpwstr>
  </property>
  <property fmtid="{D5CDD505-2E9C-101B-9397-08002B2CF9AE}" pid="15" name="Mendeley Recent Style Name 5_1">
    <vt:lpwstr>Chicago Manual of Style 16th edition (author-date)</vt:lpwstr>
  </property>
  <property fmtid="{D5CDD505-2E9C-101B-9397-08002B2CF9AE}" pid="16" name="Mendeley Recent Style Id 6_1">
    <vt:lpwstr>http://www.zotero.org/styles/harvard1</vt:lpwstr>
  </property>
  <property fmtid="{D5CDD505-2E9C-101B-9397-08002B2CF9AE}" pid="17" name="Mendeley Recent Style Name 6_1">
    <vt:lpwstr>Harvard Reference format 1 (author-date)</vt:lpwstr>
  </property>
  <property fmtid="{D5CDD505-2E9C-101B-9397-08002B2CF9AE}" pid="18" name="Mendeley Recent Style Id 7_1">
    <vt:lpwstr>http://www.zotero.org/styles/ieee</vt:lpwstr>
  </property>
  <property fmtid="{D5CDD505-2E9C-101B-9397-08002B2CF9AE}" pid="19" name="Mendeley Recent Style Name 7_1">
    <vt:lpwstr>IEEE</vt:lpwstr>
  </property>
  <property fmtid="{D5CDD505-2E9C-101B-9397-08002B2CF9AE}" pid="20" name="Mendeley Recent Style Id 8_1">
    <vt:lpwstr>http://www.zotero.org/styles/modern-humanities-research-association</vt:lpwstr>
  </property>
  <property fmtid="{D5CDD505-2E9C-101B-9397-08002B2CF9AE}" pid="21" name="Mendeley Recent Style Name 8_1">
    <vt:lpwstr>Modern Humanities Research Association 3rd edition (note with bibliography)</vt:lpwstr>
  </property>
  <property fmtid="{D5CDD505-2E9C-101B-9397-08002B2CF9AE}" pid="22" name="Mendeley Recent Style Id 9_1">
    <vt:lpwstr>http://www.zotero.org/styles/modern-language-association</vt:lpwstr>
  </property>
  <property fmtid="{D5CDD505-2E9C-101B-9397-08002B2CF9AE}" pid="23" name="Mendeley Recent Style Name 9_1">
    <vt:lpwstr>Modern Language Association 7th edition</vt:lpwstr>
  </property>
  <property fmtid="{D5CDD505-2E9C-101B-9397-08002B2CF9AE}" pid="24" name="Mendeley Unique User Id_1">
    <vt:lpwstr>e01284e1-19f3-3a9d-858d-74c4bbe1c8ae</vt:lpwstr>
  </property>
</Properties>
</file>