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62B6" w:rsidRPr="00E562B6" w:rsidRDefault="00E562B6" w:rsidP="00E562B6">
      <w:pPr>
        <w:pStyle w:val="Caption"/>
        <w:keepNext/>
        <w:spacing w:line="480" w:lineRule="auto"/>
        <w:rPr>
          <w:b w:val="0"/>
          <w:sz w:val="24"/>
          <w:szCs w:val="24"/>
        </w:rPr>
      </w:pPr>
      <w:bookmarkStart w:id="0" w:name="_GoBack"/>
      <w:bookmarkEnd w:id="0"/>
    </w:p>
    <w:p w:rsidR="00E562B6" w:rsidRPr="00E562B6" w:rsidRDefault="00E562B6" w:rsidP="00E562B6">
      <w:pPr>
        <w:pStyle w:val="Caption"/>
        <w:keepNext/>
        <w:spacing w:line="480" w:lineRule="auto"/>
        <w:rPr>
          <w:b w:val="0"/>
          <w:sz w:val="24"/>
          <w:szCs w:val="24"/>
        </w:rPr>
      </w:pPr>
      <w:r w:rsidRPr="00E562B6">
        <w:rPr>
          <w:b w:val="0"/>
          <w:sz w:val="24"/>
          <w:szCs w:val="24"/>
        </w:rPr>
        <w:t xml:space="preserve">Supplementary File S1 Genes and primers used in the </w:t>
      </w:r>
      <w:proofErr w:type="spellStart"/>
      <w:r w:rsidRPr="00E562B6">
        <w:rPr>
          <w:b w:val="0"/>
          <w:sz w:val="24"/>
          <w:szCs w:val="24"/>
        </w:rPr>
        <w:t>GeXP</w:t>
      </w:r>
      <w:proofErr w:type="spellEnd"/>
      <w:r w:rsidRPr="00E562B6">
        <w:rPr>
          <w:b w:val="0"/>
          <w:sz w:val="24"/>
          <w:szCs w:val="24"/>
        </w:rPr>
        <w:t xml:space="preserve"> </w:t>
      </w:r>
      <w:proofErr w:type="spellStart"/>
      <w:r w:rsidRPr="00E562B6">
        <w:rPr>
          <w:b w:val="0"/>
          <w:sz w:val="24"/>
          <w:szCs w:val="24"/>
        </w:rPr>
        <w:t>hSIRTNADPlex</w:t>
      </w:r>
      <w:proofErr w:type="spellEnd"/>
      <w:r w:rsidRPr="00E562B6">
        <w:rPr>
          <w:b w:val="0"/>
          <w:sz w:val="24"/>
          <w:szCs w:val="24"/>
        </w:rPr>
        <w:t xml:space="preserve"> multiplex assay </w:t>
      </w:r>
    </w:p>
    <w:p w:rsidR="00E562B6" w:rsidRPr="00E562B6" w:rsidRDefault="00E562B6" w:rsidP="00E562B6">
      <w:pPr>
        <w:pStyle w:val="BodyText2"/>
        <w:spacing w:line="480" w:lineRule="auto"/>
        <w:jc w:val="both"/>
      </w:pPr>
      <w:r w:rsidRPr="00E562B6">
        <w:t xml:space="preserve">Supplementary File S2 - Design and optimisation of the </w:t>
      </w:r>
      <w:proofErr w:type="spellStart"/>
      <w:r w:rsidRPr="00E562B6">
        <w:t>hSIRTNADplex</w:t>
      </w:r>
      <w:proofErr w:type="spellEnd"/>
    </w:p>
    <w:p w:rsidR="00E562B6" w:rsidRPr="00E562B6" w:rsidRDefault="00E562B6" w:rsidP="00E562B6">
      <w:pPr>
        <w:pStyle w:val="Caption"/>
        <w:keepNext/>
        <w:spacing w:line="480" w:lineRule="auto"/>
        <w:rPr>
          <w:b w:val="0"/>
          <w:sz w:val="24"/>
          <w:szCs w:val="24"/>
        </w:rPr>
      </w:pPr>
      <w:r w:rsidRPr="00E562B6">
        <w:rPr>
          <w:b w:val="0"/>
          <w:sz w:val="24"/>
          <w:szCs w:val="24"/>
        </w:rPr>
        <w:t xml:space="preserve">Supplementary File S3 – Inter-individual responses to SIT and interactions with the </w:t>
      </w:r>
      <w:proofErr w:type="spellStart"/>
      <w:r w:rsidRPr="00E562B6">
        <w:rPr>
          <w:b w:val="0"/>
          <w:sz w:val="24"/>
          <w:szCs w:val="24"/>
        </w:rPr>
        <w:t>sirtuin</w:t>
      </w:r>
      <w:proofErr w:type="spellEnd"/>
      <w:r w:rsidRPr="00E562B6">
        <w:rPr>
          <w:b w:val="0"/>
          <w:sz w:val="24"/>
          <w:szCs w:val="24"/>
        </w:rPr>
        <w:t>/NAD system</w:t>
      </w:r>
    </w:p>
    <w:p w:rsidR="00E562B6" w:rsidRDefault="00E562B6">
      <w:pPr>
        <w:spacing w:after="200" w:line="276" w:lineRule="auto"/>
        <w:rPr>
          <w:b/>
          <w:bCs/>
          <w:lang w:eastAsia="en-GB"/>
        </w:rPr>
      </w:pPr>
      <w:r>
        <w:br w:type="page"/>
      </w:r>
    </w:p>
    <w:p w:rsidR="00D67D38" w:rsidRPr="00D67D38" w:rsidRDefault="00D67D38" w:rsidP="00D67D38">
      <w:pPr>
        <w:pStyle w:val="Caption"/>
        <w:keepNext/>
        <w:spacing w:line="480" w:lineRule="auto"/>
        <w:rPr>
          <w:sz w:val="24"/>
          <w:szCs w:val="24"/>
        </w:rPr>
      </w:pPr>
      <w:r w:rsidRPr="00D67D38">
        <w:rPr>
          <w:sz w:val="24"/>
          <w:szCs w:val="24"/>
        </w:rPr>
        <w:lastRenderedPageBreak/>
        <w:t xml:space="preserve">Supplementary File S1 Genes and primers used in the </w:t>
      </w:r>
      <w:proofErr w:type="spellStart"/>
      <w:r w:rsidRPr="00D67D38">
        <w:rPr>
          <w:sz w:val="24"/>
          <w:szCs w:val="24"/>
        </w:rPr>
        <w:t>GeXP</w:t>
      </w:r>
      <w:proofErr w:type="spellEnd"/>
      <w:r w:rsidRPr="00D67D38">
        <w:rPr>
          <w:sz w:val="24"/>
          <w:szCs w:val="24"/>
        </w:rPr>
        <w:t xml:space="preserve"> </w:t>
      </w:r>
      <w:proofErr w:type="spellStart"/>
      <w:r w:rsidRPr="00D67D38">
        <w:rPr>
          <w:sz w:val="24"/>
          <w:szCs w:val="24"/>
        </w:rPr>
        <w:t>hSIRTNADPlex</w:t>
      </w:r>
      <w:proofErr w:type="spellEnd"/>
      <w:r w:rsidRPr="00D67D38">
        <w:rPr>
          <w:sz w:val="24"/>
          <w:szCs w:val="24"/>
        </w:rPr>
        <w:t xml:space="preserve"> multiplex assay </w:t>
      </w:r>
    </w:p>
    <w:p w:rsidR="001B55E1" w:rsidRPr="00793CD4" w:rsidRDefault="00793CD4" w:rsidP="001B55E1">
      <w:pPr>
        <w:rPr>
          <w:rFonts w:ascii="Calibri" w:hAnsi="Calibri"/>
          <w:sz w:val="20"/>
          <w:szCs w:val="20"/>
        </w:rPr>
      </w:pPr>
      <w:r>
        <w:rPr>
          <w:sz w:val="20"/>
          <w:szCs w:val="20"/>
        </w:rPr>
        <w:t xml:space="preserve">Gene Symbol       </w:t>
      </w:r>
      <w:r w:rsidR="005E3802" w:rsidRPr="00C07D9F">
        <w:rPr>
          <w:sz w:val="20"/>
          <w:szCs w:val="20"/>
        </w:rPr>
        <w:t>Gene ref sequence</w:t>
      </w:r>
      <w:r w:rsidR="001B55E1" w:rsidRPr="007A7E82">
        <w:rPr>
          <w:rFonts w:ascii="Calibri" w:hAnsi="Calibri"/>
          <w:sz w:val="20"/>
          <w:szCs w:val="20"/>
        </w:rPr>
        <w:t xml:space="preserve">       </w:t>
      </w:r>
      <w:r w:rsidR="001B55E1" w:rsidRPr="007A7E82">
        <w:rPr>
          <w:sz w:val="20"/>
          <w:szCs w:val="20"/>
        </w:rPr>
        <w:t xml:space="preserve">Left primer sequence                            </w:t>
      </w:r>
      <w:r>
        <w:rPr>
          <w:sz w:val="20"/>
          <w:szCs w:val="20"/>
        </w:rPr>
        <w:t xml:space="preserve">                      </w:t>
      </w:r>
      <w:r w:rsidR="001B55E1" w:rsidRPr="007A7E82">
        <w:rPr>
          <w:sz w:val="20"/>
          <w:szCs w:val="20"/>
        </w:rPr>
        <w:t>Right primer sequence</w:t>
      </w:r>
      <w:r w:rsidR="00F45F02">
        <w:rPr>
          <w:sz w:val="20"/>
          <w:szCs w:val="20"/>
        </w:rPr>
        <w:tab/>
        <w:t xml:space="preserve">          </w:t>
      </w:r>
      <w:r w:rsidR="001B55E1">
        <w:rPr>
          <w:sz w:val="20"/>
          <w:szCs w:val="20"/>
        </w:rPr>
        <w:t xml:space="preserve"> </w:t>
      </w:r>
      <w:r w:rsidR="005E3802">
        <w:rPr>
          <w:sz w:val="20"/>
          <w:szCs w:val="20"/>
        </w:rPr>
        <w:tab/>
      </w:r>
      <w:r w:rsidR="00557096">
        <w:rPr>
          <w:sz w:val="20"/>
          <w:szCs w:val="20"/>
        </w:rPr>
        <w:t xml:space="preserve"> </w:t>
      </w:r>
      <w:r w:rsidR="001B55E1" w:rsidRPr="007A7E82">
        <w:rPr>
          <w:sz w:val="20"/>
          <w:szCs w:val="20"/>
        </w:rPr>
        <w:t xml:space="preserve">Product size    </w:t>
      </w:r>
      <w:r w:rsidR="001B55E1">
        <w:rPr>
          <w:sz w:val="20"/>
          <w:szCs w:val="20"/>
        </w:rPr>
        <w:t xml:space="preserve">  </w:t>
      </w:r>
      <w:r w:rsidR="00F45F02">
        <w:rPr>
          <w:sz w:val="20"/>
          <w:szCs w:val="20"/>
        </w:rPr>
        <w:t xml:space="preserve">   </w:t>
      </w:r>
      <w:r w:rsidR="001B55E1" w:rsidRPr="007A7E82">
        <w:rPr>
          <w:sz w:val="20"/>
          <w:szCs w:val="20"/>
        </w:rPr>
        <w:t>Reverse primer</w:t>
      </w:r>
    </w:p>
    <w:p w:rsidR="001B55E1" w:rsidRPr="007A7E82" w:rsidRDefault="001B55E1" w:rsidP="005E3802">
      <w:pPr>
        <w:ind w:left="9360" w:firstLine="720"/>
        <w:rPr>
          <w:sz w:val="20"/>
          <w:szCs w:val="20"/>
        </w:rPr>
      </w:pPr>
      <w:proofErr w:type="gramStart"/>
      <w:r w:rsidRPr="007A7E82">
        <w:rPr>
          <w:sz w:val="20"/>
          <w:szCs w:val="20"/>
        </w:rPr>
        <w:t>with</w:t>
      </w:r>
      <w:proofErr w:type="gramEnd"/>
      <w:r w:rsidRPr="007A7E82">
        <w:rPr>
          <w:sz w:val="20"/>
          <w:szCs w:val="20"/>
        </w:rPr>
        <w:t xml:space="preserve"> universals  </w:t>
      </w:r>
      <w:r w:rsidR="005E3802">
        <w:rPr>
          <w:sz w:val="20"/>
          <w:szCs w:val="20"/>
        </w:rPr>
        <w:tab/>
      </w:r>
      <w:r w:rsidR="00557096">
        <w:rPr>
          <w:sz w:val="20"/>
          <w:szCs w:val="20"/>
        </w:rPr>
        <w:t xml:space="preserve">  </w:t>
      </w:r>
      <w:r w:rsidRPr="007A7E82">
        <w:rPr>
          <w:sz w:val="20"/>
          <w:szCs w:val="20"/>
        </w:rPr>
        <w:t>concentration</w:t>
      </w:r>
    </w:p>
    <w:p w:rsidR="001B55E1" w:rsidRPr="007A7E82" w:rsidRDefault="001B55E1" w:rsidP="001B55E1">
      <w:pPr>
        <w:rPr>
          <w:rFonts w:ascii="Calibri" w:hAnsi="Calibri"/>
          <w:sz w:val="20"/>
          <w:szCs w:val="20"/>
        </w:rPr>
      </w:pPr>
      <w:r w:rsidRPr="007A7E82">
        <w:rPr>
          <w:sz w:val="20"/>
          <w:szCs w:val="20"/>
        </w:rPr>
        <w:t xml:space="preserve">                                                                                                                                                                                                                     </w:t>
      </w:r>
      <w:r>
        <w:rPr>
          <w:sz w:val="20"/>
          <w:szCs w:val="20"/>
        </w:rPr>
        <w:t xml:space="preserve">   </w:t>
      </w:r>
      <w:r w:rsidR="005E3802">
        <w:rPr>
          <w:sz w:val="20"/>
          <w:szCs w:val="20"/>
        </w:rPr>
        <w:tab/>
      </w:r>
      <w:r w:rsidR="00557096">
        <w:rPr>
          <w:sz w:val="20"/>
          <w:szCs w:val="20"/>
        </w:rPr>
        <w:t xml:space="preserve">       </w:t>
      </w:r>
      <w:r w:rsidRPr="007A7E82">
        <w:rPr>
          <w:sz w:val="20"/>
          <w:szCs w:val="20"/>
        </w:rPr>
        <w:t xml:space="preserve"> (</w:t>
      </w:r>
      <w:proofErr w:type="spellStart"/>
      <w:proofErr w:type="gramStart"/>
      <w:r w:rsidRPr="007A7E82">
        <w:rPr>
          <w:sz w:val="20"/>
          <w:szCs w:val="20"/>
        </w:rPr>
        <w:t>nM</w:t>
      </w:r>
      <w:proofErr w:type="spellEnd"/>
      <w:proofErr w:type="gramEnd"/>
      <w:r w:rsidRPr="007A7E82">
        <w:rPr>
          <w:sz w:val="20"/>
          <w:szCs w:val="20"/>
        </w:rPr>
        <w:t>)</w:t>
      </w:r>
    </w:p>
    <w:p w:rsidR="001B55E1" w:rsidRPr="007A7E82" w:rsidRDefault="001B55E1" w:rsidP="001B55E1">
      <w:pPr>
        <w:rPr>
          <w:sz w:val="20"/>
          <w:szCs w:val="20"/>
        </w:rPr>
      </w:pPr>
      <w:r>
        <w:rPr>
          <w:noProof/>
          <w:sz w:val="20"/>
          <w:szCs w:val="20"/>
          <w:lang w:eastAsia="en-GB"/>
        </w:rPr>
        <mc:AlternateContent>
          <mc:Choice Requires="wps">
            <w:drawing>
              <wp:anchor distT="0" distB="0" distL="114300" distR="114300" simplePos="0" relativeHeight="251659264" behindDoc="0" locked="0" layoutInCell="1" allowOverlap="1" wp14:anchorId="008FB7EB" wp14:editId="248F71FD">
                <wp:simplePos x="0" y="0"/>
                <wp:positionH relativeFrom="column">
                  <wp:posOffset>19050</wp:posOffset>
                </wp:positionH>
                <wp:positionV relativeFrom="paragraph">
                  <wp:posOffset>93980</wp:posOffset>
                </wp:positionV>
                <wp:extent cx="8763000" cy="0"/>
                <wp:effectExtent l="9525" t="8255" r="9525" b="10795"/>
                <wp:wrapNone/>
                <wp:docPr id="7"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63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0B2AB38" id="_x0000_t32" coordsize="21600,21600" o:spt="32" o:oned="t" path="m,l21600,21600e" filled="f">
                <v:path arrowok="t" fillok="f" o:connecttype="none"/>
                <o:lock v:ext="edit" shapetype="t"/>
              </v:shapetype>
              <v:shape id="AutoShape 9" o:spid="_x0000_s1026" type="#_x0000_t32" style="position:absolute;margin-left:1.5pt;margin-top:7.4pt;width:690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"/>
            </w:pict>
          </mc:Fallback>
        </mc:AlternateContent>
      </w:r>
    </w:p>
    <w:tbl>
      <w:tblPr>
        <w:tblW w:w="12827" w:type="dxa"/>
        <w:tblInd w:w="93" w:type="dxa"/>
        <w:tblLook w:val="04A0" w:firstRow="1" w:lastRow="0" w:firstColumn="1" w:lastColumn="0" w:noHBand="0" w:noVBand="1"/>
      </w:tblPr>
      <w:tblGrid>
        <w:gridCol w:w="13143"/>
      </w:tblGrid>
      <w:tr w:rsidR="00725CAB" w:rsidRPr="00725CAB" w:rsidTr="00793CD4">
        <w:trPr>
          <w:trHeight w:val="255"/>
        </w:trPr>
        <w:tc>
          <w:tcPr>
            <w:tcW w:w="12827" w:type="dxa"/>
            <w:shd w:val="clear" w:color="auto" w:fill="auto"/>
            <w:noWrap/>
            <w:vAlign w:val="bottom"/>
          </w:tcPr>
          <w:tbl>
            <w:tblPr>
              <w:tblW w:w="12927" w:type="dxa"/>
              <w:tblLook w:val="04A0" w:firstRow="1" w:lastRow="0" w:firstColumn="1" w:lastColumn="0" w:noHBand="0" w:noVBand="1"/>
            </w:tblPr>
            <w:tblGrid>
              <w:gridCol w:w="1325"/>
              <w:gridCol w:w="1701"/>
              <w:gridCol w:w="4272"/>
              <w:gridCol w:w="2938"/>
              <w:gridCol w:w="161"/>
              <w:gridCol w:w="850"/>
              <w:gridCol w:w="1276"/>
              <w:gridCol w:w="404"/>
            </w:tblGrid>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HIC1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CCDS42230</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CGTGCGACAAGAGCTACAAG</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AACTTCTTCCCGCAGATGG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137</w:t>
                  </w:r>
                  <w:r>
                    <w:rPr>
                      <w:rFonts w:ascii="Arial" w:hAnsi="Arial" w:cs="Arial"/>
                      <w:sz w:val="20"/>
                      <w:szCs w:val="20"/>
                      <w:lang w:eastAsia="en-GB"/>
                    </w:rPr>
                    <w:t xml:space="preserve"> </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SIRT7</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CCDS11792</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TGTCTCAGAACTGTGACGGG</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GGAACGCAGGAGGTACAGAC</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143</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SIRT4</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CCDS9194</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AGGTCAGAAAAAGTGGGGCT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CTACGAAGTTTCTCGCCCAG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149</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CD38</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CCDS3417</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GCCAAAGTGTATGGGATGCT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TTGTTGCAAGGTACGGTCTG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155</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15.60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NMRK2</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CCDS12115</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CGCAACTACACAGTCCCTGA</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ACTTCATGCCGTCCAGGTAG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161</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2D7291" w:rsidRDefault="000343F7" w:rsidP="00793CD4">
                  <w:pPr>
                    <w:rPr>
                      <w:rFonts w:ascii="Arial" w:hAnsi="Arial" w:cs="Arial"/>
                      <w:b/>
                      <w:sz w:val="20"/>
                      <w:szCs w:val="20"/>
                      <w:lang w:eastAsia="en-GB"/>
                    </w:rPr>
                  </w:pPr>
                  <w:r w:rsidRPr="002D7291">
                    <w:rPr>
                      <w:rFonts w:ascii="Arial" w:hAnsi="Arial" w:cs="Arial"/>
                      <w:b/>
                      <w:sz w:val="20"/>
                      <w:szCs w:val="20"/>
                      <w:lang w:eastAsia="en-GB"/>
                    </w:rPr>
                    <w:t>UBE2D2</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NM_181838</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CAGCACAGTGTTCAGCAGGT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TGAAGGGGTAATCTGTTGGG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172</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1.90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NMRK1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CCDS6650</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ACCTCCCAAATTGCAGTGTC</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AGCAGGAAATGGCTGACATC</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178</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NMNAT3</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CCDS3111</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AGAAGTTTGGCTTGGTGTGC</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GCCTGATGTATGTGGCACTG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184</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NMNAT2</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CCDS1354</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GTGGAGCGTTTCACCTTTGT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CACCTCCATATCTGCCTCGT</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190</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1500.00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PNP</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CCDS9552</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GTGAGCTACAGGAAGGCACC</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AGCCAAAGACTCGAAGTCCA</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196</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31.25</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SIRT5</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CCDS4527</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CAGGAAAAGGTGCTCCAGAA</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CGAGCTCTCTGTCAACCTCC</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202</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PSMB6</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D29102</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GAACAACCACTGGGTCCTAC</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ACCAGTGGAGGCTCATTCAG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209</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NADSYN1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CCDS8201</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GGAAGCCACCACATCAGTCT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GAGCAAACAGATAGGCGAGG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215</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31.25</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NMNAT1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CCDS108</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GGGTCATCATGGCAGAACTT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CTCTTCCTTCCAGGCCTTTC</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221</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SIRT6</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CCDS12122</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CCAAGTTCGACACCACCTTT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TTGGCACATTCTTCCACAAA</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227</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PPIB</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NM_000942</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CGTCTTCTTCCTGCTGCTG</w:t>
                  </w:r>
                </w:p>
              </w:tc>
              <w:tc>
                <w:tcPr>
                  <w:tcW w:w="2938" w:type="dxa"/>
                  <w:tcBorders>
                    <w:top w:val="nil"/>
                    <w:left w:val="nil"/>
                    <w:bottom w:val="nil"/>
                    <w:right w:val="nil"/>
                  </w:tcBorders>
                  <w:shd w:val="clear" w:color="auto" w:fill="auto"/>
                  <w:noWrap/>
                  <w:vAlign w:val="bottom"/>
                  <w:hideMark/>
                </w:tcPr>
                <w:p w:rsidR="000343F7" w:rsidRPr="00793CD4" w:rsidRDefault="000343F7" w:rsidP="00793CD4">
                  <w:pPr>
                    <w:jc w:val="both"/>
                    <w:rPr>
                      <w:rFonts w:ascii="Arial" w:hAnsi="Arial" w:cs="Arial"/>
                      <w:sz w:val="20"/>
                      <w:szCs w:val="20"/>
                      <w:lang w:eastAsia="en-GB"/>
                    </w:rPr>
                  </w:pPr>
                  <w:r>
                    <w:rPr>
                      <w:rFonts w:ascii="Arial" w:hAnsi="Arial" w:cs="Arial"/>
                      <w:sz w:val="20"/>
                      <w:szCs w:val="20"/>
                      <w:lang w:eastAsia="en-GB"/>
                    </w:rPr>
                    <w:t>GCCAAATCCTTTCTCTCCTG</w:t>
                  </w:r>
                </w:p>
              </w:tc>
              <w:tc>
                <w:tcPr>
                  <w:tcW w:w="1011" w:type="dxa"/>
                  <w:gridSpan w:val="2"/>
                  <w:tcBorders>
                    <w:top w:val="nil"/>
                    <w:left w:val="nil"/>
                    <w:bottom w:val="nil"/>
                    <w:right w:val="nil"/>
                  </w:tcBorders>
                  <w:shd w:val="clear" w:color="auto" w:fill="auto"/>
                  <w:noWrap/>
                  <w:vAlign w:val="bottom"/>
                </w:tcPr>
                <w:p w:rsidR="000343F7" w:rsidRPr="00793CD4" w:rsidRDefault="000343F7" w:rsidP="00793CD4">
                  <w:pPr>
                    <w:rPr>
                      <w:rFonts w:ascii="Arial" w:hAnsi="Arial" w:cs="Arial"/>
                      <w:sz w:val="20"/>
                      <w:szCs w:val="20"/>
                      <w:lang w:eastAsia="en-GB"/>
                    </w:rPr>
                  </w:pPr>
                  <w:r>
                    <w:rPr>
                      <w:rFonts w:ascii="Arial" w:hAnsi="Arial" w:cs="Arial"/>
                      <w:sz w:val="20"/>
                      <w:szCs w:val="20"/>
                      <w:lang w:eastAsia="en-GB"/>
                    </w:rPr>
                    <w:t xml:space="preserve">   236            </w:t>
                  </w:r>
                </w:p>
              </w:tc>
              <w:tc>
                <w:tcPr>
                  <w:tcW w:w="1680" w:type="dxa"/>
                  <w:gridSpan w:val="2"/>
                  <w:tcBorders>
                    <w:top w:val="nil"/>
                    <w:left w:val="nil"/>
                    <w:bottom w:val="nil"/>
                    <w:right w:val="nil"/>
                  </w:tcBorders>
                  <w:shd w:val="clear" w:color="auto" w:fill="auto"/>
                  <w:noWrap/>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15.60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SIRT1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NM_012238</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GGATTTGGGACTGATGGAGA</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CACCTTTCTGGTTTCCTTGC</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245</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31.25</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TDO2</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CCDS34086</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GGCAGCGAAGAAGACAAATC</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CAGAATCCAACTCCCAGAGG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251</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1500.00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SIRT2</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CCDS12523</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TCGCAGAGTCATCTGTTTGG</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GTGACAGATGGTTGGCTTGA</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257</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QPRT</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CCDS10651</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ACTTCAAGCCAGAGGAGCTG</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TAGTGGATTTTGGGCACTGG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263</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1500.00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NAPRT1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CCDS6403</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TCGTCACTTCCTTTTCAGGC</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ACGCTGTAGGTGTCCAGGAG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269</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ABCA1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CCDS6762</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CATCAAGGGCATCGTGTATG</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GAAGCACTGCAGGATTGTCA</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275</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SIRT3</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CCDS7691</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AGAACATCGATGGGCTTGAG</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AAATCAACCACATGCAGCAA</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281</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NAMPT</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CCDS5737</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GGCCTTGGGATTAACGTCTT</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GATGTGCTGCTTCCAGTTCA</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287</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7.80</w:t>
                  </w:r>
                </w:p>
              </w:tc>
            </w:tr>
            <w:tr w:rsidR="000343F7" w:rsidRPr="00793CD4" w:rsidTr="000343F7">
              <w:trPr>
                <w:gridAfter w:val="1"/>
                <w:wAfter w:w="404"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PARP1</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CCDS1554</w:t>
                  </w: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ACAGGACCGTATATTCCCCC</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TTTCCACCTCCTTTTTGGTG</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sz w:val="20"/>
                      <w:szCs w:val="20"/>
                      <w:lang w:eastAsia="en-GB"/>
                    </w:rPr>
                  </w:pPr>
                  <w:r w:rsidRPr="00793CD4">
                    <w:rPr>
                      <w:rFonts w:ascii="Arial" w:hAnsi="Arial" w:cs="Arial"/>
                      <w:sz w:val="20"/>
                      <w:szCs w:val="20"/>
                      <w:lang w:eastAsia="en-GB"/>
                    </w:rPr>
                    <w:t>294</w:t>
                  </w:r>
                </w:p>
              </w:tc>
              <w:tc>
                <w:tcPr>
                  <w:tcW w:w="1276" w:type="dxa"/>
                  <w:vAlign w:val="bottom"/>
                </w:tcPr>
                <w:p w:rsidR="000343F7" w:rsidRDefault="000343F7" w:rsidP="000343F7">
                  <w:pPr>
                    <w:ind w:left="314" w:right="-566" w:firstLine="4"/>
                    <w:jc w:val="both"/>
                    <w:rPr>
                      <w:rFonts w:ascii="Arial" w:hAnsi="Arial" w:cs="Arial"/>
                      <w:color w:val="000000"/>
                      <w:sz w:val="20"/>
                      <w:szCs w:val="20"/>
                    </w:rPr>
                  </w:pPr>
                  <w:r>
                    <w:rPr>
                      <w:rFonts w:ascii="Arial" w:hAnsi="Arial" w:cs="Arial"/>
                      <w:color w:val="000000"/>
                      <w:sz w:val="20"/>
                      <w:szCs w:val="20"/>
                    </w:rPr>
                    <w:t xml:space="preserve">  500.00</w:t>
                  </w:r>
                </w:p>
              </w:tc>
            </w:tr>
            <w:tr w:rsidR="000343F7" w:rsidRPr="00793CD4" w:rsidTr="000343F7">
              <w:trPr>
                <w:gridAfter w:val="2"/>
                <w:wAfter w:w="1680" w:type="dxa"/>
                <w:trHeight w:val="255"/>
              </w:trPr>
              <w:tc>
                <w:tcPr>
                  <w:tcW w:w="1325"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i/>
                      <w:sz w:val="20"/>
                      <w:szCs w:val="20"/>
                      <w:lang w:eastAsia="en-GB"/>
                    </w:rPr>
                  </w:pPr>
                  <w:proofErr w:type="spellStart"/>
                  <w:r w:rsidRPr="00793CD4">
                    <w:rPr>
                      <w:rFonts w:ascii="Arial" w:hAnsi="Arial" w:cs="Arial"/>
                      <w:i/>
                      <w:sz w:val="20"/>
                      <w:szCs w:val="20"/>
                      <w:lang w:eastAsia="en-GB"/>
                    </w:rPr>
                    <w:t>Kan</w:t>
                  </w:r>
                  <w:proofErr w:type="spellEnd"/>
                  <w:r w:rsidRPr="00793CD4">
                    <w:rPr>
                      <w:rFonts w:ascii="Arial" w:hAnsi="Arial" w:cs="Arial"/>
                      <w:i/>
                      <w:sz w:val="20"/>
                      <w:szCs w:val="20"/>
                      <w:lang w:eastAsia="en-GB"/>
                    </w:rPr>
                    <w:t>(r)</w:t>
                  </w:r>
                </w:p>
              </w:tc>
              <w:tc>
                <w:tcPr>
                  <w:tcW w:w="1701"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i/>
                      <w:sz w:val="20"/>
                      <w:szCs w:val="20"/>
                      <w:lang w:eastAsia="en-GB"/>
                    </w:rPr>
                  </w:pPr>
                </w:p>
              </w:tc>
              <w:tc>
                <w:tcPr>
                  <w:tcW w:w="4272"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i/>
                      <w:sz w:val="20"/>
                      <w:szCs w:val="20"/>
                      <w:lang w:eastAsia="en-GB"/>
                    </w:rPr>
                  </w:pPr>
                  <w:r w:rsidRPr="00793CD4">
                    <w:rPr>
                      <w:rFonts w:ascii="Arial" w:hAnsi="Arial" w:cs="Arial"/>
                      <w:i/>
                      <w:sz w:val="20"/>
                      <w:szCs w:val="20"/>
                      <w:lang w:eastAsia="en-GB"/>
                    </w:rPr>
                    <w:t>ATCATCAGCATTGCATTCGATTCCTGTTTG</w:t>
                  </w:r>
                </w:p>
              </w:tc>
              <w:tc>
                <w:tcPr>
                  <w:tcW w:w="3099" w:type="dxa"/>
                  <w:gridSpan w:val="2"/>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i/>
                      <w:sz w:val="20"/>
                      <w:szCs w:val="20"/>
                      <w:lang w:eastAsia="en-GB"/>
                    </w:rPr>
                  </w:pPr>
                  <w:r w:rsidRPr="00793CD4">
                    <w:rPr>
                      <w:rFonts w:ascii="Arial" w:hAnsi="Arial" w:cs="Arial"/>
                      <w:i/>
                      <w:sz w:val="20"/>
                      <w:szCs w:val="20"/>
                      <w:lang w:eastAsia="en-GB"/>
                    </w:rPr>
                    <w:t>ATTCCGACTCGTCCAACATC</w:t>
                  </w:r>
                </w:p>
              </w:tc>
              <w:tc>
                <w:tcPr>
                  <w:tcW w:w="850" w:type="dxa"/>
                  <w:tcBorders>
                    <w:top w:val="nil"/>
                    <w:left w:val="nil"/>
                    <w:bottom w:val="nil"/>
                    <w:right w:val="nil"/>
                  </w:tcBorders>
                  <w:shd w:val="clear" w:color="auto" w:fill="auto"/>
                  <w:noWrap/>
                  <w:vAlign w:val="bottom"/>
                  <w:hideMark/>
                </w:tcPr>
                <w:p w:rsidR="000343F7" w:rsidRPr="00793CD4" w:rsidRDefault="000343F7" w:rsidP="00793CD4">
                  <w:pPr>
                    <w:rPr>
                      <w:rFonts w:ascii="Arial" w:hAnsi="Arial" w:cs="Arial"/>
                      <w:i/>
                      <w:sz w:val="20"/>
                      <w:szCs w:val="20"/>
                      <w:lang w:eastAsia="en-GB"/>
                    </w:rPr>
                  </w:pPr>
                  <w:r w:rsidRPr="00793CD4">
                    <w:rPr>
                      <w:rFonts w:ascii="Arial" w:hAnsi="Arial" w:cs="Arial"/>
                      <w:i/>
                      <w:sz w:val="20"/>
                      <w:szCs w:val="20"/>
                      <w:lang w:eastAsia="en-GB"/>
                    </w:rPr>
                    <w:t>325</w:t>
                  </w:r>
                </w:p>
              </w:tc>
            </w:tr>
          </w:tbl>
          <w:p w:rsidR="00725CAB" w:rsidRPr="00725CAB" w:rsidRDefault="00725CAB" w:rsidP="00725CAB">
            <w:pPr>
              <w:rPr>
                <w:rFonts w:ascii="Arial" w:hAnsi="Arial" w:cs="Arial"/>
                <w:color w:val="000000"/>
                <w:sz w:val="20"/>
                <w:szCs w:val="20"/>
                <w:lang w:eastAsia="en-GB"/>
              </w:rPr>
            </w:pPr>
          </w:p>
        </w:tc>
      </w:tr>
      <w:tr w:rsidR="00725CAB" w:rsidRPr="00725CAB" w:rsidTr="00793CD4">
        <w:trPr>
          <w:trHeight w:val="255"/>
        </w:trPr>
        <w:tc>
          <w:tcPr>
            <w:tcW w:w="12827" w:type="dxa"/>
            <w:shd w:val="clear" w:color="auto" w:fill="auto"/>
            <w:noWrap/>
            <w:vAlign w:val="bottom"/>
          </w:tcPr>
          <w:p w:rsidR="00725CAB" w:rsidRPr="00725CAB" w:rsidRDefault="00793CD4" w:rsidP="00725CAB">
            <w:pPr>
              <w:rPr>
                <w:rFonts w:ascii="Arial" w:hAnsi="Arial" w:cs="Arial"/>
                <w:color w:val="000000"/>
                <w:sz w:val="20"/>
                <w:szCs w:val="20"/>
                <w:lang w:eastAsia="en-GB"/>
              </w:rPr>
            </w:pPr>
            <w:r>
              <w:rPr>
                <w:rFonts w:ascii="Calibri" w:hAnsi="Calibri" w:cs="Calibri"/>
                <w:noProof/>
                <w:color w:val="000000"/>
                <w:sz w:val="20"/>
                <w:szCs w:val="20"/>
                <w:lang w:eastAsia="en-GB"/>
              </w:rPr>
              <mc:AlternateContent>
                <mc:Choice Requires="wps">
                  <w:drawing>
                    <wp:anchor distT="0" distB="0" distL="114300" distR="114300" simplePos="0" relativeHeight="251660288" behindDoc="0" locked="0" layoutInCell="1" allowOverlap="1" wp14:anchorId="7651E132" wp14:editId="3E3929AF">
                      <wp:simplePos x="0" y="0"/>
                      <wp:positionH relativeFrom="column">
                        <wp:posOffset>-28575</wp:posOffset>
                      </wp:positionH>
                      <wp:positionV relativeFrom="paragraph">
                        <wp:posOffset>36195</wp:posOffset>
                      </wp:positionV>
                      <wp:extent cx="8763000" cy="0"/>
                      <wp:effectExtent l="0" t="0" r="19050" b="19050"/>
                      <wp:wrapNone/>
                      <wp:docPr id="6"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63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0E40E6" id="AutoShape 10" o:spid="_x0000_s1026" type="#_x0000_t32" style="position:absolute;margin-left:-2.25pt;margin-top:2.85pt;width:690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pLzHwIAADw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"/>
                  </w:pict>
                </mc:Fallback>
              </mc:AlternateContent>
            </w:r>
          </w:p>
        </w:tc>
      </w:tr>
    </w:tbl>
    <w:p w:rsidR="001B55E1" w:rsidRPr="00572299" w:rsidRDefault="001B55E1" w:rsidP="001B55E1">
      <w:pPr>
        <w:pStyle w:val="Caption"/>
        <w:keepNext/>
        <w:rPr>
          <w:rFonts w:ascii="Arial" w:hAnsi="Arial" w:cs="Arial"/>
          <w:b w:val="0"/>
        </w:rPr>
      </w:pPr>
      <w:r w:rsidRPr="00572299">
        <w:rPr>
          <w:rFonts w:ascii="Arial" w:hAnsi="Arial" w:cs="Arial"/>
          <w:b w:val="0"/>
        </w:rPr>
        <w:lastRenderedPageBreak/>
        <w:t>Reference gene (bold) used for normalisation</w:t>
      </w:r>
      <w:r w:rsidR="00572299" w:rsidRPr="00572299">
        <w:rPr>
          <w:rFonts w:ascii="Arial" w:hAnsi="Arial" w:cs="Arial"/>
          <w:b w:val="0"/>
        </w:rPr>
        <w:t xml:space="preserve"> (assessed using </w:t>
      </w:r>
      <w:proofErr w:type="spellStart"/>
      <w:r w:rsidR="00572299" w:rsidRPr="00572299">
        <w:rPr>
          <w:rFonts w:ascii="Arial" w:hAnsi="Arial" w:cs="Arial"/>
          <w:b w:val="0"/>
        </w:rPr>
        <w:t>geNorm</w:t>
      </w:r>
      <w:proofErr w:type="spellEnd"/>
      <w:r w:rsidR="00572299" w:rsidRPr="00572299">
        <w:rPr>
          <w:rFonts w:ascii="Arial" w:hAnsi="Arial" w:cs="Arial"/>
          <w:b w:val="0"/>
        </w:rPr>
        <w:t xml:space="preserve"> (</w:t>
      </w:r>
      <w:hyperlink r:id="rId6" w:history="1">
        <w:r w:rsidR="00572299" w:rsidRPr="00572299">
          <w:rPr>
            <w:rStyle w:val="Hyperlink"/>
            <w:rFonts w:ascii="Arial" w:hAnsi="Arial" w:cs="Arial"/>
            <w:b w:val="0"/>
          </w:rPr>
          <w:t>http://medgen.ugent.be/genorm/</w:t>
        </w:r>
      </w:hyperlink>
      <w:r w:rsidR="00572299" w:rsidRPr="00572299">
        <w:rPr>
          <w:rFonts w:ascii="Arial" w:hAnsi="Arial" w:cs="Arial"/>
          <w:b w:val="0"/>
        </w:rPr>
        <w:t>) to establish the most stable expressed transcript for normalisation purposes)</w:t>
      </w:r>
      <w:r w:rsidRPr="00572299">
        <w:rPr>
          <w:rFonts w:ascii="Arial" w:hAnsi="Arial" w:cs="Arial"/>
          <w:b w:val="0"/>
        </w:rPr>
        <w:t xml:space="preserve"> and calculation of relative gene expression levels. A synthetic internal reverse transcription and PCR amplification control target is also incorporated (</w:t>
      </w:r>
      <w:r w:rsidRPr="00572299">
        <w:rPr>
          <w:rFonts w:ascii="Arial" w:hAnsi="Arial" w:cs="Arial"/>
          <w:b w:val="0"/>
          <w:i/>
        </w:rPr>
        <w:t>italic</w:t>
      </w:r>
      <w:r w:rsidRPr="00572299">
        <w:rPr>
          <w:rFonts w:ascii="Arial" w:hAnsi="Arial" w:cs="Arial"/>
          <w:b w:val="0"/>
        </w:rPr>
        <w:t>).</w:t>
      </w:r>
    </w:p>
    <w:p w:rsidR="00D67D38" w:rsidRDefault="00D67D38">
      <w:pPr>
        <w:spacing w:after="200" w:line="276" w:lineRule="auto"/>
        <w:rPr>
          <w:sz w:val="20"/>
          <w:szCs w:val="20"/>
        </w:rPr>
      </w:pPr>
      <w:r>
        <w:rPr>
          <w:sz w:val="20"/>
          <w:szCs w:val="20"/>
        </w:rPr>
        <w:br w:type="page"/>
      </w:r>
    </w:p>
    <w:p w:rsidR="00175EF0" w:rsidRPr="00175EF0" w:rsidRDefault="00175EF0" w:rsidP="00175EF0">
      <w:pPr>
        <w:pStyle w:val="BodyText2"/>
        <w:jc w:val="both"/>
        <w:rPr>
          <w:b/>
        </w:rPr>
      </w:pPr>
      <w:r w:rsidRPr="00175EF0">
        <w:rPr>
          <w:b/>
        </w:rPr>
        <w:lastRenderedPageBreak/>
        <w:t xml:space="preserve">Supplementary File S2 - Design and optimisation of the </w:t>
      </w:r>
      <w:proofErr w:type="spellStart"/>
      <w:r w:rsidRPr="00175EF0">
        <w:rPr>
          <w:b/>
        </w:rPr>
        <w:t>hSIRTNADplex</w:t>
      </w:r>
      <w:proofErr w:type="spellEnd"/>
    </w:p>
    <w:p w:rsidR="00175EF0" w:rsidRPr="00175EF0" w:rsidRDefault="00175EF0" w:rsidP="00D67D38">
      <w:pPr>
        <w:pStyle w:val="BodyText2"/>
        <w:spacing w:line="480" w:lineRule="auto"/>
        <w:jc w:val="both"/>
        <w:rPr>
          <w:b/>
        </w:rPr>
      </w:pPr>
    </w:p>
    <w:p w:rsidR="00D67D38" w:rsidRDefault="00D67D38" w:rsidP="00D67D38">
      <w:pPr>
        <w:pStyle w:val="BodyText2"/>
        <w:spacing w:line="480" w:lineRule="auto"/>
        <w:jc w:val="both"/>
      </w:pPr>
      <w:r>
        <w:t xml:space="preserve">The </w:t>
      </w:r>
      <w:proofErr w:type="spellStart"/>
      <w:r>
        <w:t>hSIRTNADplex</w:t>
      </w:r>
      <w:proofErr w:type="spellEnd"/>
      <w:r>
        <w:t xml:space="preserve"> incorporates 22 gene targets, including all 7 human </w:t>
      </w:r>
      <w:proofErr w:type="spellStart"/>
      <w:r>
        <w:t>sirtuin</w:t>
      </w:r>
      <w:proofErr w:type="spellEnd"/>
      <w:r>
        <w:t xml:space="preserve"> genes (</w:t>
      </w:r>
      <w:r>
        <w:rPr>
          <w:i/>
        </w:rPr>
        <w:t>SIRT1-7</w:t>
      </w:r>
      <w:r>
        <w:t xml:space="preserve">), 15 enzymes involved in conversion of tryptophan, niacin, the novel vitamin, nicotinamide riboside, and metabolic </w:t>
      </w:r>
      <w:proofErr w:type="spellStart"/>
      <w:r>
        <w:t>presursors</w:t>
      </w:r>
      <w:proofErr w:type="spellEnd"/>
      <w:r>
        <w:t xml:space="preserve"> to NAD and metabolism of NAD, together with 3 potential reference genes (</w:t>
      </w:r>
      <w:r>
        <w:rPr>
          <w:i/>
          <w:color w:val="auto"/>
        </w:rPr>
        <w:t>PPIB,</w:t>
      </w:r>
      <w:r>
        <w:rPr>
          <w:color w:val="auto"/>
        </w:rPr>
        <w:t xml:space="preserve"> </w:t>
      </w:r>
      <w:r>
        <w:rPr>
          <w:i/>
          <w:color w:val="auto"/>
        </w:rPr>
        <w:t>PSMB6</w:t>
      </w:r>
      <w:r>
        <w:rPr>
          <w:color w:val="auto"/>
        </w:rPr>
        <w:t xml:space="preserve"> and </w:t>
      </w:r>
      <w:r>
        <w:rPr>
          <w:i/>
          <w:color w:val="auto"/>
        </w:rPr>
        <w:t>UBE2D2</w:t>
      </w:r>
      <w:r>
        <w:rPr>
          <w:color w:val="auto"/>
        </w:rPr>
        <w:t>)</w:t>
      </w:r>
      <w:r>
        <w:t xml:space="preserve"> and a synthetic reference messenger RNA transcript (</w:t>
      </w:r>
      <w:proofErr w:type="spellStart"/>
      <w:r>
        <w:rPr>
          <w:i/>
          <w:color w:val="auto"/>
        </w:rPr>
        <w:t>Kan</w:t>
      </w:r>
      <w:proofErr w:type="spellEnd"/>
      <w:r>
        <w:rPr>
          <w:color w:val="auto"/>
        </w:rPr>
        <w:t>®)</w:t>
      </w:r>
      <w:r>
        <w:t xml:space="preserve"> for measuring relative quantitation of gene expression and reaction efficiencies respectively. Sequences used for primer assay design using the </w:t>
      </w:r>
      <w:proofErr w:type="spellStart"/>
      <w:r>
        <w:t>GenomeLab</w:t>
      </w:r>
      <w:proofErr w:type="spellEnd"/>
      <w:r>
        <w:t xml:space="preserve"> System were downloaded from the </w:t>
      </w:r>
      <w:r>
        <w:rPr>
          <w:lang w:val="en"/>
        </w:rPr>
        <w:t xml:space="preserve">National Center for Biotechnology Information (NCBI) </w:t>
      </w:r>
      <w:r>
        <w:t xml:space="preserve">consensus coding sequences (CCDS) project </w:t>
      </w:r>
      <w:hyperlink r:id="rId7" w:history="1">
        <w:r>
          <w:rPr>
            <w:rStyle w:val="Hyperlink"/>
            <w:lang w:val="en"/>
          </w:rPr>
          <w:t>http://www.ncbi.nlm.nih.gov/CCDS/CcdsBrowse.cgi</w:t>
        </w:r>
      </w:hyperlink>
      <w:r>
        <w:t>.</w:t>
      </w:r>
    </w:p>
    <w:p w:rsidR="00D67D38" w:rsidRDefault="00D67D38" w:rsidP="00D67D38">
      <w:pPr>
        <w:pStyle w:val="BodyText2"/>
        <w:spacing w:line="480" w:lineRule="auto"/>
        <w:jc w:val="both"/>
        <w:rPr>
          <w:color w:val="auto"/>
        </w:rPr>
      </w:pPr>
      <w:r>
        <w:rPr>
          <w:i/>
          <w:color w:val="auto"/>
        </w:rPr>
        <w:t>PPIB,</w:t>
      </w:r>
      <w:r>
        <w:rPr>
          <w:color w:val="auto"/>
        </w:rPr>
        <w:t xml:space="preserve"> </w:t>
      </w:r>
      <w:r>
        <w:rPr>
          <w:i/>
          <w:color w:val="auto"/>
        </w:rPr>
        <w:t>PSMB6</w:t>
      </w:r>
      <w:r>
        <w:rPr>
          <w:color w:val="auto"/>
        </w:rPr>
        <w:t xml:space="preserve"> and </w:t>
      </w:r>
      <w:r>
        <w:rPr>
          <w:i/>
          <w:color w:val="auto"/>
        </w:rPr>
        <w:t>UBE2D2</w:t>
      </w:r>
      <w:r>
        <w:rPr>
          <w:color w:val="auto"/>
        </w:rPr>
        <w:t xml:space="preserve"> were incorporated to be used as potential reference genes for normalisation of target gene expression as these genes have exhibited stable gene expression in previous experiments in our lab (Drew et al., 2014 and unpublished data). The fourth reference gene is an external synthetic reference control transcript </w:t>
      </w:r>
      <w:proofErr w:type="spellStart"/>
      <w:r>
        <w:rPr>
          <w:color w:val="auto"/>
        </w:rPr>
        <w:t>Kan</w:t>
      </w:r>
      <w:proofErr w:type="spellEnd"/>
      <w:r>
        <w:rPr>
          <w:color w:val="auto"/>
        </w:rPr>
        <w:t xml:space="preserve">® (supplied with the </w:t>
      </w:r>
      <w:proofErr w:type="spellStart"/>
      <w:r>
        <w:rPr>
          <w:color w:val="auto"/>
        </w:rPr>
        <w:t>GeXP</w:t>
      </w:r>
      <w:proofErr w:type="spellEnd"/>
      <w:r>
        <w:rPr>
          <w:color w:val="auto"/>
        </w:rPr>
        <w:t xml:space="preserve"> assay kit, Beckman Coulter, UK) used to spike each reaction. </w:t>
      </w:r>
    </w:p>
    <w:p w:rsidR="00D67D38" w:rsidRDefault="00D67D38" w:rsidP="00D67D38">
      <w:pPr>
        <w:pStyle w:val="BodyText2"/>
        <w:spacing w:line="480" w:lineRule="auto"/>
        <w:jc w:val="both"/>
        <w:rPr>
          <w:color w:val="auto"/>
        </w:rPr>
      </w:pPr>
    </w:p>
    <w:p w:rsidR="00D67D38" w:rsidRDefault="00D67D38" w:rsidP="00D67D38">
      <w:pPr>
        <w:pStyle w:val="BodyText2"/>
        <w:spacing w:line="480" w:lineRule="auto"/>
        <w:jc w:val="both"/>
        <w:rPr>
          <w:b/>
          <w:color w:val="auto"/>
        </w:rPr>
      </w:pPr>
      <w:proofErr w:type="spellStart"/>
      <w:r>
        <w:rPr>
          <w:b/>
          <w:color w:val="auto"/>
        </w:rPr>
        <w:t>GeXP</w:t>
      </w:r>
      <w:proofErr w:type="spellEnd"/>
      <w:r>
        <w:rPr>
          <w:b/>
          <w:color w:val="auto"/>
        </w:rPr>
        <w:t xml:space="preserve"> </w:t>
      </w:r>
      <w:proofErr w:type="spellStart"/>
      <w:r>
        <w:rPr>
          <w:b/>
          <w:color w:val="auto"/>
        </w:rPr>
        <w:t>hSIRTNADplex</w:t>
      </w:r>
      <w:proofErr w:type="spellEnd"/>
      <w:r>
        <w:rPr>
          <w:b/>
          <w:color w:val="auto"/>
        </w:rPr>
        <w:t xml:space="preserve"> primer assay design and optimisation</w:t>
      </w:r>
    </w:p>
    <w:p w:rsidR="00D67D38" w:rsidRDefault="00D67D38" w:rsidP="00D67D38">
      <w:pPr>
        <w:pStyle w:val="BodyText2"/>
        <w:spacing w:line="480" w:lineRule="auto"/>
        <w:jc w:val="both"/>
      </w:pPr>
      <w:r>
        <w:rPr>
          <w:color w:val="auto"/>
        </w:rPr>
        <w:t xml:space="preserve">The </w:t>
      </w:r>
      <w:proofErr w:type="spellStart"/>
      <w:r>
        <w:rPr>
          <w:color w:val="auto"/>
        </w:rPr>
        <w:t>GenomeLab</w:t>
      </w:r>
      <w:proofErr w:type="spellEnd"/>
      <w:r>
        <w:rPr>
          <w:color w:val="auto"/>
        </w:rPr>
        <w:t xml:space="preserve"> </w:t>
      </w:r>
      <w:proofErr w:type="spellStart"/>
      <w:r>
        <w:rPr>
          <w:color w:val="auto"/>
        </w:rPr>
        <w:t>eXpress</w:t>
      </w:r>
      <w:proofErr w:type="spellEnd"/>
      <w:r>
        <w:rPr>
          <w:color w:val="auto"/>
        </w:rPr>
        <w:t xml:space="preserve"> designer </w:t>
      </w:r>
      <w:proofErr w:type="spellStart"/>
      <w:r>
        <w:rPr>
          <w:color w:val="auto"/>
        </w:rPr>
        <w:t>GeXP</w:t>
      </w:r>
      <w:proofErr w:type="spellEnd"/>
      <w:r>
        <w:rPr>
          <w:color w:val="auto"/>
        </w:rPr>
        <w:t xml:space="preserve"> Software (Beckman Coulter, UK) was used to identify suitable gene specific primers for reverse transcription and PCR amplification as previously described (Drew et al., 2011). Reverse PCR primers were designed with </w:t>
      </w:r>
      <w:bookmarkStart w:id="1" w:name="OLE_LINK2"/>
      <w:r>
        <w:rPr>
          <w:color w:val="auto"/>
        </w:rPr>
        <w:t>a 3’ gene specific sequence and a 5’end consisting of 19 bases of universal priming sequence.</w:t>
      </w:r>
      <w:bookmarkEnd w:id="1"/>
      <w:r>
        <w:rPr>
          <w:color w:val="auto"/>
        </w:rPr>
        <w:t xml:space="preserve"> The forward PCR primers were designed with a 3’ gene specific sequence and a 5’end consisting of a different 18-nucleotide universal priming sequence. The gene specific primers were designed to generate </w:t>
      </w:r>
      <w:r>
        <w:rPr>
          <w:color w:val="auto"/>
        </w:rPr>
        <w:lastRenderedPageBreak/>
        <w:t xml:space="preserve">PCR amplicons that differ in size by 4 – 7 base pairs, ranging in size from 137 – 325 (Supplementary File S1). Primer sequences were evaluated using BLAST searches to ensure specific amplification of the designed PCR fragments. User-defined regions of the listed sequences were selected for primer design where targets were known to be members of a gene family to exclude homologous regions likely to cause </w:t>
      </w:r>
      <w:proofErr w:type="spellStart"/>
      <w:r>
        <w:rPr>
          <w:color w:val="auto"/>
        </w:rPr>
        <w:t>mis</w:t>
      </w:r>
      <w:proofErr w:type="spellEnd"/>
      <w:r>
        <w:rPr>
          <w:color w:val="auto"/>
        </w:rPr>
        <w:t>-priming and aberrant amplification. Primers with universal sequences were purchased from Sigma-</w:t>
      </w:r>
      <w:proofErr w:type="spellStart"/>
      <w:r>
        <w:rPr>
          <w:color w:val="auto"/>
        </w:rPr>
        <w:t>Genosys</w:t>
      </w:r>
      <w:proofErr w:type="spellEnd"/>
      <w:r>
        <w:rPr>
          <w:color w:val="auto"/>
        </w:rPr>
        <w:t xml:space="preserve"> (UK). </w:t>
      </w:r>
      <w:r>
        <w:t xml:space="preserve">The </w:t>
      </w:r>
      <w:proofErr w:type="spellStart"/>
      <w:r>
        <w:t>hSIRTNADplex</w:t>
      </w:r>
      <w:proofErr w:type="spellEnd"/>
      <w:r>
        <w:t xml:space="preserve"> was optimised for human blood total RNA (50ng) using procedures described previously (Drew et al., 2011) and the Genome Lab </w:t>
      </w:r>
      <w:proofErr w:type="spellStart"/>
      <w:r>
        <w:t>GeXP</w:t>
      </w:r>
      <w:proofErr w:type="spellEnd"/>
      <w:r>
        <w:t xml:space="preserve"> start Kit (Beckman Coulter) according to the manufacturer’s instructions. </w:t>
      </w:r>
    </w:p>
    <w:p w:rsidR="00D67D38" w:rsidRDefault="00D67D38" w:rsidP="00D67D38">
      <w:pPr>
        <w:pStyle w:val="BodyText2"/>
        <w:spacing w:line="480" w:lineRule="auto"/>
        <w:jc w:val="both"/>
      </w:pPr>
    </w:p>
    <w:p w:rsidR="00D67D38" w:rsidRDefault="00D67D38" w:rsidP="00D67D38">
      <w:pPr>
        <w:spacing w:line="480" w:lineRule="auto"/>
        <w:jc w:val="both"/>
      </w:pPr>
      <w:r>
        <w:t xml:space="preserve">Briefly, individual primer pairs were initially tested using a reverse primer mix (500nM) incorporating the entire set of primers in conjunction with each forward primer (500nM) individually to ensure a single amplicon of the correct size was generated for each of the designed primer pairs using human blood total RNA. Subsequent optimisation of the </w:t>
      </w:r>
      <w:proofErr w:type="spellStart"/>
      <w:r>
        <w:t>hSIRTNADplex</w:t>
      </w:r>
      <w:proofErr w:type="spellEnd"/>
      <w:r>
        <w:t xml:space="preserve"> incorporating multiplexed primer pairs was conducted to characterise primer products obtained in multiplex reactions. Attenuation was then conducted to determine the optimal attenuation factor to generate an appropriate dynamic range of signals for the gene targets in human blood as described previously (Drew et al., 2011). The final primer concentrations for </w:t>
      </w:r>
      <w:proofErr w:type="spellStart"/>
      <w:r>
        <w:t>hSIRTNADplex</w:t>
      </w:r>
      <w:proofErr w:type="spellEnd"/>
      <w:r>
        <w:t xml:space="preserve"> profiling in the tissue types are provided (Supplementary File S1). No template and no reverse transcriptase controls were conducted to ensure the absence of non-specific reaction products. </w:t>
      </w:r>
    </w:p>
    <w:p w:rsidR="00D67D38" w:rsidRDefault="00D67D38" w:rsidP="00D67D38">
      <w:pPr>
        <w:pStyle w:val="BodyText2"/>
        <w:spacing w:line="480" w:lineRule="auto"/>
        <w:jc w:val="both"/>
        <w:rPr>
          <w:highlight w:val="yellow"/>
        </w:rPr>
      </w:pPr>
      <w:proofErr w:type="spellStart"/>
      <w:r>
        <w:t>GeXP</w:t>
      </w:r>
      <w:proofErr w:type="spellEnd"/>
      <w:r>
        <w:t xml:space="preserve"> PCR reactions products were processed for capillary electrophoresis and fragment separation using a CEQ™ 8800 (Beckman) as described previously (Drew </w:t>
      </w:r>
      <w:r>
        <w:rPr>
          <w:i/>
        </w:rPr>
        <w:t>et al</w:t>
      </w:r>
      <w:r>
        <w:t xml:space="preserve">., 2011). Following CEQ analysis the raw data was analysed using the Fragment Analysis module of the </w:t>
      </w:r>
      <w:proofErr w:type="spellStart"/>
      <w:r>
        <w:t>GenomeLab</w:t>
      </w:r>
      <w:proofErr w:type="spellEnd"/>
      <w:r>
        <w:t xml:space="preserve"> System </w:t>
      </w:r>
      <w:r>
        <w:lastRenderedPageBreak/>
        <w:t xml:space="preserve">software (Beckman). A size exclusion filter appropriate for the custom designed </w:t>
      </w:r>
      <w:proofErr w:type="spellStart"/>
      <w:r>
        <w:t>hSIRTNADplex</w:t>
      </w:r>
      <w:proofErr w:type="spellEnd"/>
      <w:r>
        <w:t xml:space="preserve"> was applied to identify expected size fragments. The fragment data, peak height and peak areas were then imported to the </w:t>
      </w:r>
      <w:proofErr w:type="spellStart"/>
      <w:r>
        <w:t>eXpress</w:t>
      </w:r>
      <w:proofErr w:type="spellEnd"/>
      <w:r>
        <w:t xml:space="preserve"> Analysis module of the </w:t>
      </w:r>
      <w:proofErr w:type="spellStart"/>
      <w:r>
        <w:t>eXpress</w:t>
      </w:r>
      <w:proofErr w:type="spellEnd"/>
      <w:r>
        <w:t xml:space="preserve"> Profiler software (Beckman) and analysed as described previously (Drew </w:t>
      </w:r>
      <w:r>
        <w:rPr>
          <w:i/>
        </w:rPr>
        <w:t>et al</w:t>
      </w:r>
      <w:r>
        <w:t xml:space="preserve">., 2011). Analysis of the signal intensity data was conducted using </w:t>
      </w:r>
      <w:proofErr w:type="spellStart"/>
      <w:r>
        <w:t>geNorm</w:t>
      </w:r>
      <w:proofErr w:type="spellEnd"/>
      <w:r>
        <w:t xml:space="preserve"> (</w:t>
      </w:r>
      <w:hyperlink r:id="rId8" w:history="1">
        <w:r>
          <w:rPr>
            <w:rStyle w:val="Hyperlink"/>
            <w:color w:val="auto"/>
          </w:rPr>
          <w:t>http://medgen.ugent.be/genorm/</w:t>
        </w:r>
      </w:hyperlink>
      <w:r>
        <w:t>) to establish the most stable expressed transcript for normalisation purposes.</w:t>
      </w:r>
    </w:p>
    <w:p w:rsidR="00D67D38" w:rsidRDefault="00D67D38" w:rsidP="00D67D38">
      <w:pPr>
        <w:jc w:val="both"/>
      </w:pPr>
    </w:p>
    <w:p w:rsidR="00D67D38" w:rsidRDefault="00D67D38" w:rsidP="00D67D38">
      <w:pPr>
        <w:pStyle w:val="p12"/>
        <w:suppressLineNumbers/>
        <w:tabs>
          <w:tab w:val="left" w:pos="0"/>
        </w:tabs>
        <w:spacing w:line="480" w:lineRule="auto"/>
        <w:ind w:left="0"/>
        <w:rPr>
          <w:b/>
          <w:szCs w:val="24"/>
        </w:rPr>
      </w:pPr>
      <w:r>
        <w:rPr>
          <w:b/>
          <w:szCs w:val="24"/>
        </w:rPr>
        <w:t>References</w:t>
      </w:r>
    </w:p>
    <w:p w:rsidR="00D67D38" w:rsidRDefault="00D67D38" w:rsidP="00D67D38">
      <w:pPr>
        <w:pStyle w:val="p12"/>
        <w:suppressLineNumbers/>
        <w:tabs>
          <w:tab w:val="left" w:pos="0"/>
        </w:tabs>
        <w:spacing w:line="480" w:lineRule="auto"/>
        <w:ind w:left="0"/>
        <w:rPr>
          <w:szCs w:val="24"/>
        </w:rPr>
      </w:pPr>
      <w:r>
        <w:rPr>
          <w:szCs w:val="24"/>
        </w:rPr>
        <w:t>Drew, J.E., Mayer, C-D., Farquharson, A.J., Young,</w:t>
      </w:r>
      <w:r>
        <w:rPr>
          <w:szCs w:val="24"/>
          <w:vertAlign w:val="superscript"/>
        </w:rPr>
        <w:t xml:space="preserve"> </w:t>
      </w:r>
      <w:r>
        <w:rPr>
          <w:szCs w:val="24"/>
        </w:rPr>
        <w:t xml:space="preserve">P., et al., Custom design of a </w:t>
      </w:r>
      <w:proofErr w:type="spellStart"/>
      <w:r>
        <w:rPr>
          <w:szCs w:val="24"/>
        </w:rPr>
        <w:t>GeXP</w:t>
      </w:r>
      <w:proofErr w:type="spellEnd"/>
      <w:r>
        <w:rPr>
          <w:szCs w:val="24"/>
        </w:rPr>
        <w:t xml:space="preserve"> multiplexed assay used to assess expression profiles of inflammatory gene targets in colon normal, polyp and tumour tissue. J </w:t>
      </w:r>
      <w:proofErr w:type="spellStart"/>
      <w:r>
        <w:rPr>
          <w:szCs w:val="24"/>
        </w:rPr>
        <w:t>Molec</w:t>
      </w:r>
      <w:proofErr w:type="spellEnd"/>
      <w:r>
        <w:rPr>
          <w:szCs w:val="24"/>
        </w:rPr>
        <w:t xml:space="preserve"> </w:t>
      </w:r>
      <w:proofErr w:type="spellStart"/>
      <w:r>
        <w:rPr>
          <w:szCs w:val="24"/>
        </w:rPr>
        <w:t>Diagn</w:t>
      </w:r>
      <w:proofErr w:type="spellEnd"/>
      <w:r>
        <w:rPr>
          <w:szCs w:val="24"/>
        </w:rPr>
        <w:t xml:space="preserve"> 2011, 13, 233-42.</w:t>
      </w:r>
    </w:p>
    <w:p w:rsidR="00D67D38" w:rsidRDefault="00D67D38" w:rsidP="00D67D38">
      <w:pPr>
        <w:pStyle w:val="BodyText"/>
        <w:autoSpaceDE w:val="0"/>
        <w:autoSpaceDN w:val="0"/>
        <w:spacing w:after="0" w:line="480" w:lineRule="auto"/>
        <w:ind w:right="-58"/>
        <w:jc w:val="both"/>
        <w:rPr>
          <w:rFonts w:ascii="Times New Roman" w:hAnsi="Times New Roman" w:cs="Times New Roman"/>
          <w:sz w:val="24"/>
          <w:szCs w:val="24"/>
        </w:rPr>
      </w:pPr>
      <w:r>
        <w:rPr>
          <w:rFonts w:ascii="Times New Roman" w:hAnsi="Times New Roman" w:cs="Times New Roman"/>
          <w:sz w:val="24"/>
          <w:szCs w:val="24"/>
        </w:rPr>
        <w:t xml:space="preserve">Drew JE, Farquharson AJ, Horgan GW, </w:t>
      </w:r>
      <w:proofErr w:type="spellStart"/>
      <w:r>
        <w:rPr>
          <w:rFonts w:ascii="Times New Roman" w:hAnsi="Times New Roman" w:cs="Times New Roman"/>
          <w:sz w:val="24"/>
          <w:szCs w:val="24"/>
        </w:rPr>
        <w:t>Duthie</w:t>
      </w:r>
      <w:proofErr w:type="spellEnd"/>
      <w:r>
        <w:rPr>
          <w:rFonts w:ascii="Times New Roman" w:hAnsi="Times New Roman" w:cs="Times New Roman"/>
          <w:sz w:val="24"/>
          <w:szCs w:val="24"/>
        </w:rPr>
        <w:t xml:space="preserve"> SJ, </w:t>
      </w:r>
      <w:proofErr w:type="spellStart"/>
      <w:r>
        <w:rPr>
          <w:rFonts w:ascii="Times New Roman" w:hAnsi="Times New Roman" w:cs="Times New Roman"/>
          <w:sz w:val="24"/>
          <w:szCs w:val="24"/>
        </w:rPr>
        <w:t>Duthie</w:t>
      </w:r>
      <w:proofErr w:type="spellEnd"/>
      <w:r>
        <w:rPr>
          <w:rFonts w:ascii="Times New Roman" w:hAnsi="Times New Roman" w:cs="Times New Roman"/>
          <w:sz w:val="24"/>
          <w:szCs w:val="24"/>
        </w:rPr>
        <w:t xml:space="preserve"> GG Stratification of study subjects detected by</w:t>
      </w:r>
      <w:r>
        <w:rPr>
          <w:rFonts w:ascii="Times New Roman" w:hAnsi="Times New Roman" w:cs="Times New Roman"/>
          <w:bCs/>
          <w:sz w:val="24"/>
          <w:szCs w:val="24"/>
        </w:rPr>
        <w:t xml:space="preserve"> gene expression profiling reveals differences in p</w:t>
      </w:r>
      <w:r>
        <w:rPr>
          <w:rFonts w:ascii="Times New Roman" w:hAnsi="Times New Roman" w:cs="Times New Roman"/>
          <w:sz w:val="24"/>
          <w:szCs w:val="24"/>
        </w:rPr>
        <w:t xml:space="preserve">ostprandial cell defence system responses. </w:t>
      </w:r>
      <w:proofErr w:type="spellStart"/>
      <w:r>
        <w:rPr>
          <w:rFonts w:ascii="Times New Roman" w:hAnsi="Times New Roman" w:cs="Times New Roman"/>
          <w:sz w:val="24"/>
          <w:szCs w:val="24"/>
        </w:rPr>
        <w:t>Molec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Nutr</w:t>
      </w:r>
      <w:proofErr w:type="spellEnd"/>
      <w:r>
        <w:rPr>
          <w:rFonts w:ascii="Times New Roman" w:hAnsi="Times New Roman" w:cs="Times New Roman"/>
          <w:sz w:val="24"/>
          <w:szCs w:val="24"/>
        </w:rPr>
        <w:t xml:space="preserve"> Food Res 2014, </w:t>
      </w:r>
      <w:r>
        <w:rPr>
          <w:rFonts w:ascii="Times New Roman" w:hAnsi="Times New Roman" w:cs="Times New Roman"/>
          <w:iCs/>
          <w:sz w:val="24"/>
          <w:szCs w:val="24"/>
        </w:rPr>
        <w:t>58</w:t>
      </w:r>
      <w:r>
        <w:rPr>
          <w:rFonts w:ascii="Times New Roman" w:hAnsi="Times New Roman" w:cs="Times New Roman"/>
          <w:sz w:val="24"/>
          <w:szCs w:val="24"/>
        </w:rPr>
        <w:t>, 2066–79.</w:t>
      </w:r>
    </w:p>
    <w:p w:rsidR="00175EF0" w:rsidRDefault="00175EF0">
      <w:pPr>
        <w:spacing w:after="200" w:line="276" w:lineRule="auto"/>
        <w:rPr>
          <w:rFonts w:eastAsiaTheme="minorHAnsi"/>
        </w:rPr>
      </w:pPr>
      <w:r>
        <w:br w:type="page"/>
      </w:r>
    </w:p>
    <w:p w:rsidR="00175EF0" w:rsidRDefault="00175EF0" w:rsidP="00D67D38">
      <w:pPr>
        <w:pStyle w:val="BodyText"/>
        <w:autoSpaceDE w:val="0"/>
        <w:autoSpaceDN w:val="0"/>
        <w:spacing w:after="0" w:line="480" w:lineRule="auto"/>
        <w:ind w:right="-58"/>
        <w:jc w:val="both"/>
        <w:rPr>
          <w:rFonts w:ascii="Times New Roman" w:hAnsi="Times New Roman" w:cs="Times New Roman"/>
          <w:sz w:val="24"/>
          <w:szCs w:val="24"/>
        </w:rPr>
      </w:pPr>
      <w:r w:rsidRPr="00175EF0">
        <w:rPr>
          <w:b/>
        </w:rPr>
        <w:lastRenderedPageBreak/>
        <w:t>Supplementary File S</w:t>
      </w:r>
      <w:r>
        <w:rPr>
          <w:b/>
        </w:rPr>
        <w:t>3</w:t>
      </w:r>
      <w:r w:rsidRPr="00175EF0">
        <w:rPr>
          <w:b/>
        </w:rPr>
        <w:t xml:space="preserve"> </w:t>
      </w:r>
      <w:r>
        <w:rPr>
          <w:b/>
        </w:rPr>
        <w:t>–</w:t>
      </w:r>
      <w:r w:rsidRPr="00175EF0">
        <w:rPr>
          <w:b/>
        </w:rPr>
        <w:t xml:space="preserve"> </w:t>
      </w:r>
      <w:r>
        <w:rPr>
          <w:b/>
        </w:rPr>
        <w:t>Inter-individual responses to SIT and interactions with the</w:t>
      </w:r>
      <w:r>
        <w:rPr>
          <w:b/>
        </w:rPr>
        <w:t xml:space="preserve"> </w:t>
      </w:r>
      <w:proofErr w:type="spellStart"/>
      <w:r>
        <w:rPr>
          <w:b/>
        </w:rPr>
        <w:t>sirtuin</w:t>
      </w:r>
      <w:proofErr w:type="spellEnd"/>
      <w:r>
        <w:rPr>
          <w:b/>
        </w:rPr>
        <w:t>/NAD system</w:t>
      </w:r>
    </w:p>
    <w:p w:rsidR="00175EF0" w:rsidRDefault="00175EF0" w:rsidP="00D67D38">
      <w:pPr>
        <w:pStyle w:val="BodyText"/>
        <w:autoSpaceDE w:val="0"/>
        <w:autoSpaceDN w:val="0"/>
        <w:spacing w:after="0" w:line="480" w:lineRule="auto"/>
        <w:ind w:right="-58"/>
        <w:jc w:val="both"/>
        <w:rPr>
          <w:rFonts w:ascii="Times New Roman" w:hAnsi="Times New Roman" w:cs="Times New Roman"/>
          <w:sz w:val="24"/>
          <w:szCs w:val="24"/>
        </w:rPr>
      </w:pPr>
      <w:r w:rsidRPr="00175EF0">
        <w:rPr>
          <w:rFonts w:ascii="Times New Roman" w:hAnsi="Times New Roman" w:cs="Times New Roman"/>
          <w:sz w:val="24"/>
          <w:szCs w:val="24"/>
        </w:rPr>
        <w:drawing>
          <wp:inline distT="0" distB="0" distL="0" distR="0" wp14:anchorId="68064DB9" wp14:editId="46E7C8D5">
            <wp:extent cx="7263765" cy="408586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7340819" cy="4129212"/>
                    </a:xfrm>
                    <a:prstGeom prst="rect">
                      <a:avLst/>
                    </a:prstGeom>
                  </pic:spPr>
                </pic:pic>
              </a:graphicData>
            </a:graphic>
          </wp:inline>
        </w:drawing>
      </w:r>
    </w:p>
    <w:p w:rsidR="00D67D38" w:rsidRDefault="00D67D38" w:rsidP="00D67D38">
      <w:pPr>
        <w:pStyle w:val="p12"/>
        <w:suppressLineNumbers/>
        <w:tabs>
          <w:tab w:val="left" w:pos="0"/>
        </w:tabs>
        <w:spacing w:line="480" w:lineRule="auto"/>
        <w:ind w:left="0"/>
      </w:pPr>
    </w:p>
    <w:p w:rsidR="00D67D38" w:rsidRDefault="00D67D38" w:rsidP="00D67D38">
      <w:pPr>
        <w:jc w:val="both"/>
      </w:pPr>
    </w:p>
    <w:p w:rsidR="001B55E1" w:rsidRPr="007A7E82" w:rsidRDefault="001B55E1" w:rsidP="001B55E1">
      <w:pPr>
        <w:rPr>
          <w:sz w:val="20"/>
          <w:szCs w:val="20"/>
        </w:rPr>
      </w:pPr>
    </w:p>
    <w:p w:rsidR="001B55E1" w:rsidRPr="007A7E82" w:rsidRDefault="001B55E1" w:rsidP="001B55E1">
      <w:pPr>
        <w:rPr>
          <w:sz w:val="20"/>
          <w:szCs w:val="20"/>
        </w:rPr>
      </w:pPr>
    </w:p>
    <w:p w:rsidR="00175EF0" w:rsidRDefault="00175EF0">
      <w:pPr>
        <w:spacing w:after="200" w:line="276" w:lineRule="auto"/>
      </w:pPr>
      <w:r>
        <w:br w:type="page"/>
      </w:r>
    </w:p>
    <w:p w:rsidR="00E96053" w:rsidRDefault="00E96053"/>
    <w:sectPr w:rsidR="00E96053" w:rsidSect="001B55E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5EF0" w:rsidRDefault="00175EF0" w:rsidP="00175EF0">
      <w:r>
        <w:separator/>
      </w:r>
    </w:p>
  </w:endnote>
  <w:endnote w:type="continuationSeparator" w:id="0">
    <w:p w:rsidR="00175EF0" w:rsidRDefault="00175EF0" w:rsidP="00175E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5EF0" w:rsidRDefault="00175EF0" w:rsidP="00175EF0">
      <w:r>
        <w:separator/>
      </w:r>
    </w:p>
  </w:footnote>
  <w:footnote w:type="continuationSeparator" w:id="0">
    <w:p w:rsidR="00175EF0" w:rsidRDefault="00175EF0" w:rsidP="00175E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5E1"/>
    <w:rsid w:val="000343F7"/>
    <w:rsid w:val="00175EF0"/>
    <w:rsid w:val="001B55E1"/>
    <w:rsid w:val="002274A9"/>
    <w:rsid w:val="002D7291"/>
    <w:rsid w:val="00383B2E"/>
    <w:rsid w:val="00417598"/>
    <w:rsid w:val="00557096"/>
    <w:rsid w:val="00572299"/>
    <w:rsid w:val="005E3802"/>
    <w:rsid w:val="00725CAB"/>
    <w:rsid w:val="00793CD4"/>
    <w:rsid w:val="008A1C1C"/>
    <w:rsid w:val="00A8423C"/>
    <w:rsid w:val="00BC130D"/>
    <w:rsid w:val="00C07D9F"/>
    <w:rsid w:val="00D67D38"/>
    <w:rsid w:val="00DC37D6"/>
    <w:rsid w:val="00E562B6"/>
    <w:rsid w:val="00E96053"/>
    <w:rsid w:val="00F34881"/>
    <w:rsid w:val="00F45F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2DF162-5AB8-456B-847B-FE7E4C5AF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55E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rsid w:val="001B55E1"/>
    <w:rPr>
      <w:b/>
      <w:bCs/>
      <w:sz w:val="20"/>
      <w:szCs w:val="20"/>
      <w:lang w:eastAsia="en-GB"/>
    </w:rPr>
  </w:style>
  <w:style w:type="character" w:styleId="Hyperlink">
    <w:name w:val="Hyperlink"/>
    <w:rsid w:val="00572299"/>
    <w:rPr>
      <w:color w:val="0000FF"/>
      <w:u w:val="single"/>
    </w:rPr>
  </w:style>
  <w:style w:type="paragraph" w:styleId="BodyText">
    <w:name w:val="Body Text"/>
    <w:basedOn w:val="Normal"/>
    <w:link w:val="BodyTextChar"/>
    <w:uiPriority w:val="99"/>
    <w:semiHidden/>
    <w:unhideWhenUsed/>
    <w:rsid w:val="00D67D38"/>
    <w:pPr>
      <w:spacing w:after="120" w:line="276" w:lineRule="auto"/>
    </w:pPr>
    <w:rPr>
      <w:rFonts w:asciiTheme="minorHAnsi" w:eastAsiaTheme="minorHAnsi" w:hAnsiTheme="minorHAnsi" w:cstheme="minorBidi"/>
      <w:sz w:val="22"/>
      <w:szCs w:val="22"/>
    </w:rPr>
  </w:style>
  <w:style w:type="character" w:customStyle="1" w:styleId="BodyTextChar">
    <w:name w:val="Body Text Char"/>
    <w:basedOn w:val="DefaultParagraphFont"/>
    <w:link w:val="BodyText"/>
    <w:uiPriority w:val="99"/>
    <w:semiHidden/>
    <w:rsid w:val="00D67D38"/>
  </w:style>
  <w:style w:type="paragraph" w:styleId="BodyText2">
    <w:name w:val="Body Text 2"/>
    <w:basedOn w:val="Normal"/>
    <w:link w:val="BodyText2Char"/>
    <w:unhideWhenUsed/>
    <w:rsid w:val="00D67D38"/>
    <w:rPr>
      <w:color w:val="000000"/>
    </w:rPr>
  </w:style>
  <w:style w:type="character" w:customStyle="1" w:styleId="BodyText2Char">
    <w:name w:val="Body Text 2 Char"/>
    <w:basedOn w:val="DefaultParagraphFont"/>
    <w:link w:val="BodyText2"/>
    <w:rsid w:val="00D67D38"/>
    <w:rPr>
      <w:rFonts w:ascii="Times New Roman" w:eastAsia="Times New Roman" w:hAnsi="Times New Roman" w:cs="Times New Roman"/>
      <w:color w:val="000000"/>
      <w:sz w:val="24"/>
      <w:szCs w:val="24"/>
    </w:rPr>
  </w:style>
  <w:style w:type="paragraph" w:customStyle="1" w:styleId="p12">
    <w:name w:val="p12"/>
    <w:basedOn w:val="Normal"/>
    <w:rsid w:val="00D67D38"/>
    <w:pPr>
      <w:widowControl w:val="0"/>
      <w:tabs>
        <w:tab w:val="left" w:pos="700"/>
      </w:tabs>
      <w:snapToGrid w:val="0"/>
      <w:spacing w:line="240" w:lineRule="atLeast"/>
      <w:ind w:left="740"/>
      <w:jc w:val="both"/>
    </w:pPr>
    <w:rPr>
      <w:szCs w:val="20"/>
    </w:rPr>
  </w:style>
  <w:style w:type="paragraph" w:styleId="Header">
    <w:name w:val="header"/>
    <w:basedOn w:val="Normal"/>
    <w:link w:val="HeaderChar"/>
    <w:uiPriority w:val="99"/>
    <w:unhideWhenUsed/>
    <w:rsid w:val="00175EF0"/>
    <w:pPr>
      <w:tabs>
        <w:tab w:val="center" w:pos="4513"/>
        <w:tab w:val="right" w:pos="9026"/>
      </w:tabs>
    </w:pPr>
  </w:style>
  <w:style w:type="character" w:customStyle="1" w:styleId="HeaderChar">
    <w:name w:val="Header Char"/>
    <w:basedOn w:val="DefaultParagraphFont"/>
    <w:link w:val="Header"/>
    <w:uiPriority w:val="99"/>
    <w:rsid w:val="00175EF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75EF0"/>
    <w:pPr>
      <w:tabs>
        <w:tab w:val="center" w:pos="4513"/>
        <w:tab w:val="right" w:pos="9026"/>
      </w:tabs>
    </w:pPr>
  </w:style>
  <w:style w:type="character" w:customStyle="1" w:styleId="FooterChar">
    <w:name w:val="Footer Char"/>
    <w:basedOn w:val="DefaultParagraphFont"/>
    <w:link w:val="Footer"/>
    <w:uiPriority w:val="99"/>
    <w:rsid w:val="00175EF0"/>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90029">
      <w:bodyDiv w:val="1"/>
      <w:marLeft w:val="0"/>
      <w:marRight w:val="0"/>
      <w:marTop w:val="0"/>
      <w:marBottom w:val="0"/>
      <w:divBdr>
        <w:top w:val="none" w:sz="0" w:space="0" w:color="auto"/>
        <w:left w:val="none" w:sz="0" w:space="0" w:color="auto"/>
        <w:bottom w:val="none" w:sz="0" w:space="0" w:color="auto"/>
        <w:right w:val="none" w:sz="0" w:space="0" w:color="auto"/>
      </w:divBdr>
    </w:div>
    <w:div w:id="371922140">
      <w:bodyDiv w:val="1"/>
      <w:marLeft w:val="0"/>
      <w:marRight w:val="0"/>
      <w:marTop w:val="0"/>
      <w:marBottom w:val="0"/>
      <w:divBdr>
        <w:top w:val="none" w:sz="0" w:space="0" w:color="auto"/>
        <w:left w:val="none" w:sz="0" w:space="0" w:color="auto"/>
        <w:bottom w:val="none" w:sz="0" w:space="0" w:color="auto"/>
        <w:right w:val="none" w:sz="0" w:space="0" w:color="auto"/>
      </w:divBdr>
    </w:div>
    <w:div w:id="445346279">
      <w:bodyDiv w:val="1"/>
      <w:marLeft w:val="0"/>
      <w:marRight w:val="0"/>
      <w:marTop w:val="0"/>
      <w:marBottom w:val="0"/>
      <w:divBdr>
        <w:top w:val="none" w:sz="0" w:space="0" w:color="auto"/>
        <w:left w:val="none" w:sz="0" w:space="0" w:color="auto"/>
        <w:bottom w:val="none" w:sz="0" w:space="0" w:color="auto"/>
        <w:right w:val="none" w:sz="0" w:space="0" w:color="auto"/>
      </w:divBdr>
    </w:div>
    <w:div w:id="478500214">
      <w:bodyDiv w:val="1"/>
      <w:marLeft w:val="0"/>
      <w:marRight w:val="0"/>
      <w:marTop w:val="0"/>
      <w:marBottom w:val="0"/>
      <w:divBdr>
        <w:top w:val="none" w:sz="0" w:space="0" w:color="auto"/>
        <w:left w:val="none" w:sz="0" w:space="0" w:color="auto"/>
        <w:bottom w:val="none" w:sz="0" w:space="0" w:color="auto"/>
        <w:right w:val="none" w:sz="0" w:space="0" w:color="auto"/>
      </w:divBdr>
    </w:div>
    <w:div w:id="1033656477">
      <w:bodyDiv w:val="1"/>
      <w:marLeft w:val="0"/>
      <w:marRight w:val="0"/>
      <w:marTop w:val="0"/>
      <w:marBottom w:val="0"/>
      <w:divBdr>
        <w:top w:val="none" w:sz="0" w:space="0" w:color="auto"/>
        <w:left w:val="none" w:sz="0" w:space="0" w:color="auto"/>
        <w:bottom w:val="none" w:sz="0" w:space="0" w:color="auto"/>
        <w:right w:val="none" w:sz="0" w:space="0" w:color="auto"/>
      </w:divBdr>
    </w:div>
    <w:div w:id="1712993765">
      <w:bodyDiv w:val="1"/>
      <w:marLeft w:val="0"/>
      <w:marRight w:val="0"/>
      <w:marTop w:val="0"/>
      <w:marBottom w:val="0"/>
      <w:divBdr>
        <w:top w:val="none" w:sz="0" w:space="0" w:color="auto"/>
        <w:left w:val="none" w:sz="0" w:space="0" w:color="auto"/>
        <w:bottom w:val="none" w:sz="0" w:space="0" w:color="auto"/>
        <w:right w:val="none" w:sz="0" w:space="0" w:color="auto"/>
      </w:divBdr>
    </w:div>
    <w:div w:id="2052419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edgen.ugent.be/genorm/" TargetMode="External"/><Relationship Id="rId3" Type="http://schemas.openxmlformats.org/officeDocument/2006/relationships/webSettings" Target="webSettings.xml"/><Relationship Id="rId7" Type="http://schemas.openxmlformats.org/officeDocument/2006/relationships/hyperlink" Target="http://www.ncbi.nlm.nih.gov/CCDS/CcdsBrowse.cg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medgen.ugent.be/genor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8</Pages>
  <Words>1197</Words>
  <Characters>6823</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8004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rwt141</dc:creator>
  <cp:lastModifiedBy>Drew, Janice</cp:lastModifiedBy>
  <cp:revision>5</cp:revision>
  <dcterms:created xsi:type="dcterms:W3CDTF">2017-07-06T10:06:00Z</dcterms:created>
  <dcterms:modified xsi:type="dcterms:W3CDTF">2017-07-06T10:20:00Z</dcterms:modified>
</cp:coreProperties>
</file>