
<file path=[Content_Types].xml><?xml version="1.0" encoding="utf-8"?>
<Types xmlns="http://schemas.openxmlformats.org/package/2006/content-types">
  <Override PartName="/word/footnotes.xml" ContentType="application/vnd.openxmlformats-officedocument.wordprocessingml.footnotes+xml"/>
  <Default Extension="bin" ContentType="application/vnd.openxmlformats-officedocument.oleObject"/>
  <Default Extension="wmf" ContentType="image/x-wmf"/>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footer4.xml" ContentType="application/vnd.openxmlformats-officedocument.wordprocessingml.footer+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E60B6" w:rsidRPr="009812DD" w:rsidRDefault="00BE60B6">
      <w:pPr>
        <w:rPr>
          <w:b/>
          <w:lang w:val="en-US"/>
        </w:rPr>
      </w:pPr>
      <w:bookmarkStart w:id="0" w:name="OLE_LINK1"/>
    </w:p>
    <w:p w:rsidR="00BE60B6" w:rsidRDefault="00BE60B6">
      <w:pPr>
        <w:jc w:val="center"/>
        <w:rPr>
          <w:b/>
          <w:lang w:val="en-US"/>
        </w:rPr>
      </w:pPr>
    </w:p>
    <w:p w:rsidR="00BE60B6" w:rsidRDefault="00BE60B6">
      <w:pPr>
        <w:jc w:val="center"/>
        <w:rPr>
          <w:b/>
          <w:lang w:val="en-US"/>
        </w:rPr>
      </w:pPr>
    </w:p>
    <w:p w:rsidR="00BE60B6" w:rsidRDefault="00BE60B6">
      <w:pPr>
        <w:jc w:val="center"/>
        <w:rPr>
          <w:b/>
          <w:lang w:val="en-US"/>
        </w:rPr>
      </w:pPr>
    </w:p>
    <w:p w:rsidR="00BE60B6" w:rsidRDefault="00BE60B6">
      <w:pPr>
        <w:jc w:val="center"/>
        <w:outlineLvl w:val="0"/>
        <w:rPr>
          <w:b/>
          <w:highlight w:val="yellow"/>
          <w:lang w:val="en-US"/>
        </w:rPr>
      </w:pPr>
      <w:r>
        <w:rPr>
          <w:b/>
          <w:lang w:val="en-US"/>
        </w:rPr>
        <w:t xml:space="preserve">House Prices and Bubbles in </w:t>
      </w:r>
      <w:smartTag w:uri="urn:schemas-microsoft-com:office:smarttags" w:element="place">
        <w:smartTag w:uri="urn:schemas-microsoft-com:office:smarttags" w:element="country-region">
          <w:r>
            <w:rPr>
              <w:b/>
              <w:lang w:val="en-US"/>
            </w:rPr>
            <w:t>New Zealand</w:t>
          </w:r>
        </w:smartTag>
      </w:smartTag>
    </w:p>
    <w:p w:rsidR="00BE60B6" w:rsidRDefault="00BE60B6">
      <w:pPr>
        <w:rPr>
          <w:b/>
          <w:lang w:val="en-US"/>
        </w:rPr>
      </w:pPr>
    </w:p>
    <w:p w:rsidR="00BE60B6" w:rsidRDefault="00BE60B6">
      <w:pPr>
        <w:rPr>
          <w:b/>
          <w:lang w:val="en-US"/>
        </w:rPr>
      </w:pPr>
    </w:p>
    <w:p w:rsidR="00BE60B6" w:rsidRDefault="00BE60B6">
      <w:pPr>
        <w:rPr>
          <w:b/>
          <w:lang w:val="en-US"/>
        </w:rPr>
      </w:pPr>
    </w:p>
    <w:p w:rsidR="00BE60B6" w:rsidRDefault="00BE60B6">
      <w:pPr>
        <w:rPr>
          <w:b/>
          <w:lang w:val="en-US"/>
        </w:rPr>
      </w:pPr>
    </w:p>
    <w:p w:rsidR="00BE60B6" w:rsidRDefault="00BE60B6">
      <w:pPr>
        <w:jc w:val="center"/>
        <w:outlineLvl w:val="0"/>
        <w:rPr>
          <w:i/>
          <w:vertAlign w:val="superscript"/>
          <w:lang w:val="en-US"/>
        </w:rPr>
      </w:pPr>
      <w:r>
        <w:rPr>
          <w:i/>
          <w:lang w:val="en-US"/>
        </w:rPr>
        <w:t>Patricia Fraser*, Martin Hoesli</w:t>
      </w:r>
      <w:r>
        <w:rPr>
          <w:rStyle w:val="FootnoteReference"/>
          <w:i/>
          <w:lang w:val="en-US"/>
        </w:rPr>
        <w:footnoteReference w:customMarkFollows="1" w:id="1"/>
        <w:t>**</w:t>
      </w:r>
      <w:r>
        <w:rPr>
          <w:i/>
          <w:lang w:val="en-US"/>
        </w:rPr>
        <w:t xml:space="preserve"> and Lynn McAlevey***</w:t>
      </w:r>
    </w:p>
    <w:p w:rsidR="00BE60B6" w:rsidRDefault="00BE60B6">
      <w:pPr>
        <w:jc w:val="center"/>
        <w:rPr>
          <w:lang w:val="en-US"/>
        </w:rPr>
      </w:pPr>
    </w:p>
    <w:p w:rsidR="00BE60B6" w:rsidRDefault="00BE60B6">
      <w:pPr>
        <w:jc w:val="center"/>
        <w:rPr>
          <w:lang w:val="en-US"/>
        </w:rPr>
      </w:pPr>
    </w:p>
    <w:p w:rsidR="00BE60B6" w:rsidRDefault="00BE60B6">
      <w:pPr>
        <w:jc w:val="both"/>
        <w:rPr>
          <w:lang w:val="en-US"/>
        </w:rPr>
      </w:pPr>
    </w:p>
    <w:p w:rsidR="00BE60B6" w:rsidRDefault="00BE60B6">
      <w:pPr>
        <w:jc w:val="both"/>
        <w:rPr>
          <w:lang w:val="en-US"/>
        </w:rPr>
      </w:pPr>
    </w:p>
    <w:p w:rsidR="00BE60B6" w:rsidRDefault="00BE60B6">
      <w:pPr>
        <w:jc w:val="both"/>
        <w:rPr>
          <w:lang w:val="en-US"/>
        </w:rPr>
      </w:pPr>
      <w:r>
        <w:rPr>
          <w:lang w:val="en-US"/>
        </w:rPr>
        <w:t xml:space="preserve">This paper studies actual (real) house prices relative to fundamental (real) house values in </w:t>
      </w:r>
      <w:smartTag w:uri="urn:schemas-microsoft-com:office:smarttags" w:element="place">
        <w:smartTag w:uri="urn:schemas-microsoft-com:office:smarttags" w:element="country-region">
          <w:r>
            <w:rPr>
              <w:lang w:val="en-US"/>
            </w:rPr>
            <w:t>New Zealand</w:t>
          </w:r>
        </w:smartTag>
      </w:smartTag>
      <w:r>
        <w:rPr>
          <w:lang w:val="en-US"/>
        </w:rPr>
        <w:t xml:space="preserve"> for the period 1970-2005.  Utilizing a dynamic present value model, we find disparities between actual and fundamental house prices in the early 1970s and 1980s and from 2000 to date.  We model the bubble component that is related to fundamentals (the intrinsic component), making it possible to highlight whether a bubble still exists after that component is accounted for.  We then analyze any remaining bubble to detect any momentum behavior.  Much of the overvaluation of the housing market is found to be due to price dynamics rather than an overreaction to fundamentals.</w:t>
      </w:r>
    </w:p>
    <w:p w:rsidR="00BE60B6" w:rsidRDefault="00BE60B6">
      <w:pPr>
        <w:jc w:val="both"/>
        <w:outlineLvl w:val="0"/>
        <w:rPr>
          <w:lang w:val="en-US"/>
        </w:rPr>
      </w:pPr>
    </w:p>
    <w:p w:rsidR="00BE60B6" w:rsidRDefault="00A750C1">
      <w:pPr>
        <w:jc w:val="both"/>
        <w:outlineLvl w:val="0"/>
        <w:rPr>
          <w:lang w:val="en-US"/>
        </w:rPr>
      </w:pPr>
      <w:r>
        <w:rPr>
          <w:lang w:val="en-US"/>
        </w:rPr>
        <w:t>Key</w:t>
      </w:r>
      <w:r w:rsidR="004274AB">
        <w:rPr>
          <w:lang w:val="en-US"/>
        </w:rPr>
        <w:t>words: Real house prices; Real disposable income; Fundamentals; Present value; Time-varying risk; B</w:t>
      </w:r>
      <w:r w:rsidR="00BE60B6">
        <w:rPr>
          <w:lang w:val="en-US"/>
        </w:rPr>
        <w:t>ubbles; New Zealand.</w:t>
      </w:r>
    </w:p>
    <w:p w:rsidR="00BE60B6" w:rsidRDefault="00BE60B6">
      <w:pPr>
        <w:jc w:val="both"/>
        <w:rPr>
          <w:lang w:val="en-US"/>
        </w:rPr>
      </w:pPr>
    </w:p>
    <w:p w:rsidR="00BE60B6" w:rsidRPr="004274AB" w:rsidRDefault="00BE60B6" w:rsidP="004274AB">
      <w:pPr>
        <w:pStyle w:val="BodyText2"/>
        <w:rPr>
          <w:lang w:val="fr-FR"/>
        </w:rPr>
      </w:pPr>
      <w:r w:rsidRPr="004274AB">
        <w:rPr>
          <w:lang w:val="fr-FR"/>
        </w:rPr>
        <w:t>JEL Classification Codes: G12, R31, G18.</w:t>
      </w:r>
    </w:p>
    <w:p w:rsidR="00BE60B6" w:rsidRPr="004274AB" w:rsidRDefault="00BE60B6">
      <w:pPr>
        <w:jc w:val="both"/>
        <w:rPr>
          <w:sz w:val="20"/>
          <w:lang w:val="fr-FR"/>
        </w:rPr>
      </w:pPr>
    </w:p>
    <w:p w:rsidR="00BE60B6" w:rsidRDefault="00BE60B6">
      <w:pPr>
        <w:jc w:val="both"/>
        <w:rPr>
          <w:sz w:val="20"/>
          <w:lang w:val="fr-FR"/>
        </w:rPr>
      </w:pPr>
    </w:p>
    <w:p w:rsidR="00D20EFE" w:rsidRPr="004274AB" w:rsidRDefault="00D20EFE">
      <w:pPr>
        <w:jc w:val="both"/>
        <w:rPr>
          <w:sz w:val="20"/>
          <w:lang w:val="fr-FR"/>
        </w:rPr>
      </w:pPr>
    </w:p>
    <w:p w:rsidR="00BE60B6" w:rsidRPr="004274AB" w:rsidRDefault="00BE60B6">
      <w:pPr>
        <w:jc w:val="both"/>
        <w:rPr>
          <w:sz w:val="20"/>
          <w:lang w:val="fr-FR"/>
        </w:rPr>
      </w:pPr>
    </w:p>
    <w:p w:rsidR="00BE60B6" w:rsidRPr="004274AB" w:rsidRDefault="00BE60B6">
      <w:pPr>
        <w:jc w:val="both"/>
        <w:rPr>
          <w:sz w:val="20"/>
          <w:lang w:val="fr-FR"/>
        </w:rPr>
        <w:sectPr w:rsidR="00BE60B6" w:rsidRPr="004274AB">
          <w:footerReference w:type="even" r:id="rId7"/>
          <w:footerReference w:type="default" r:id="rId8"/>
          <w:pgSz w:w="11906" w:h="16838"/>
          <w:pgMar w:top="1440" w:right="1800" w:bottom="1440" w:left="1800" w:header="708" w:footer="708" w:gutter="0"/>
          <w:cols w:space="708"/>
          <w:titlePg/>
          <w:docGrid w:linePitch="360"/>
        </w:sectPr>
      </w:pPr>
    </w:p>
    <w:p w:rsidR="00BE60B6" w:rsidRPr="004274AB" w:rsidRDefault="00BE60B6">
      <w:pPr>
        <w:jc w:val="both"/>
        <w:rPr>
          <w:sz w:val="20"/>
          <w:lang w:val="fr-FR"/>
        </w:rPr>
      </w:pPr>
    </w:p>
    <w:p w:rsidR="00BE60B6" w:rsidRDefault="00BE60B6">
      <w:pPr>
        <w:ind w:left="360" w:hanging="360"/>
        <w:jc w:val="center"/>
        <w:rPr>
          <w:b/>
          <w:lang w:val="en-US"/>
        </w:rPr>
      </w:pPr>
      <w:r>
        <w:rPr>
          <w:b/>
          <w:lang w:val="en-US"/>
        </w:rPr>
        <w:lastRenderedPageBreak/>
        <w:t xml:space="preserve">House Prices and Bubbles in </w:t>
      </w:r>
      <w:smartTag w:uri="urn:schemas-microsoft-com:office:smarttags" w:element="place">
        <w:smartTag w:uri="urn:schemas-microsoft-com:office:smarttags" w:element="country-region">
          <w:r>
            <w:rPr>
              <w:b/>
              <w:lang w:val="en-US"/>
            </w:rPr>
            <w:t>New Zealand</w:t>
          </w:r>
        </w:smartTag>
      </w:smartTag>
    </w:p>
    <w:p w:rsidR="00BE60B6" w:rsidRDefault="00BE60B6">
      <w:pPr>
        <w:ind w:left="360" w:hanging="360"/>
        <w:jc w:val="both"/>
        <w:rPr>
          <w:b/>
          <w:lang w:val="en-US"/>
        </w:rPr>
      </w:pPr>
    </w:p>
    <w:p w:rsidR="00BE60B6" w:rsidRDefault="00BE60B6">
      <w:pPr>
        <w:ind w:left="360" w:hanging="360"/>
        <w:jc w:val="both"/>
        <w:rPr>
          <w:b/>
          <w:lang w:val="en-US"/>
        </w:rPr>
      </w:pPr>
    </w:p>
    <w:p w:rsidR="00BE60B6" w:rsidRDefault="00BE60B6">
      <w:pPr>
        <w:ind w:left="360" w:hanging="360"/>
        <w:jc w:val="both"/>
        <w:rPr>
          <w:b/>
          <w:lang w:val="en-US"/>
        </w:rPr>
      </w:pPr>
    </w:p>
    <w:p w:rsidR="00BE60B6" w:rsidRDefault="00BE60B6">
      <w:pPr>
        <w:ind w:left="360" w:hanging="360"/>
        <w:jc w:val="both"/>
        <w:rPr>
          <w:b/>
          <w:lang w:val="en-US"/>
        </w:rPr>
      </w:pPr>
      <w:r>
        <w:rPr>
          <w:b/>
          <w:lang w:val="en-US"/>
        </w:rPr>
        <w:t>Introduction</w:t>
      </w:r>
    </w:p>
    <w:p w:rsidR="00BE60B6" w:rsidRDefault="00BE60B6">
      <w:pPr>
        <w:ind w:left="360" w:hanging="360"/>
        <w:jc w:val="both"/>
        <w:rPr>
          <w:b/>
          <w:lang w:val="en-US"/>
        </w:rPr>
      </w:pPr>
    </w:p>
    <w:p w:rsidR="00BE60B6" w:rsidRDefault="00BE60B6" w:rsidP="00C25039">
      <w:pPr>
        <w:pStyle w:val="Footer"/>
        <w:tabs>
          <w:tab w:val="left" w:pos="720"/>
        </w:tabs>
        <w:spacing w:line="360" w:lineRule="auto"/>
        <w:jc w:val="both"/>
        <w:rPr>
          <w:lang w:val="en-US"/>
        </w:rPr>
      </w:pPr>
      <w:r>
        <w:rPr>
          <w:lang w:val="en-US"/>
        </w:rPr>
        <w:t>Much attention is given by policy-makers and the media to the state of the housing sector, with the interest generated by the importance of housing on the general economy.  For example, not only is housing the major asset in household portfolios (</w:t>
      </w:r>
      <w:r w:rsidRPr="00266F1A">
        <w:rPr>
          <w:lang w:val="en-US"/>
        </w:rPr>
        <w:t>Englund et al.</w:t>
      </w:r>
      <w:r w:rsidR="00266F1A" w:rsidRPr="00266F1A">
        <w:rPr>
          <w:lang w:val="en-US"/>
        </w:rPr>
        <w:t>, 20</w:t>
      </w:r>
      <w:r w:rsidR="00266F1A">
        <w:rPr>
          <w:lang w:val="en-US"/>
        </w:rPr>
        <w:t>02; Flavin &amp;</w:t>
      </w:r>
      <w:r>
        <w:rPr>
          <w:lang w:val="en-US"/>
        </w:rPr>
        <w:t xml:space="preserve"> Yamashita, 2002)</w:t>
      </w:r>
      <w:r w:rsidR="00B81FF3">
        <w:rPr>
          <w:lang w:val="en-US"/>
        </w:rPr>
        <w:t>,</w:t>
      </w:r>
      <w:r>
        <w:rPr>
          <w:lang w:val="en-US"/>
        </w:rPr>
        <w:t xml:space="preserve"> but wealth effects have been shown to be greater for housing than for financial assets (</w:t>
      </w:r>
      <w:r w:rsidRPr="00266F1A">
        <w:rPr>
          <w:lang w:val="en-US"/>
        </w:rPr>
        <w:t>Case et al., 2005; Benjamin et al.,</w:t>
      </w:r>
      <w:r>
        <w:rPr>
          <w:lang w:val="en-US"/>
        </w:rPr>
        <w:t xml:space="preserve"> 2004).  Helbling and Terrones (2003) also report that during 1970-2002 the output effects associated with housing price busts were twice as large as those of equity price busts and that the slowdown after a housing market collapse lasted about twice as long as the slowdown after a stock market</w:t>
      </w:r>
      <w:r w:rsidR="00B81FF3">
        <w:rPr>
          <w:lang w:val="en-US"/>
        </w:rPr>
        <w:t xml:space="preserve"> crash</w:t>
      </w:r>
      <w:r w:rsidR="00266F1A">
        <w:rPr>
          <w:lang w:val="en-US"/>
        </w:rPr>
        <w:t xml:space="preserve"> (see also, Goetzmann &amp;</w:t>
      </w:r>
      <w:r>
        <w:rPr>
          <w:lang w:val="en-US"/>
        </w:rPr>
        <w:t xml:space="preserve"> Ibbotson, 1990; </w:t>
      </w:r>
      <w:r w:rsidRPr="00266F1A">
        <w:rPr>
          <w:lang w:val="en-US"/>
        </w:rPr>
        <w:t>Liang et al., 1996</w:t>
      </w:r>
      <w:r>
        <w:rPr>
          <w:lang w:val="en-US"/>
        </w:rPr>
        <w:t xml:space="preserve">). </w:t>
      </w:r>
      <w:r w:rsidR="00B81FF3">
        <w:rPr>
          <w:lang w:val="en-US"/>
        </w:rPr>
        <w:t xml:space="preserve"> </w:t>
      </w:r>
      <w:r>
        <w:rPr>
          <w:lang w:val="en-US"/>
        </w:rPr>
        <w:t xml:space="preserve">Hence much of the attention on whether or not a housing bubble exists is driven by the need to control inflationary pressures in the economy as well as the negative impact that a sharp decline in house prices would have </w:t>
      </w:r>
      <w:r w:rsidR="00F44D95">
        <w:rPr>
          <w:lang w:val="en-US"/>
        </w:rPr>
        <w:t>on the general economy.</w:t>
      </w:r>
    </w:p>
    <w:p w:rsidR="00BE60B6" w:rsidRDefault="00BE60B6" w:rsidP="00C25039">
      <w:pPr>
        <w:pStyle w:val="Footer"/>
        <w:tabs>
          <w:tab w:val="left" w:pos="720"/>
        </w:tabs>
        <w:spacing w:line="360" w:lineRule="auto"/>
        <w:jc w:val="both"/>
        <w:rPr>
          <w:color w:val="000000"/>
          <w:lang w:val="en-US"/>
        </w:rPr>
      </w:pPr>
      <w:r>
        <w:rPr>
          <w:lang w:val="en-US"/>
        </w:rPr>
        <w:tab/>
        <w:t>House price bubbles have been the focus of several academic s</w:t>
      </w:r>
      <w:r w:rsidR="00266F1A">
        <w:rPr>
          <w:lang w:val="en-US"/>
        </w:rPr>
        <w:t>tudies (for example, Abraham &amp;</w:t>
      </w:r>
      <w:r>
        <w:rPr>
          <w:lang w:val="en-US"/>
        </w:rPr>
        <w:t xml:space="preserve"> Hendershott, 1996, for the </w:t>
      </w:r>
      <w:smartTag w:uri="urn:schemas-microsoft-com:office:smarttags" w:element="country-region">
        <w:r>
          <w:rPr>
            <w:lang w:val="en-US"/>
          </w:rPr>
          <w:t>U.S.</w:t>
        </w:r>
      </w:smartTag>
      <w:r w:rsidR="00266F1A">
        <w:rPr>
          <w:lang w:val="en-US"/>
        </w:rPr>
        <w:t>; Ayuso &amp;</w:t>
      </w:r>
      <w:r>
        <w:rPr>
          <w:lang w:val="en-US"/>
        </w:rPr>
        <w:t xml:space="preserve"> Restoy, 2003, for the </w:t>
      </w:r>
      <w:smartTag w:uri="urn:schemas-microsoft-com:office:smarttags" w:element="country-region">
        <w:r>
          <w:rPr>
            <w:lang w:val="en-US"/>
          </w:rPr>
          <w:t>U.K.</w:t>
        </w:r>
      </w:smartTag>
      <w:r>
        <w:rPr>
          <w:lang w:val="en-US"/>
        </w:rPr>
        <w:t xml:space="preserve"> and </w:t>
      </w:r>
      <w:smartTag w:uri="urn:schemas-microsoft-com:office:smarttags" w:element="place">
        <w:smartTag w:uri="urn:schemas-microsoft-com:office:smarttags" w:element="country-region">
          <w:r>
            <w:rPr>
              <w:lang w:val="en-US"/>
            </w:rPr>
            <w:t>Spain</w:t>
          </w:r>
        </w:smartTag>
      </w:smartTag>
      <w:r>
        <w:rPr>
          <w:lang w:val="en-US"/>
        </w:rPr>
        <w:t xml:space="preserve">; </w:t>
      </w:r>
      <w:r w:rsidRPr="00266F1A">
        <w:rPr>
          <w:lang w:val="en-US"/>
        </w:rPr>
        <w:t>Chan et al., 2001</w:t>
      </w:r>
      <w:r>
        <w:rPr>
          <w:lang w:val="en-US"/>
        </w:rPr>
        <w:t>, for Hong Kong).  Housing bubbles have, however, been found to be quite modest in sev</w:t>
      </w:r>
      <w:r w:rsidR="00266F1A">
        <w:rPr>
          <w:lang w:val="en-US"/>
        </w:rPr>
        <w:t>eral countries (see Bourassa &amp;</w:t>
      </w:r>
      <w:r>
        <w:rPr>
          <w:lang w:val="en-US"/>
        </w:rPr>
        <w:t xml:space="preserve"> Hendershott, 1995, for Australia; Hort, 1998, for Sweden; </w:t>
      </w:r>
      <w:r w:rsidRPr="00266F1A">
        <w:rPr>
          <w:lang w:val="en-US"/>
        </w:rPr>
        <w:t>Bourassa et al., 2001</w:t>
      </w:r>
      <w:r>
        <w:rPr>
          <w:lang w:val="en-US"/>
        </w:rPr>
        <w:t>, for New Zealand) although some evidence of regional speculati</w:t>
      </w:r>
      <w:r w:rsidR="00266F1A">
        <w:rPr>
          <w:lang w:val="en-US"/>
        </w:rPr>
        <w:t>ve behavior is reported (Levin &amp;</w:t>
      </w:r>
      <w:r>
        <w:rPr>
          <w:lang w:val="en-US"/>
        </w:rPr>
        <w:t xml:space="preserve"> Wright, 1997, for London; Roehner, 1999, for Paris; Roche, 2001, for Dublin).  Although they do not test specifically for local bubbles, Lai and Van Order (2006) find weak </w:t>
      </w:r>
      <w:r>
        <w:rPr>
          <w:color w:val="000000"/>
          <w:lang w:val="en-US"/>
        </w:rPr>
        <w:t xml:space="preserve">evidence for a bubble across regions in the </w:t>
      </w:r>
      <w:smartTag w:uri="urn:schemas-microsoft-com:office:smarttags" w:element="place">
        <w:smartTag w:uri="urn:schemas-microsoft-com:office:smarttags" w:element="country-region">
          <w:r>
            <w:rPr>
              <w:color w:val="000000"/>
              <w:lang w:val="en-US"/>
            </w:rPr>
            <w:t>U.S.</w:t>
          </w:r>
        </w:smartTag>
      </w:smartTag>
    </w:p>
    <w:p w:rsidR="00BE60B6" w:rsidRDefault="00BE60B6" w:rsidP="00C25039">
      <w:pPr>
        <w:pStyle w:val="Footer"/>
        <w:tabs>
          <w:tab w:val="left" w:pos="720"/>
          <w:tab w:val="left" w:pos="5760"/>
        </w:tabs>
        <w:spacing w:line="360" w:lineRule="auto"/>
        <w:jc w:val="both"/>
        <w:rPr>
          <w:color w:val="000000"/>
          <w:lang w:val="en-US"/>
        </w:rPr>
      </w:pPr>
      <w:r>
        <w:rPr>
          <w:color w:val="000000"/>
          <w:lang w:val="en-US"/>
        </w:rPr>
        <w:tab/>
        <w:t xml:space="preserve">The focus of this paper is on the </w:t>
      </w:r>
      <w:smartTag w:uri="urn:schemas-microsoft-com:office:smarttags" w:element="place">
        <w:smartTag w:uri="urn:schemas-microsoft-com:office:smarttags" w:element="country-region">
          <w:r>
            <w:rPr>
              <w:color w:val="000000"/>
              <w:lang w:val="en-US"/>
            </w:rPr>
            <w:t>New Zealand</w:t>
          </w:r>
        </w:smartTag>
      </w:smartTag>
      <w:r>
        <w:rPr>
          <w:color w:val="000000"/>
          <w:lang w:val="en-US"/>
        </w:rPr>
        <w:t xml:space="preserve"> housing sector.  This is motivated by several unique reasons.  First, </w:t>
      </w:r>
      <w:smartTag w:uri="urn:schemas-microsoft-com:office:smarttags" w:element="place">
        <w:smartTag w:uri="urn:schemas-microsoft-com:office:smarttags" w:element="country-region">
          <w:r>
            <w:rPr>
              <w:color w:val="000000"/>
              <w:lang w:val="en-US"/>
            </w:rPr>
            <w:t>New Zealand</w:t>
          </w:r>
        </w:smartTag>
      </w:smartTag>
      <w:r>
        <w:rPr>
          <w:color w:val="000000"/>
          <w:lang w:val="en-US"/>
        </w:rPr>
        <w:t xml:space="preserve"> has experienced a relatively high number of housing peaks in recent years. </w:t>
      </w:r>
      <w:r w:rsidR="00B81FF3">
        <w:rPr>
          <w:color w:val="000000"/>
          <w:lang w:val="en-US"/>
        </w:rPr>
        <w:t xml:space="preserve"> </w:t>
      </w:r>
      <w:r>
        <w:rPr>
          <w:color w:val="000000"/>
          <w:lang w:val="en-US"/>
        </w:rPr>
        <w:t xml:space="preserve">In his OECD study, van den Noord, 2006, identifies four peaks in </w:t>
      </w:r>
      <w:smartTag w:uri="urn:schemas-microsoft-com:office:smarttags" w:element="place">
        <w:smartTag w:uri="urn:schemas-microsoft-com:office:smarttags" w:element="country-region">
          <w:r>
            <w:rPr>
              <w:color w:val="000000"/>
              <w:lang w:val="en-US"/>
            </w:rPr>
            <w:t>New Zealand</w:t>
          </w:r>
        </w:smartTag>
      </w:smartTag>
      <w:r>
        <w:rPr>
          <w:color w:val="000000"/>
          <w:lang w:val="en-US"/>
        </w:rPr>
        <w:t xml:space="preserve"> during the period 1970-2005</w:t>
      </w:r>
      <w:r>
        <w:rPr>
          <w:rStyle w:val="FootnoteReference"/>
          <w:color w:val="000000"/>
          <w:lang w:val="en-US"/>
        </w:rPr>
        <w:footnoteReference w:id="2"/>
      </w:r>
      <w:r>
        <w:rPr>
          <w:color w:val="000000"/>
          <w:lang w:val="en-US"/>
        </w:rPr>
        <w:t xml:space="preserve"> whereas, over the same period, most countries experienced two to three peaks.  Second, the probability of reaching another peak if interest rates were to increase is substantially greater in </w:t>
      </w:r>
      <w:smartTag w:uri="urn:schemas-microsoft-com:office:smarttags" w:element="place">
        <w:smartTag w:uri="urn:schemas-microsoft-com:office:smarttags" w:element="country-region">
          <w:r>
            <w:rPr>
              <w:color w:val="000000"/>
              <w:lang w:val="en-US"/>
            </w:rPr>
            <w:t>New Zealand</w:t>
          </w:r>
        </w:smartTag>
      </w:smartTag>
      <w:r w:rsidR="00B81FF3">
        <w:rPr>
          <w:color w:val="000000"/>
          <w:lang w:val="en-US"/>
        </w:rPr>
        <w:t xml:space="preserve">: </w:t>
      </w:r>
      <w:r>
        <w:rPr>
          <w:color w:val="000000"/>
          <w:lang w:val="en-US"/>
        </w:rPr>
        <w:t xml:space="preserve">van den Noord (2006), reports a probability of a turning point </w:t>
      </w:r>
      <w:r>
        <w:rPr>
          <w:color w:val="000000"/>
          <w:lang w:val="en-US"/>
        </w:rPr>
        <w:lastRenderedPageBreak/>
        <w:t>occurring of 34 percent if interest rates were to increase by 1 percent.</w:t>
      </w:r>
      <w:r w:rsidR="00943568">
        <w:rPr>
          <w:rStyle w:val="FootnoteReference"/>
          <w:color w:val="000000"/>
          <w:lang w:val="en-US"/>
        </w:rPr>
        <w:footnoteReference w:id="3"/>
      </w:r>
      <w:r>
        <w:rPr>
          <w:color w:val="000000"/>
          <w:lang w:val="en-US"/>
        </w:rPr>
        <w:t xml:space="preserve">  This probability is only 12 percent, 9 percent and 14 percent for the </w:t>
      </w:r>
      <w:smartTag w:uri="urn:schemas-microsoft-com:office:smarttags" w:element="country-region">
        <w:r>
          <w:rPr>
            <w:color w:val="000000"/>
            <w:lang w:val="en-US"/>
          </w:rPr>
          <w:t>U.S.</w:t>
        </w:r>
      </w:smartTag>
      <w:r>
        <w:rPr>
          <w:color w:val="000000"/>
          <w:lang w:val="en-US"/>
        </w:rPr>
        <w:t xml:space="preserve">, </w:t>
      </w:r>
      <w:smartTag w:uri="urn:schemas-microsoft-com:office:smarttags" w:element="country-region">
        <w:r>
          <w:rPr>
            <w:color w:val="000000"/>
            <w:lang w:val="en-US"/>
          </w:rPr>
          <w:t>U.K.</w:t>
        </w:r>
      </w:smartTag>
      <w:r>
        <w:rPr>
          <w:color w:val="000000"/>
          <w:lang w:val="en-US"/>
        </w:rPr>
        <w:t xml:space="preserve"> and </w:t>
      </w:r>
      <w:smartTag w:uri="urn:schemas-microsoft-com:office:smarttags" w:element="place">
        <w:smartTag w:uri="urn:schemas-microsoft-com:office:smarttags" w:element="country-region">
          <w:r>
            <w:rPr>
              <w:color w:val="000000"/>
              <w:lang w:val="en-US"/>
            </w:rPr>
            <w:t>France</w:t>
          </w:r>
        </w:smartTag>
      </w:smartTag>
      <w:r>
        <w:rPr>
          <w:color w:val="000000"/>
          <w:lang w:val="en-US"/>
        </w:rPr>
        <w:t xml:space="preserve">, respectively.  It is even zero in countries such as </w:t>
      </w:r>
      <w:smartTag w:uri="urn:schemas-microsoft-com:office:smarttags" w:element="country-region">
        <w:r>
          <w:rPr>
            <w:color w:val="000000"/>
            <w:lang w:val="en-US"/>
          </w:rPr>
          <w:t>Germany</w:t>
        </w:r>
      </w:smartTag>
      <w:r>
        <w:rPr>
          <w:color w:val="000000"/>
          <w:lang w:val="en-US"/>
        </w:rPr>
        <w:t xml:space="preserve">, </w:t>
      </w:r>
      <w:smartTag w:uri="urn:schemas-microsoft-com:office:smarttags" w:element="country-region">
        <w:r>
          <w:rPr>
            <w:color w:val="000000"/>
            <w:lang w:val="en-US"/>
          </w:rPr>
          <w:t>Japan</w:t>
        </w:r>
      </w:smartTag>
      <w:r>
        <w:rPr>
          <w:color w:val="000000"/>
          <w:lang w:val="en-US"/>
        </w:rPr>
        <w:t xml:space="preserve"> and </w:t>
      </w:r>
      <w:smartTag w:uri="urn:schemas-microsoft-com:office:smarttags" w:element="place">
        <w:smartTag w:uri="urn:schemas-microsoft-com:office:smarttags" w:element="country-region">
          <w:r>
            <w:rPr>
              <w:color w:val="000000"/>
              <w:lang w:val="en-US"/>
            </w:rPr>
            <w:t>Switzerland</w:t>
          </w:r>
        </w:smartTag>
      </w:smartTag>
      <w:r>
        <w:rPr>
          <w:color w:val="000000"/>
          <w:lang w:val="en-US"/>
        </w:rPr>
        <w:t xml:space="preserve">. </w:t>
      </w:r>
      <w:smartTag w:uri="urn:schemas-microsoft-com:office:smarttags" w:element="place">
        <w:smartTag w:uri="urn:schemas-microsoft-com:office:smarttags" w:element="country-region">
          <w:r>
            <w:rPr>
              <w:color w:val="000000"/>
              <w:lang w:val="en-US"/>
            </w:rPr>
            <w:t>New Zealand</w:t>
          </w:r>
        </w:smartTag>
      </w:smartTag>
      <w:r>
        <w:rPr>
          <w:color w:val="000000"/>
          <w:lang w:val="en-US"/>
        </w:rPr>
        <w:t xml:space="preserve"> has also figured prominently in The Economist House Price Indices as a country vulnerable to higher interest rates (The Economist 2006a, 2006b).  Hence, given New Zealand households hold a disproportionately high percentage, eighty percent, of th</w:t>
      </w:r>
      <w:r w:rsidR="00266F1A">
        <w:rPr>
          <w:color w:val="000000"/>
          <w:lang w:val="en-US"/>
        </w:rPr>
        <w:t>eir assets in housing (Claus &amp;</w:t>
      </w:r>
      <w:r>
        <w:rPr>
          <w:color w:val="000000"/>
          <w:lang w:val="en-US"/>
        </w:rPr>
        <w:t xml:space="preserve"> Scobie, 2001), and also by OECD standards have extremely low holdings of direct and indirect equities,</w:t>
      </w:r>
      <w:r>
        <w:rPr>
          <w:rStyle w:val="FootnoteReference"/>
          <w:color w:val="000000"/>
          <w:lang w:val="en-US"/>
        </w:rPr>
        <w:footnoteReference w:id="4"/>
      </w:r>
      <w:r>
        <w:rPr>
          <w:color w:val="000000"/>
          <w:lang w:val="en-US"/>
        </w:rPr>
        <w:t xml:space="preserve"> this makes it unique in comparison to other OECD countries.  In fact, the value of residential rental property in New Zealand exceeds the capitalized value of the New Zealand stock market (Balmer, 2004), with the composition of direct holdings by households in the New Zealand domestic share market having declined rapidly since the 1980s and reached a point at the turn of the century whereby 50 percent of equity holdin</w:t>
      </w:r>
      <w:r w:rsidR="00266F1A">
        <w:rPr>
          <w:color w:val="000000"/>
          <w:lang w:val="en-US"/>
        </w:rPr>
        <w:t>gs were held offshore (Thorp &amp;</w:t>
      </w:r>
      <w:r>
        <w:rPr>
          <w:color w:val="000000"/>
          <w:lang w:val="en-US"/>
        </w:rPr>
        <w:t xml:space="preserve"> Ung, 2001).</w:t>
      </w:r>
    </w:p>
    <w:p w:rsidR="00BE60B6" w:rsidRDefault="00BE60B6" w:rsidP="00C25039">
      <w:pPr>
        <w:pStyle w:val="Footer"/>
        <w:tabs>
          <w:tab w:val="left" w:pos="720"/>
        </w:tabs>
        <w:spacing w:line="360" w:lineRule="auto"/>
        <w:jc w:val="both"/>
        <w:rPr>
          <w:lang w:val="en-US"/>
        </w:rPr>
      </w:pPr>
      <w:r>
        <w:rPr>
          <w:color w:val="000000"/>
          <w:lang w:val="en-US"/>
        </w:rPr>
        <w:tab/>
        <w:t xml:space="preserve">Finally, recent studies of the New Zealand housing market have taken place against a background which is unusual </w:t>
      </w:r>
      <w:r>
        <w:rPr>
          <w:lang w:val="en-US"/>
        </w:rPr>
        <w:t>with respect to the extent to which and speed with which it evolved from a highly interventionist economy to one of the most liberal in the world (</w:t>
      </w:r>
      <w:r w:rsidRPr="00266F1A">
        <w:rPr>
          <w:lang w:val="en-US"/>
        </w:rPr>
        <w:t>Bollard et al., 1996</w:t>
      </w:r>
      <w:r>
        <w:rPr>
          <w:lang w:val="en-US"/>
        </w:rPr>
        <w:t>).  Starting in 1984, New Zealand began to institute a series of policies that shifted the country away from extensive state ownership of enterprises, public provision of services, price controls, regulation of business investment, interest and foreign exchange rate controls, and centralized labor bargaining.  As a result of these policies, government enterprises were “corporatized” and privatized, provision of services was contracted out, regulatory monopolies and price and entry controls were removed, the currency was allowed to float, centralized labor agreements were replaced by voluntary unions and bargaining at the enterprise and individual levels, and monetary policy was focused on maintaining low inflation.  As we investigate a relatively long time period (1970-2005), some effects of these changes should be apparent.</w:t>
      </w:r>
    </w:p>
    <w:p w:rsidR="00BE60B6" w:rsidRDefault="00BE60B6" w:rsidP="00C25039">
      <w:pPr>
        <w:pStyle w:val="Footer"/>
        <w:tabs>
          <w:tab w:val="left" w:pos="720"/>
        </w:tabs>
        <w:spacing w:line="360" w:lineRule="auto"/>
        <w:jc w:val="both"/>
        <w:rPr>
          <w:lang w:val="en-US"/>
        </w:rPr>
      </w:pPr>
      <w:r>
        <w:rPr>
          <w:lang w:val="en-US"/>
        </w:rPr>
        <w:tab/>
        <w:t xml:space="preserve">We compute the fundamental value of housing based on the present value of real disposable income, thus capturing what households have to spend after taxes and </w:t>
      </w:r>
      <w:r>
        <w:rPr>
          <w:lang w:val="en-US"/>
        </w:rPr>
        <w:lastRenderedPageBreak/>
        <w:t xml:space="preserve">inflationary pressures in the economy.  This is in contrast with much of the housing literature, which derives fundamental values from an equilibrium model containing variables such as real income, employment, real construction costs, and real interest rates.  When a present value model is used, then generally a constant discount rate is considered (for example, </w:t>
      </w:r>
      <w:r w:rsidRPr="00266F1A">
        <w:rPr>
          <w:lang w:val="en-US"/>
        </w:rPr>
        <w:t>Chan et al., 2001</w:t>
      </w:r>
      <w:r>
        <w:rPr>
          <w:lang w:val="en-US"/>
        </w:rPr>
        <w:t>)</w:t>
      </w:r>
      <w:r w:rsidR="00AF0667">
        <w:rPr>
          <w:lang w:val="en-US"/>
        </w:rPr>
        <w:t>,</w:t>
      </w:r>
      <w:r>
        <w:rPr>
          <w:lang w:val="en-US"/>
        </w:rPr>
        <w:t xml:space="preserve"> while in this study we follow the empirical framework of </w:t>
      </w:r>
      <w:r w:rsidRPr="00266F1A">
        <w:rPr>
          <w:lang w:val="en-US"/>
        </w:rPr>
        <w:t>Black et al. (2007</w:t>
      </w:r>
      <w:r>
        <w:rPr>
          <w:lang w:val="en-US"/>
        </w:rPr>
        <w:t>) and allow the risk premium to vary over time according to the product of the coefficient of relative risk aversion (</w:t>
      </w:r>
      <w:r>
        <w:rPr>
          <w:i/>
          <w:lang w:val="en-US"/>
        </w:rPr>
        <w:t>CRRA</w:t>
      </w:r>
      <w:r>
        <w:rPr>
          <w:lang w:val="en-US"/>
        </w:rPr>
        <w:t xml:space="preserve">) and the expected variance of returns.  The model is therefore forward-looking and dynamic in nature – arguably a necessary requirement for an analysis of what was a fast evolving and interesting period in </w:t>
      </w:r>
      <w:smartTag w:uri="urn:schemas-microsoft-com:office:smarttags" w:element="place">
        <w:smartTag w:uri="urn:schemas-microsoft-com:office:smarttags" w:element="country-region">
          <w:r>
            <w:rPr>
              <w:lang w:val="en-US"/>
            </w:rPr>
            <w:t>New Zealand</w:t>
          </w:r>
        </w:smartTag>
      </w:smartTag>
      <w:r>
        <w:rPr>
          <w:lang w:val="en-US"/>
        </w:rPr>
        <w:t xml:space="preserve"> history.  </w:t>
      </w:r>
    </w:p>
    <w:p w:rsidR="00BE60B6" w:rsidRDefault="00BE60B6" w:rsidP="00C25039">
      <w:pPr>
        <w:pStyle w:val="Footer"/>
        <w:tabs>
          <w:tab w:val="left" w:pos="720"/>
        </w:tabs>
        <w:spacing w:line="360" w:lineRule="auto"/>
        <w:jc w:val="both"/>
        <w:rPr>
          <w:lang w:val="en-US"/>
        </w:rPr>
      </w:pPr>
      <w:r>
        <w:rPr>
          <w:lang w:val="en-US"/>
        </w:rPr>
        <w:tab/>
        <w:t xml:space="preserve">Our analysis of housing </w:t>
      </w:r>
      <w:r>
        <w:rPr>
          <w:i/>
          <w:lang w:val="en-US"/>
        </w:rPr>
        <w:t>deviations</w:t>
      </w:r>
      <w:r>
        <w:rPr>
          <w:lang w:val="en-US"/>
        </w:rPr>
        <w:t xml:space="preserve"> from fundamentals is firmly embedded in the financial economics literature where deviations from fundamental values are commonly envisaged in terms of explosive, intrinsic and momentum explanations.  We model the bubble component that is related to fundamentals (the intrinsic component), making it possible to highlight whether a bubble still exists after that component is accounted for.  We then analyze any remaining bubble to detect any momentum behavior.  </w:t>
      </w:r>
      <w:r>
        <w:rPr>
          <w:lang w:val="en-US"/>
        </w:rPr>
        <w:tab/>
        <w:t xml:space="preserve">We find that disparities between the actual and fundamental price of housing are particularly noticeable in the early 1970s and 1980s and from 2000 to 2005.  As of the end of 2005, actual prices are 24.73 percent higher than that warranted by real disposable income.  Much of the overvaluation of the housing market is found to be due to price dynamics rather than an overreaction to fundamentals.  </w:t>
      </w:r>
    </w:p>
    <w:p w:rsidR="00BE60B6" w:rsidRDefault="00BE60B6" w:rsidP="00C25039">
      <w:pPr>
        <w:pStyle w:val="Footer"/>
        <w:tabs>
          <w:tab w:val="left" w:pos="720"/>
        </w:tabs>
        <w:spacing w:line="360" w:lineRule="auto"/>
        <w:jc w:val="both"/>
        <w:rPr>
          <w:lang w:val="en-US"/>
        </w:rPr>
      </w:pPr>
      <w:r>
        <w:rPr>
          <w:lang w:val="en-US"/>
        </w:rPr>
        <w:tab/>
        <w:t xml:space="preserve">The remainder of the paper is organized as follows.  </w:t>
      </w:r>
      <w:r w:rsidR="00AF0667">
        <w:rPr>
          <w:lang w:val="en-US"/>
        </w:rPr>
        <w:t>We first</w:t>
      </w:r>
      <w:r>
        <w:rPr>
          <w:lang w:val="en-US"/>
        </w:rPr>
        <w:t xml:space="preserve"> present our empirical framework,</w:t>
      </w:r>
      <w:r w:rsidR="00AF0667">
        <w:rPr>
          <w:lang w:val="en-US"/>
        </w:rPr>
        <w:t xml:space="preserve"> then</w:t>
      </w:r>
      <w:r>
        <w:rPr>
          <w:lang w:val="en-US"/>
        </w:rPr>
        <w:t xml:space="preserve"> a discussion of the data and some preliminary results.  The empirical results are discussed </w:t>
      </w:r>
      <w:r w:rsidR="00AF0667">
        <w:rPr>
          <w:lang w:val="en-US"/>
        </w:rPr>
        <w:t>next</w:t>
      </w:r>
      <w:r>
        <w:rPr>
          <w:lang w:val="en-US"/>
        </w:rPr>
        <w:t>, while concluding remarks are contained in a final section.</w:t>
      </w:r>
    </w:p>
    <w:p w:rsidR="00BE60B6" w:rsidRDefault="00BE60B6" w:rsidP="00C25039">
      <w:pPr>
        <w:pStyle w:val="BodyText2"/>
        <w:spacing w:line="360" w:lineRule="auto"/>
        <w:ind w:firstLine="720"/>
        <w:rPr>
          <w:lang w:val="en-US"/>
        </w:rPr>
      </w:pPr>
    </w:p>
    <w:p w:rsidR="00BE60B6" w:rsidRDefault="00BE60B6" w:rsidP="00C25039">
      <w:pPr>
        <w:pStyle w:val="BodyText"/>
        <w:keepNext/>
        <w:spacing w:line="360" w:lineRule="auto"/>
        <w:jc w:val="both"/>
        <w:outlineLvl w:val="0"/>
        <w:rPr>
          <w:i w:val="0"/>
          <w:sz w:val="24"/>
          <w:lang w:val="en-US"/>
        </w:rPr>
      </w:pPr>
      <w:r>
        <w:rPr>
          <w:i w:val="0"/>
          <w:sz w:val="24"/>
          <w:lang w:val="en-US"/>
        </w:rPr>
        <w:t>Empirical Framework: Fundamental House Prices v. Actual House Prices</w:t>
      </w:r>
    </w:p>
    <w:p w:rsidR="00BE60B6" w:rsidRDefault="00BE60B6" w:rsidP="00C25039">
      <w:pPr>
        <w:pStyle w:val="normals"/>
        <w:spacing w:line="360" w:lineRule="auto"/>
        <w:ind w:left="0" w:firstLine="0"/>
        <w:jc w:val="both"/>
        <w:rPr>
          <w:color w:val="auto"/>
          <w:lang w:val="en-US"/>
        </w:rPr>
      </w:pPr>
    </w:p>
    <w:p w:rsidR="00BE60B6" w:rsidRDefault="00BE60B6" w:rsidP="00C25039">
      <w:pPr>
        <w:pStyle w:val="normals"/>
        <w:spacing w:line="360" w:lineRule="auto"/>
        <w:ind w:left="0" w:firstLine="0"/>
        <w:jc w:val="both"/>
        <w:rPr>
          <w:color w:val="auto"/>
          <w:lang w:val="en-US"/>
        </w:rPr>
      </w:pPr>
      <w:r>
        <w:rPr>
          <w:color w:val="auto"/>
          <w:lang w:val="en-US"/>
        </w:rPr>
        <w:t xml:space="preserve">We begin by assuming that the real value of the representative agents residential property, </w:t>
      </w:r>
      <w:r>
        <w:rPr>
          <w:i/>
          <w:color w:val="auto"/>
          <w:lang w:val="en-US"/>
        </w:rPr>
        <w:t>V</w:t>
      </w:r>
      <w:r>
        <w:rPr>
          <w:i/>
          <w:color w:val="auto"/>
          <w:vertAlign w:val="subscript"/>
          <w:lang w:val="en-US"/>
        </w:rPr>
        <w:t>t</w:t>
      </w:r>
      <w:r>
        <w:rPr>
          <w:color w:val="auto"/>
          <w:lang w:val="en-US"/>
        </w:rPr>
        <w:t xml:space="preserve">, will be a constant proportion, </w:t>
      </w:r>
      <w:r>
        <w:rPr>
          <w:i/>
          <w:color w:val="auto"/>
          <w:lang w:val="en-US"/>
        </w:rPr>
        <w:sym w:font="Symbol" w:char="F067"/>
      </w:r>
      <w:r>
        <w:rPr>
          <w:color w:val="auto"/>
          <w:lang w:val="en-US"/>
        </w:rPr>
        <w:t xml:space="preserve">, of the expected value of future real disposable income, </w:t>
      </w:r>
      <w:r>
        <w:rPr>
          <w:i/>
          <w:color w:val="auto"/>
          <w:lang w:val="en-US"/>
        </w:rPr>
        <w:t>Y</w:t>
      </w:r>
      <w:r>
        <w:rPr>
          <w:i/>
          <w:color w:val="auto"/>
          <w:vertAlign w:val="subscript"/>
          <w:lang w:val="en-US"/>
        </w:rPr>
        <w:t>t</w:t>
      </w:r>
      <w:r>
        <w:rPr>
          <w:color w:val="auto"/>
          <w:vertAlign w:val="subscript"/>
          <w:lang w:val="en-US"/>
        </w:rPr>
        <w:t>,</w:t>
      </w:r>
      <w:r>
        <w:rPr>
          <w:color w:val="auto"/>
          <w:lang w:val="en-US"/>
        </w:rPr>
        <w:t xml:space="preserve"> discounted at the real, possibly time-varying, discount rate, </w:t>
      </w:r>
      <w:r>
        <w:rPr>
          <w:i/>
          <w:color w:val="auto"/>
          <w:lang w:val="en-US"/>
        </w:rPr>
        <w:sym w:font="Symbol" w:char="F072"/>
      </w:r>
      <w:r>
        <w:rPr>
          <w:i/>
          <w:color w:val="auto"/>
          <w:vertAlign w:val="superscript"/>
          <w:lang w:val="en-US"/>
        </w:rPr>
        <w:t xml:space="preserve">* </w:t>
      </w:r>
      <w:r>
        <w:rPr>
          <w:color w:val="auto"/>
          <w:lang w:val="en-US"/>
        </w:rPr>
        <w:t>, representing the rate of return required by householders. Hence the real value of household property can be written as:</w:t>
      </w:r>
    </w:p>
    <w:p w:rsidR="00BE60B6" w:rsidRDefault="00BE60B6" w:rsidP="00C25039">
      <w:pPr>
        <w:pStyle w:val="normals"/>
        <w:spacing w:line="360" w:lineRule="auto"/>
        <w:ind w:left="0" w:firstLine="0"/>
        <w:jc w:val="both"/>
        <w:rPr>
          <w:color w:val="auto"/>
          <w:lang w:val="en-US"/>
        </w:rPr>
      </w:pPr>
      <w:r>
        <w:rPr>
          <w:b/>
          <w:i/>
          <w:color w:val="FF0000"/>
          <w:position w:val="-54"/>
          <w:lang w:val="en-US"/>
        </w:rPr>
        <w:object w:dxaOrig="2940" w:dyaOrig="120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47.05pt;height:59.85pt" o:ole="" fillcolor="window">
            <v:imagedata r:id="rId9" o:title=""/>
          </v:shape>
          <o:OLEObject Type="Embed" ProgID="Equation.3" ShapeID="_x0000_i1025" DrawAspect="Content" ObjectID="_1381729937" r:id="rId10"/>
        </w:object>
      </w:r>
      <w:r>
        <w:rPr>
          <w:color w:val="FF0000"/>
          <w:lang w:val="en-US"/>
        </w:rPr>
        <w:tab/>
      </w:r>
      <w:r>
        <w:rPr>
          <w:color w:val="FF0000"/>
          <w:lang w:val="en-US"/>
        </w:rPr>
        <w:tab/>
      </w:r>
      <w:r>
        <w:rPr>
          <w:color w:val="FF0000"/>
          <w:lang w:val="en-US"/>
        </w:rPr>
        <w:tab/>
      </w:r>
      <w:r>
        <w:rPr>
          <w:color w:val="FF0000"/>
          <w:lang w:val="en-US"/>
        </w:rPr>
        <w:tab/>
      </w:r>
      <w:r>
        <w:rPr>
          <w:color w:val="FF0000"/>
          <w:lang w:val="en-US"/>
        </w:rPr>
        <w:tab/>
      </w:r>
      <w:r>
        <w:rPr>
          <w:color w:val="FF0000"/>
          <w:lang w:val="en-US"/>
        </w:rPr>
        <w:tab/>
      </w:r>
      <w:r>
        <w:rPr>
          <w:color w:val="FF0000"/>
          <w:lang w:val="en-US"/>
        </w:rPr>
        <w:tab/>
      </w:r>
      <w:r>
        <w:rPr>
          <w:color w:val="auto"/>
          <w:lang w:val="en-US"/>
        </w:rPr>
        <w:t>(1)</w:t>
      </w:r>
    </w:p>
    <w:p w:rsidR="00BE60B6" w:rsidRDefault="00BE60B6" w:rsidP="00C25039">
      <w:pPr>
        <w:pStyle w:val="normals"/>
        <w:spacing w:line="360" w:lineRule="auto"/>
        <w:ind w:left="0" w:firstLine="0"/>
        <w:jc w:val="both"/>
        <w:rPr>
          <w:b/>
          <w:i/>
          <w:color w:val="auto"/>
          <w:lang w:val="en-US"/>
        </w:rPr>
      </w:pPr>
    </w:p>
    <w:p w:rsidR="00BE60B6" w:rsidRDefault="00BE60B6" w:rsidP="00C25039">
      <w:pPr>
        <w:autoSpaceDE w:val="0"/>
        <w:autoSpaceDN w:val="0"/>
        <w:adjustRightInd w:val="0"/>
        <w:spacing w:line="360" w:lineRule="auto"/>
        <w:ind w:firstLine="567"/>
        <w:jc w:val="both"/>
        <w:rPr>
          <w:b/>
          <w:i/>
          <w:lang w:val="en-US"/>
        </w:rPr>
      </w:pPr>
      <w:r>
        <w:rPr>
          <w:lang w:val="en-US"/>
        </w:rPr>
        <w:t>Following the representative agent method, we assume equation (1) to hold for the economy as a whole and in our empirical work we use an aggregate house price index rather than market capitalization as the variable on the left-hand side.  This involves the assumption of a constant relationship between the real house</w:t>
      </w:r>
      <w:r w:rsidR="00AF0667">
        <w:rPr>
          <w:lang w:val="en-US"/>
        </w:rPr>
        <w:t xml:space="preserve"> </w:t>
      </w:r>
      <w:r>
        <w:rPr>
          <w:lang w:val="en-US"/>
        </w:rPr>
        <w:t xml:space="preserve">price index, </w:t>
      </w:r>
      <w:r>
        <w:rPr>
          <w:i/>
          <w:lang w:val="en-US"/>
        </w:rPr>
        <w:t>P</w:t>
      </w:r>
      <w:r>
        <w:rPr>
          <w:lang w:val="en-US"/>
        </w:rPr>
        <w:t xml:space="preserve">, and market capitalization, </w:t>
      </w:r>
      <w:r>
        <w:rPr>
          <w:i/>
          <w:lang w:val="en-US"/>
        </w:rPr>
        <w:t>V</w:t>
      </w:r>
      <w:r>
        <w:rPr>
          <w:lang w:val="en-US"/>
        </w:rPr>
        <w:t xml:space="preserve">.  Moreover, the application of (1) to the whole economy involves a further constancy assumption about the relationship between the value of all income (to which </w:t>
      </w:r>
      <w:r>
        <w:rPr>
          <w:i/>
          <w:lang w:val="en-US"/>
        </w:rPr>
        <w:t>Y</w:t>
      </w:r>
      <w:r>
        <w:rPr>
          <w:lang w:val="en-US"/>
        </w:rPr>
        <w:t xml:space="preserve"> applies) and those covered by the index.  These two constancy assumptions are therefore maintained in the empirical work that follows.  We assume </w:t>
      </w:r>
      <w:r>
        <w:rPr>
          <w:i/>
          <w:lang w:val="en-US"/>
        </w:rPr>
        <w:t>P</w:t>
      </w:r>
      <w:r>
        <w:rPr>
          <w:i/>
          <w:vertAlign w:val="subscript"/>
          <w:lang w:val="en-US"/>
        </w:rPr>
        <w:t>t</w:t>
      </w:r>
      <w:r>
        <w:rPr>
          <w:i/>
          <w:lang w:val="en-US"/>
        </w:rPr>
        <w:t xml:space="preserve"> = </w:t>
      </w:r>
      <w:r>
        <w:rPr>
          <w:i/>
          <w:lang w:val="en-US"/>
        </w:rPr>
        <w:sym w:font="Symbol" w:char="F062"/>
      </w:r>
      <w:r>
        <w:rPr>
          <w:i/>
          <w:lang w:val="en-US"/>
        </w:rPr>
        <w:sym w:font="Symbol" w:char="F0A2"/>
      </w:r>
      <w:r>
        <w:rPr>
          <w:i/>
          <w:lang w:val="en-US"/>
        </w:rPr>
        <w:t>V</w:t>
      </w:r>
      <w:r>
        <w:rPr>
          <w:i/>
          <w:vertAlign w:val="subscript"/>
          <w:lang w:val="en-US"/>
        </w:rPr>
        <w:t>t</w:t>
      </w:r>
      <w:r>
        <w:rPr>
          <w:i/>
          <w:lang w:val="en-US"/>
        </w:rPr>
        <w:t>,</w:t>
      </w:r>
      <w:r>
        <w:rPr>
          <w:lang w:val="en-US"/>
        </w:rPr>
        <w:t xml:space="preserve"> and, defining </w:t>
      </w:r>
      <w:r>
        <w:rPr>
          <w:i/>
          <w:lang w:val="en-US"/>
        </w:rPr>
        <w:sym w:font="Symbol" w:char="F062"/>
      </w:r>
      <w:r>
        <w:rPr>
          <w:i/>
          <w:lang w:val="en-US"/>
        </w:rPr>
        <w:t xml:space="preserve"> = </w:t>
      </w:r>
      <w:r>
        <w:rPr>
          <w:i/>
          <w:lang w:val="en-US"/>
        </w:rPr>
        <w:sym w:font="Symbol" w:char="F062"/>
      </w:r>
      <w:r>
        <w:rPr>
          <w:i/>
          <w:lang w:val="en-US"/>
        </w:rPr>
        <w:sym w:font="Symbol" w:char="F0A2"/>
      </w:r>
      <w:r>
        <w:rPr>
          <w:i/>
          <w:lang w:val="en-US"/>
        </w:rPr>
        <w:t>(</w:t>
      </w:r>
      <w:r>
        <w:rPr>
          <w:i/>
          <w:lang w:val="en-US"/>
        </w:rPr>
        <w:sym w:font="Symbol" w:char="F067"/>
      </w:r>
      <w:r>
        <w:rPr>
          <w:i/>
          <w:lang w:val="en-US"/>
        </w:rPr>
        <w:t>)</w:t>
      </w:r>
      <w:r>
        <w:rPr>
          <w:lang w:val="en-US"/>
        </w:rPr>
        <w:t xml:space="preserve"> and </w:t>
      </w:r>
      <w:r>
        <w:rPr>
          <w:i/>
          <w:lang w:val="en-US"/>
        </w:rPr>
        <w:t>Q</w:t>
      </w:r>
      <w:r>
        <w:rPr>
          <w:i/>
          <w:vertAlign w:val="subscript"/>
          <w:lang w:val="en-US"/>
        </w:rPr>
        <w:t>t</w:t>
      </w:r>
      <w:r>
        <w:rPr>
          <w:i/>
          <w:lang w:val="en-US"/>
        </w:rPr>
        <w:t xml:space="preserve"> = </w:t>
      </w:r>
      <w:r>
        <w:rPr>
          <w:i/>
          <w:lang w:val="en-US"/>
        </w:rPr>
        <w:sym w:font="Symbol" w:char="F062"/>
      </w:r>
      <w:r>
        <w:rPr>
          <w:i/>
          <w:lang w:val="en-US"/>
        </w:rPr>
        <w:t>Y</w:t>
      </w:r>
      <w:r>
        <w:rPr>
          <w:i/>
          <w:vertAlign w:val="subscript"/>
          <w:lang w:val="en-US"/>
        </w:rPr>
        <w:t>t</w:t>
      </w:r>
      <w:r>
        <w:rPr>
          <w:lang w:val="en-US"/>
        </w:rPr>
        <w:t>, equation (1) can be re-written as:</w:t>
      </w:r>
    </w:p>
    <w:p w:rsidR="00BE60B6" w:rsidRDefault="00BE60B6" w:rsidP="00C25039">
      <w:pPr>
        <w:pStyle w:val="normals"/>
        <w:spacing w:line="360" w:lineRule="auto"/>
        <w:ind w:left="0" w:firstLine="0"/>
        <w:jc w:val="both"/>
        <w:rPr>
          <w:b/>
          <w:i/>
          <w:color w:val="auto"/>
          <w:lang w:val="en-US"/>
        </w:rPr>
      </w:pPr>
      <w:r>
        <w:rPr>
          <w:b/>
          <w:i/>
          <w:color w:val="FF0000"/>
          <w:position w:val="-54"/>
          <w:lang w:val="en-US"/>
        </w:rPr>
        <w:object w:dxaOrig="2860" w:dyaOrig="1200">
          <v:shape id="_x0000_i1026" type="#_x0000_t75" style="width:143pt;height:59.85pt" o:ole="" fillcolor="window">
            <v:imagedata r:id="rId11" o:title=""/>
          </v:shape>
          <o:OLEObject Type="Embed" ProgID="Equation.3" ShapeID="_x0000_i1026" DrawAspect="Content" ObjectID="_1381729938" r:id="rId12"/>
        </w:object>
      </w:r>
      <w:r>
        <w:rPr>
          <w:b/>
          <w:i/>
          <w:color w:val="FF0000"/>
          <w:lang w:val="en-US"/>
        </w:rPr>
        <w:tab/>
      </w:r>
      <w:r>
        <w:rPr>
          <w:b/>
          <w:i/>
          <w:color w:val="FF0000"/>
          <w:lang w:val="en-US"/>
        </w:rPr>
        <w:tab/>
      </w:r>
      <w:r>
        <w:rPr>
          <w:b/>
          <w:i/>
          <w:color w:val="FF0000"/>
          <w:lang w:val="en-US"/>
        </w:rPr>
        <w:tab/>
      </w:r>
      <w:r>
        <w:rPr>
          <w:b/>
          <w:i/>
          <w:color w:val="FF0000"/>
          <w:lang w:val="en-US"/>
        </w:rPr>
        <w:tab/>
      </w:r>
      <w:r>
        <w:rPr>
          <w:b/>
          <w:i/>
          <w:color w:val="FF0000"/>
          <w:lang w:val="en-US"/>
        </w:rPr>
        <w:tab/>
      </w:r>
      <w:r>
        <w:rPr>
          <w:b/>
          <w:i/>
          <w:color w:val="FF0000"/>
          <w:lang w:val="en-US"/>
        </w:rPr>
        <w:tab/>
      </w:r>
      <w:r>
        <w:rPr>
          <w:b/>
          <w:i/>
          <w:color w:val="FF0000"/>
          <w:lang w:val="en-US"/>
        </w:rPr>
        <w:tab/>
      </w:r>
      <w:r>
        <w:rPr>
          <w:b/>
          <w:i/>
          <w:color w:val="FF0000"/>
          <w:lang w:val="en-US"/>
        </w:rPr>
        <w:tab/>
      </w:r>
      <w:r>
        <w:rPr>
          <w:color w:val="auto"/>
          <w:lang w:val="en-US"/>
        </w:rPr>
        <w:t>(2)</w:t>
      </w:r>
    </w:p>
    <w:p w:rsidR="00BE60B6" w:rsidRPr="00AF0667" w:rsidRDefault="00BE60B6" w:rsidP="00C25039">
      <w:pPr>
        <w:pStyle w:val="normals"/>
        <w:spacing w:line="360" w:lineRule="auto"/>
        <w:ind w:left="0" w:firstLine="720"/>
        <w:jc w:val="both"/>
        <w:rPr>
          <w:i/>
          <w:color w:val="auto"/>
          <w:lang w:val="en-US"/>
        </w:rPr>
      </w:pPr>
      <w:r>
        <w:rPr>
          <w:lang w:val="en-US"/>
        </w:rPr>
        <w:t xml:space="preserve">Both </w:t>
      </w:r>
      <w:r>
        <w:rPr>
          <w:i/>
          <w:lang w:val="en-US"/>
        </w:rPr>
        <w:t>P</w:t>
      </w:r>
      <w:r>
        <w:rPr>
          <w:i/>
          <w:vertAlign w:val="subscript"/>
          <w:lang w:val="en-US"/>
        </w:rPr>
        <w:t>t</w:t>
      </w:r>
      <w:r>
        <w:rPr>
          <w:i/>
          <w:lang w:val="en-US"/>
        </w:rPr>
        <w:t xml:space="preserve"> </w:t>
      </w:r>
      <w:r>
        <w:rPr>
          <w:lang w:val="en-US"/>
        </w:rPr>
        <w:t xml:space="preserve">and </w:t>
      </w:r>
      <w:r>
        <w:rPr>
          <w:i/>
          <w:lang w:val="en-US"/>
        </w:rPr>
        <w:t>Q</w:t>
      </w:r>
      <w:r>
        <w:rPr>
          <w:i/>
          <w:vertAlign w:val="subscript"/>
          <w:lang w:val="en-US"/>
        </w:rPr>
        <w:t>t</w:t>
      </w:r>
      <w:r>
        <w:rPr>
          <w:lang w:val="en-US"/>
        </w:rPr>
        <w:t xml:space="preserve"> therefore are linked to </w:t>
      </w:r>
      <w:r>
        <w:rPr>
          <w:i/>
          <w:lang w:val="en-US"/>
        </w:rPr>
        <w:t>Y</w:t>
      </w:r>
      <w:r>
        <w:rPr>
          <w:i/>
          <w:vertAlign w:val="subscript"/>
          <w:lang w:val="en-US"/>
        </w:rPr>
        <w:t>t</w:t>
      </w:r>
      <w:r>
        <w:rPr>
          <w:i/>
          <w:lang w:val="en-US"/>
        </w:rPr>
        <w:t xml:space="preserve"> </w:t>
      </w:r>
      <w:r>
        <w:rPr>
          <w:lang w:val="en-US"/>
        </w:rPr>
        <w:t xml:space="preserve">via </w:t>
      </w:r>
      <w:r>
        <w:rPr>
          <w:i/>
          <w:lang w:val="en-US"/>
        </w:rPr>
        <w:sym w:font="Symbol" w:char="F062"/>
      </w:r>
      <w:r>
        <w:rPr>
          <w:i/>
          <w:lang w:val="en-US"/>
        </w:rPr>
        <w:sym w:font="Symbol" w:char="F0A2"/>
      </w:r>
      <w:r>
        <w:rPr>
          <w:i/>
          <w:lang w:val="en-US"/>
        </w:rPr>
        <w:t xml:space="preserve"> </w:t>
      </w:r>
      <w:r>
        <w:rPr>
          <w:lang w:val="en-US"/>
        </w:rPr>
        <w:t xml:space="preserve">and </w:t>
      </w:r>
      <w:r>
        <w:rPr>
          <w:i/>
          <w:lang w:val="en-US"/>
        </w:rPr>
        <w:sym w:font="Symbol" w:char="F067"/>
      </w:r>
      <w:r w:rsidR="002323C2">
        <w:rPr>
          <w:lang w:val="en-US"/>
        </w:rPr>
        <w:t xml:space="preserve"> and we have a </w:t>
      </w:r>
      <w:r>
        <w:rPr>
          <w:lang w:val="en-US"/>
        </w:rPr>
        <w:t>relationship between house prices and income</w:t>
      </w:r>
      <w:r w:rsidR="002323C2">
        <w:rPr>
          <w:lang w:val="en-US"/>
        </w:rPr>
        <w:t xml:space="preserve"> such that</w:t>
      </w:r>
      <w:r>
        <w:rPr>
          <w:lang w:val="en-US"/>
        </w:rPr>
        <w:t xml:space="preserve">: </w:t>
      </w:r>
      <w:r>
        <w:rPr>
          <w:position w:val="-12"/>
          <w:lang w:val="en-US"/>
        </w:rPr>
        <w:object w:dxaOrig="1280" w:dyaOrig="360">
          <v:shape id="_x0000_i1027" type="#_x0000_t75" style="width:63.9pt;height:18.25pt" o:ole="" fillcolor="window">
            <v:imagedata r:id="rId13" o:title=""/>
          </v:shape>
          <o:OLEObject Type="Embed" ProgID="Equation.3" ShapeID="_x0000_i1027" DrawAspect="Content" ObjectID="_1381729939" r:id="rId14"/>
        </w:object>
      </w:r>
      <w:r>
        <w:rPr>
          <w:lang w:val="en-US"/>
        </w:rPr>
        <w:t xml:space="preserve">.  </w:t>
      </w:r>
      <w:r>
        <w:rPr>
          <w:color w:val="auto"/>
          <w:lang w:val="en-US"/>
        </w:rPr>
        <w:t xml:space="preserve">Equation (2) is a particular solution to: </w:t>
      </w:r>
      <w:r>
        <w:rPr>
          <w:color w:val="auto"/>
          <w:position w:val="-12"/>
          <w:lang w:val="en-US"/>
        </w:rPr>
        <w:object w:dxaOrig="2780" w:dyaOrig="380">
          <v:shape id="_x0000_i1028" type="#_x0000_t75" style="width:138.95pt;height:18.75pt" o:ole="" fillcolor="window">
            <v:imagedata r:id="rId15" o:title=""/>
          </v:shape>
          <o:OLEObject Type="Embed" ProgID="Equation.3" ShapeID="_x0000_i1028" DrawAspect="Content" ObjectID="_1381729940" r:id="rId16"/>
        </w:object>
      </w:r>
      <w:r>
        <w:rPr>
          <w:color w:val="auto"/>
          <w:lang w:val="en-US"/>
        </w:rPr>
        <w:t xml:space="preserve">, which converges to (2) by applying the transversality condition </w:t>
      </w:r>
      <w:r>
        <w:rPr>
          <w:color w:val="auto"/>
          <w:position w:val="-12"/>
          <w:lang w:val="en-US"/>
        </w:rPr>
        <w:object w:dxaOrig="2580" w:dyaOrig="380">
          <v:shape id="_x0000_i1029" type="#_x0000_t75" style="width:128.8pt;height:18.75pt" o:ole="" fillcolor="window">
            <v:imagedata r:id="rId17" o:title=""/>
          </v:shape>
          <o:OLEObject Type="Embed" ProgID="Equation.3" ShapeID="_x0000_i1029" DrawAspect="Content" ObjectID="_1381729941" r:id="rId18"/>
        </w:object>
      </w:r>
      <w:r>
        <w:rPr>
          <w:color w:val="auto"/>
          <w:lang w:val="en-US"/>
        </w:rPr>
        <w:t xml:space="preserve"> (i.e. ruling out bubbles) and solving recursively forward.</w:t>
      </w:r>
      <w:r>
        <w:rPr>
          <w:lang w:val="en-US"/>
        </w:rPr>
        <w:t xml:space="preserve">  There exists evidence of course that in the long run the ratio of house prices to income is not constant.</w:t>
      </w:r>
      <w:r>
        <w:rPr>
          <w:rStyle w:val="FootnoteReference"/>
          <w:lang w:val="en-US"/>
        </w:rPr>
        <w:footnoteReference w:id="5"/>
      </w:r>
      <w:r>
        <w:rPr>
          <w:lang w:val="en-US"/>
        </w:rPr>
        <w:t xml:space="preserve">  However given that we use quarterly data, our sample period is relatively short, and we do not impose a constant cost of capital, these ratios are unlikely to vary substantially in practice – most of the variation in </w:t>
      </w:r>
      <w:r>
        <w:rPr>
          <w:i/>
          <w:lang w:val="en-US"/>
        </w:rPr>
        <w:t>V</w:t>
      </w:r>
      <w:r>
        <w:rPr>
          <w:lang w:val="en-US"/>
        </w:rPr>
        <w:t xml:space="preserve"> reflects fluctuations in </w:t>
      </w:r>
      <w:r>
        <w:rPr>
          <w:i/>
          <w:lang w:val="en-US"/>
        </w:rPr>
        <w:t>P</w:t>
      </w:r>
      <w:r>
        <w:rPr>
          <w:lang w:val="en-US"/>
        </w:rPr>
        <w:t xml:space="preserve"> and index coverage changes infrequently. </w:t>
      </w:r>
      <w:r>
        <w:rPr>
          <w:i/>
          <w:color w:val="FF0000"/>
          <w:lang w:val="en-US"/>
        </w:rPr>
        <w:t xml:space="preserve"> </w:t>
      </w:r>
      <w:r>
        <w:rPr>
          <w:lang w:val="en-US"/>
        </w:rPr>
        <w:t xml:space="preserve">Hence the </w:t>
      </w:r>
      <w:r>
        <w:rPr>
          <w:color w:val="auto"/>
          <w:lang w:val="en-US"/>
        </w:rPr>
        <w:t>real value of residential property is modeled as the expected value of future real disposable income discounted at the real discount rate with real income and interest rates being key determinants of real house prices (for further supporting evidence</w:t>
      </w:r>
      <w:r w:rsidR="00AF0667">
        <w:rPr>
          <w:color w:val="auto"/>
          <w:lang w:val="en-US"/>
        </w:rPr>
        <w:t>,</w:t>
      </w:r>
      <w:r>
        <w:rPr>
          <w:color w:val="auto"/>
          <w:lang w:val="en-US"/>
        </w:rPr>
        <w:t xml:space="preserve"> see </w:t>
      </w:r>
      <w:r w:rsidRPr="00266F1A">
        <w:rPr>
          <w:color w:val="auto"/>
          <w:lang w:val="en-US"/>
        </w:rPr>
        <w:t>Capozza et al</w:t>
      </w:r>
      <w:r w:rsidR="00266F1A" w:rsidRPr="00266F1A">
        <w:rPr>
          <w:color w:val="auto"/>
          <w:lang w:val="en-US"/>
        </w:rPr>
        <w:t>., 2004</w:t>
      </w:r>
      <w:r w:rsidR="00266F1A">
        <w:rPr>
          <w:color w:val="auto"/>
          <w:lang w:val="en-US"/>
        </w:rPr>
        <w:t>; Sutton, 2002; Case &amp;</w:t>
      </w:r>
      <w:r>
        <w:rPr>
          <w:color w:val="auto"/>
          <w:lang w:val="en-US"/>
        </w:rPr>
        <w:t xml:space="preserve"> Shiller, 2003; Farlow, 2004).</w:t>
      </w:r>
    </w:p>
    <w:p w:rsidR="005760DD" w:rsidRDefault="00BE60B6" w:rsidP="00C25039">
      <w:pPr>
        <w:pStyle w:val="normals"/>
        <w:spacing w:line="360" w:lineRule="auto"/>
        <w:ind w:left="0" w:firstLine="567"/>
        <w:jc w:val="both"/>
        <w:rPr>
          <w:color w:val="auto"/>
          <w:lang w:val="en-US"/>
        </w:rPr>
      </w:pPr>
      <w:r>
        <w:rPr>
          <w:color w:val="auto"/>
          <w:lang w:val="en-US"/>
        </w:rPr>
        <w:lastRenderedPageBreak/>
        <w:t>Equation (2) therefore forms the basis for the calculation of fundamental house prices and we capture the size of the deviations of New Zealand residential real house prices from their fundamental value by the adaptation of the vector autoregressive (VAR) methodology initiated by Campbell and Shiller (1987, 1988a, 1988b).</w:t>
      </w:r>
      <w:r w:rsidR="005760DD">
        <w:rPr>
          <w:color w:val="auto"/>
          <w:lang w:val="en-US"/>
        </w:rPr>
        <w:t xml:space="preserve"> </w:t>
      </w:r>
    </w:p>
    <w:p w:rsidR="00C21300" w:rsidRDefault="00C21300" w:rsidP="00C25039">
      <w:pPr>
        <w:pStyle w:val="normals"/>
        <w:spacing w:line="360" w:lineRule="auto"/>
        <w:ind w:left="0" w:firstLine="567"/>
        <w:jc w:val="both"/>
        <w:rPr>
          <w:color w:val="auto"/>
          <w:lang w:val="en-US"/>
        </w:rPr>
      </w:pPr>
      <w:r>
        <w:rPr>
          <w:color w:val="auto"/>
          <w:lang w:val="en-US"/>
        </w:rPr>
        <w:t xml:space="preserve">Using a first order </w:t>
      </w:r>
      <w:smartTag w:uri="urn:schemas-microsoft-com:office:smarttags" w:element="place">
        <w:smartTag w:uri="urn:schemas-microsoft-com:office:smarttags" w:element="City">
          <w:r>
            <w:rPr>
              <w:color w:val="auto"/>
              <w:lang w:val="en-US"/>
            </w:rPr>
            <w:t>Taylor</w:t>
          </w:r>
        </w:smartTag>
      </w:smartTag>
      <w:r>
        <w:rPr>
          <w:color w:val="auto"/>
          <w:lang w:val="en-US"/>
        </w:rPr>
        <w:t xml:space="preserve"> approximation, transforming the variables to ensure</w:t>
      </w:r>
      <w:r w:rsidR="000E3314">
        <w:rPr>
          <w:color w:val="auto"/>
          <w:lang w:val="en-US"/>
        </w:rPr>
        <w:t xml:space="preserve"> </w:t>
      </w:r>
      <w:r w:rsidR="000E3314" w:rsidRPr="004E25D2">
        <w:rPr>
          <w:color w:val="auto"/>
          <w:lang w:val="en-US"/>
        </w:rPr>
        <w:t>stationar</w:t>
      </w:r>
      <w:r w:rsidR="007D16AC" w:rsidRPr="004E25D2">
        <w:rPr>
          <w:color w:val="auto"/>
          <w:lang w:val="en-US"/>
        </w:rPr>
        <w:t>ity</w:t>
      </w:r>
      <w:r>
        <w:rPr>
          <w:color w:val="auto"/>
          <w:lang w:val="en-US"/>
        </w:rPr>
        <w:t>, and taking conditional expectations</w:t>
      </w:r>
      <w:r w:rsidR="005760DD">
        <w:rPr>
          <w:color w:val="auto"/>
          <w:lang w:val="en-US"/>
        </w:rPr>
        <w:t>, we arrive at the following ex</w:t>
      </w:r>
      <w:r w:rsidR="00126502">
        <w:rPr>
          <w:color w:val="auto"/>
          <w:lang w:val="en-US"/>
        </w:rPr>
        <w:t>pression</w:t>
      </w:r>
      <w:r w:rsidR="00F67351">
        <w:rPr>
          <w:color w:val="auto"/>
          <w:lang w:val="en-US"/>
        </w:rPr>
        <w:t xml:space="preserve"> for the empirical model</w:t>
      </w:r>
      <w:r w:rsidR="00126502">
        <w:rPr>
          <w:color w:val="auto"/>
          <w:lang w:val="en-US"/>
        </w:rPr>
        <w:t xml:space="preserve"> - </w:t>
      </w:r>
      <w:r w:rsidR="005760DD">
        <w:rPr>
          <w:color w:val="auto"/>
          <w:lang w:val="en-US"/>
        </w:rPr>
        <w:t>see th</w:t>
      </w:r>
      <w:r w:rsidR="007003B4">
        <w:rPr>
          <w:color w:val="auto"/>
          <w:lang w:val="en-US"/>
        </w:rPr>
        <w:t xml:space="preserve">e Appendix to this paper for a </w:t>
      </w:r>
      <w:r w:rsidR="00346D30">
        <w:rPr>
          <w:color w:val="auto"/>
          <w:lang w:val="en-US"/>
        </w:rPr>
        <w:t xml:space="preserve">full </w:t>
      </w:r>
      <w:r w:rsidR="007003B4">
        <w:rPr>
          <w:color w:val="auto"/>
          <w:lang w:val="en-US"/>
        </w:rPr>
        <w:t>discussion of the model</w:t>
      </w:r>
      <w:r w:rsidR="005760DD">
        <w:rPr>
          <w:color w:val="auto"/>
          <w:lang w:val="en-US"/>
        </w:rPr>
        <w:t>:</w:t>
      </w:r>
      <w:r>
        <w:rPr>
          <w:color w:val="auto"/>
          <w:lang w:val="en-US"/>
        </w:rPr>
        <w:t xml:space="preserve"> </w:t>
      </w:r>
    </w:p>
    <w:p w:rsidR="00BE60B6" w:rsidRDefault="00737B63" w:rsidP="00C25039">
      <w:pPr>
        <w:pStyle w:val="normals"/>
        <w:spacing w:line="360" w:lineRule="auto"/>
        <w:ind w:left="0" w:right="-154" w:firstLine="0"/>
        <w:jc w:val="both"/>
        <w:rPr>
          <w:lang w:val="en-US"/>
        </w:rPr>
      </w:pPr>
      <w:r w:rsidRPr="00410922">
        <w:rPr>
          <w:position w:val="-30"/>
          <w:lang w:val="en-US"/>
        </w:rPr>
        <w:object w:dxaOrig="5179" w:dyaOrig="700">
          <v:shape id="_x0000_i1030" type="#_x0000_t75" style="width:259.1pt;height:35pt" o:ole="" fillcolor="window">
            <v:imagedata r:id="rId19" o:title=""/>
          </v:shape>
          <o:OLEObject Type="Embed" ProgID="Equation.3" ShapeID="_x0000_i1030" DrawAspect="Content" ObjectID="_1381729942" r:id="rId20"/>
        </w:object>
      </w:r>
      <w:r w:rsidR="00FC6FCD">
        <w:rPr>
          <w:lang w:val="en-US"/>
        </w:rPr>
        <w:tab/>
      </w:r>
      <w:r w:rsidR="00FC6FCD">
        <w:rPr>
          <w:lang w:val="en-US"/>
        </w:rPr>
        <w:tab/>
      </w:r>
      <w:r w:rsidR="00FC6FCD">
        <w:rPr>
          <w:lang w:val="en-US"/>
        </w:rPr>
        <w:tab/>
      </w:r>
      <w:r w:rsidR="00FC6FCD">
        <w:rPr>
          <w:lang w:val="en-US"/>
        </w:rPr>
        <w:tab/>
      </w:r>
      <w:r>
        <w:rPr>
          <w:lang w:val="en-US"/>
        </w:rPr>
        <w:t>(3</w:t>
      </w:r>
      <w:r w:rsidR="00BE60B6">
        <w:rPr>
          <w:lang w:val="en-US"/>
        </w:rPr>
        <w:t xml:space="preserve">) </w:t>
      </w:r>
    </w:p>
    <w:p w:rsidR="00737B63" w:rsidRDefault="00BE60B6" w:rsidP="00C25039">
      <w:pPr>
        <w:pStyle w:val="normals"/>
        <w:spacing w:line="360" w:lineRule="auto"/>
        <w:ind w:left="0" w:firstLine="0"/>
        <w:jc w:val="both"/>
        <w:rPr>
          <w:lang w:val="en-US"/>
        </w:rPr>
      </w:pPr>
      <w:r>
        <w:rPr>
          <w:lang w:val="en-US"/>
        </w:rPr>
        <w:t>where</w:t>
      </w:r>
      <w:r w:rsidR="005C243A">
        <w:rPr>
          <w:lang w:val="en-US"/>
        </w:rPr>
        <w:t xml:space="preserve"> </w:t>
      </w:r>
      <w:r w:rsidR="00D60C69" w:rsidRPr="004E25D2">
        <w:rPr>
          <w:position w:val="-10"/>
          <w:lang w:val="en-US"/>
        </w:rPr>
        <w:object w:dxaOrig="240" w:dyaOrig="260">
          <v:shape id="_x0000_i1031" type="#_x0000_t75" style="width:12.15pt;height:13.2pt" o:ole="">
            <v:imagedata r:id="rId21" o:title=""/>
          </v:shape>
          <o:OLEObject Type="Embed" ProgID="Equation.DSMT4" ShapeID="_x0000_i1031" DrawAspect="Content" ObjectID="_1381729943" r:id="rId22"/>
        </w:object>
      </w:r>
      <w:r w:rsidR="005C243A">
        <w:rPr>
          <w:lang w:val="en-US"/>
        </w:rPr>
        <w:t xml:space="preserve"> and </w:t>
      </w:r>
      <w:r w:rsidR="005C243A" w:rsidRPr="005C243A">
        <w:rPr>
          <w:i/>
          <w:lang w:val="en-US"/>
        </w:rPr>
        <w:t>k</w:t>
      </w:r>
      <w:r w:rsidR="005C243A">
        <w:rPr>
          <w:lang w:val="en-US"/>
        </w:rPr>
        <w:t xml:space="preserve"> are linearization constants;</w:t>
      </w:r>
      <w:r>
        <w:rPr>
          <w:lang w:val="en-US"/>
        </w:rPr>
        <w:t xml:space="preserve"> </w:t>
      </w:r>
      <w:r>
        <w:rPr>
          <w:i/>
          <w:lang w:val="en-US"/>
        </w:rPr>
        <w:t>f</w:t>
      </w:r>
      <w:r>
        <w:rPr>
          <w:lang w:val="en-US"/>
        </w:rPr>
        <w:t xml:space="preserve"> is the constant real-risk free component of real</w:t>
      </w:r>
      <w:r w:rsidR="00354D61">
        <w:rPr>
          <w:lang w:val="en-US"/>
        </w:rPr>
        <w:t xml:space="preserve"> required returns; </w:t>
      </w:r>
      <w:r w:rsidR="00354D61" w:rsidRPr="00354D61">
        <w:rPr>
          <w:position w:val="-14"/>
          <w:lang w:val="en-US"/>
        </w:rPr>
        <w:object w:dxaOrig="980" w:dyaOrig="400">
          <v:shape id="_x0000_i1032" type="#_x0000_t75" style="width:49.2pt;height:19.75pt" o:ole="">
            <v:imagedata r:id="rId23" o:title=""/>
          </v:shape>
          <o:OLEObject Type="Embed" ProgID="Equation.3" ShapeID="_x0000_i1032" DrawAspect="Content" ObjectID="_1381729944" r:id="rId24"/>
        </w:object>
      </w:r>
      <w:r w:rsidR="00D73B4A">
        <w:rPr>
          <w:lang w:val="en-US"/>
        </w:rPr>
        <w:t xml:space="preserve"> </w:t>
      </w:r>
      <w:r w:rsidR="00354D61">
        <w:rPr>
          <w:lang w:val="en-US"/>
        </w:rPr>
        <w:t xml:space="preserve">is the conditional expectation of income growth; </w:t>
      </w:r>
      <w:r w:rsidR="00354D61" w:rsidRPr="00354D61">
        <w:rPr>
          <w:position w:val="-14"/>
          <w:lang w:val="en-US"/>
        </w:rPr>
        <w:object w:dxaOrig="859" w:dyaOrig="400">
          <v:shape id="_x0000_i1033" type="#_x0000_t75" style="width:43.1pt;height:19.75pt" o:ole="">
            <v:imagedata r:id="rId25" o:title=""/>
          </v:shape>
          <o:OLEObject Type="Embed" ProgID="Equation.3" ShapeID="_x0000_i1033" DrawAspect="Content" ObjectID="_1381729945" r:id="rId26"/>
        </w:object>
      </w:r>
      <w:r w:rsidR="00C53412">
        <w:rPr>
          <w:lang w:val="en-US"/>
        </w:rPr>
        <w:t>is the conditional expectation of the variance of returns</w:t>
      </w:r>
      <w:r w:rsidR="003D1104">
        <w:rPr>
          <w:lang w:val="en-US"/>
        </w:rPr>
        <w:t xml:space="preserve">; and </w:t>
      </w:r>
      <w:r w:rsidR="003D1104" w:rsidRPr="003D1104">
        <w:rPr>
          <w:i/>
          <w:lang w:val="en-US"/>
        </w:rPr>
        <w:sym w:font="Symbol" w:char="F061"/>
      </w:r>
      <w:r w:rsidR="003D1104">
        <w:rPr>
          <w:lang w:val="en-US"/>
        </w:rPr>
        <w:t xml:space="preserve"> is the coefficient of relative risk aversion (</w:t>
      </w:r>
      <w:r w:rsidR="003D1104" w:rsidRPr="00A25B18">
        <w:rPr>
          <w:i/>
          <w:lang w:val="en-US"/>
        </w:rPr>
        <w:t>CRRA</w:t>
      </w:r>
      <w:r w:rsidR="003D1104">
        <w:rPr>
          <w:lang w:val="en-US"/>
        </w:rPr>
        <w:t xml:space="preserve">). </w:t>
      </w:r>
      <w:r w:rsidR="00AF0667">
        <w:rPr>
          <w:lang w:val="en-US"/>
        </w:rPr>
        <w:t xml:space="preserve"> </w:t>
      </w:r>
      <w:r w:rsidR="00C53412">
        <w:rPr>
          <w:lang w:val="en-US"/>
        </w:rPr>
        <w:t>Hence we follow the work of Merton (1973, 1980) on the intertemporal CAPM and mod</w:t>
      </w:r>
      <w:r w:rsidR="00AA3563">
        <w:rPr>
          <w:lang w:val="en-US"/>
        </w:rPr>
        <w:t>el the time-varying required return</w:t>
      </w:r>
      <w:r w:rsidR="00C53412">
        <w:rPr>
          <w:lang w:val="en-US"/>
        </w:rPr>
        <w:t xml:space="preserve"> as the product of the </w:t>
      </w:r>
      <w:r w:rsidR="00C53412" w:rsidRPr="00A25B18">
        <w:rPr>
          <w:i/>
          <w:lang w:val="en-US"/>
        </w:rPr>
        <w:t>CRRA</w:t>
      </w:r>
      <w:r w:rsidR="00C53412">
        <w:rPr>
          <w:lang w:val="en-US"/>
        </w:rPr>
        <w:t xml:space="preserve"> and the expected variance of returns. </w:t>
      </w:r>
    </w:p>
    <w:p w:rsidR="00B1213B" w:rsidRDefault="00737B63" w:rsidP="00C25039">
      <w:pPr>
        <w:pStyle w:val="normals"/>
        <w:spacing w:line="360" w:lineRule="auto"/>
        <w:ind w:left="0" w:firstLine="720"/>
        <w:jc w:val="both"/>
        <w:rPr>
          <w:lang w:val="en-US"/>
        </w:rPr>
      </w:pPr>
      <w:r>
        <w:rPr>
          <w:lang w:val="en-US"/>
        </w:rPr>
        <w:t xml:space="preserve">In order to utilize (3) to find the implied or fundamental house price, </w:t>
      </w:r>
      <w:r w:rsidRPr="00737B63">
        <w:rPr>
          <w:position w:val="-12"/>
          <w:lang w:val="en-US"/>
        </w:rPr>
        <w:object w:dxaOrig="320" w:dyaOrig="380">
          <v:shape id="_x0000_i1034" type="#_x0000_t75" style="width:16.25pt;height:18.75pt" o:ole="">
            <v:imagedata r:id="rId27" o:title=""/>
          </v:shape>
          <o:OLEObject Type="Embed" ProgID="Equation.3" ShapeID="_x0000_i1034" DrawAspect="Content" ObjectID="_1381729946" r:id="rId28"/>
        </w:object>
      </w:r>
      <w:r>
        <w:rPr>
          <w:lang w:val="en-US"/>
        </w:rPr>
        <w:t>,</w:t>
      </w:r>
      <w:r w:rsidR="00AF0667">
        <w:rPr>
          <w:lang w:val="en-US"/>
        </w:rPr>
        <w:t xml:space="preserve"> </w:t>
      </w:r>
      <w:r>
        <w:rPr>
          <w:lang w:val="en-US"/>
        </w:rPr>
        <w:t>w</w:t>
      </w:r>
      <w:r w:rsidR="00D73B4A">
        <w:rPr>
          <w:lang w:val="en-US"/>
        </w:rPr>
        <w:t>e use a 3-variable VAR (</w:t>
      </w:r>
      <w:r w:rsidR="00056AF5">
        <w:rPr>
          <w:i/>
          <w:lang w:val="en-US"/>
        </w:rPr>
        <w:t xml:space="preserve"> </w:t>
      </w:r>
      <w:r w:rsidR="00BE60B6">
        <w:rPr>
          <w:i/>
          <w:lang w:val="en-US"/>
        </w:rPr>
        <w:t>pq</w:t>
      </w:r>
      <w:r w:rsidR="00BE60B6">
        <w:rPr>
          <w:i/>
          <w:vertAlign w:val="subscript"/>
          <w:lang w:val="en-US"/>
        </w:rPr>
        <w:t>t</w:t>
      </w:r>
      <w:r w:rsidR="00BE60B6">
        <w:rPr>
          <w:i/>
          <w:lang w:val="en-US"/>
        </w:rPr>
        <w:t xml:space="preserve">, </w:t>
      </w:r>
      <w:r w:rsidR="00BE60B6">
        <w:rPr>
          <w:i/>
          <w:lang w:val="en-US"/>
        </w:rPr>
        <w:sym w:font="Symbol" w:char="F044"/>
      </w:r>
      <w:r w:rsidR="00BE60B6">
        <w:rPr>
          <w:i/>
          <w:lang w:val="en-US"/>
        </w:rPr>
        <w:t>q</w:t>
      </w:r>
      <w:r w:rsidR="00BE60B6">
        <w:rPr>
          <w:i/>
          <w:vertAlign w:val="subscript"/>
          <w:lang w:val="en-US"/>
        </w:rPr>
        <w:t>t</w:t>
      </w:r>
      <w:r w:rsidR="00BE60B6">
        <w:rPr>
          <w:i/>
          <w:lang w:val="en-US"/>
        </w:rPr>
        <w:t xml:space="preserve">, </w:t>
      </w:r>
      <w:r w:rsidR="00D73B4A">
        <w:rPr>
          <w:lang w:val="en-US"/>
        </w:rPr>
        <w:t xml:space="preserve">and </w:t>
      </w:r>
      <w:r w:rsidR="00BE60B6">
        <w:rPr>
          <w:i/>
          <w:lang w:val="en-US"/>
        </w:rPr>
        <w:sym w:font="Symbol" w:char="F073"/>
      </w:r>
      <w:r w:rsidR="00BE60B6">
        <w:rPr>
          <w:i/>
          <w:vertAlign w:val="superscript"/>
          <w:lang w:val="en-US"/>
        </w:rPr>
        <w:t>2</w:t>
      </w:r>
      <w:r w:rsidR="00BE60B6">
        <w:rPr>
          <w:i/>
          <w:vertAlign w:val="subscript"/>
          <w:lang w:val="en-US"/>
        </w:rPr>
        <w:t>t</w:t>
      </w:r>
      <w:r w:rsidR="00056AF5">
        <w:rPr>
          <w:i/>
          <w:lang w:val="en-US"/>
        </w:rPr>
        <w:t xml:space="preserve"> </w:t>
      </w:r>
      <w:r w:rsidR="00D73B4A">
        <w:rPr>
          <w:lang w:val="en-US"/>
        </w:rPr>
        <w:t>) to forecast real income growth and housing return variance and</w:t>
      </w:r>
      <w:r w:rsidR="001E264D">
        <w:rPr>
          <w:lang w:val="en-US"/>
        </w:rPr>
        <w:t>,</w:t>
      </w:r>
      <w:r w:rsidR="00D73B4A">
        <w:rPr>
          <w:lang w:val="en-US"/>
        </w:rPr>
        <w:t xml:space="preserve"> from this</w:t>
      </w:r>
      <w:r w:rsidR="001E264D">
        <w:rPr>
          <w:lang w:val="en-US"/>
        </w:rPr>
        <w:t>,</w:t>
      </w:r>
      <w:r w:rsidR="00D73B4A">
        <w:rPr>
          <w:lang w:val="en-US"/>
        </w:rPr>
        <w:t xml:space="preserve"> construct a measure of the fundamental house price-disposable income ratio, </w:t>
      </w:r>
      <w:r w:rsidR="00D73B4A" w:rsidRPr="00D73B4A">
        <w:rPr>
          <w:position w:val="-12"/>
          <w:lang w:val="en-US"/>
        </w:rPr>
        <w:object w:dxaOrig="440" w:dyaOrig="380">
          <v:shape id="_x0000_i1035" type="#_x0000_t75" style="width:21.8pt;height:18.75pt" o:ole="">
            <v:imagedata r:id="rId29" o:title=""/>
          </v:shape>
          <o:OLEObject Type="Embed" ProgID="Equation.3" ShapeID="_x0000_i1035" DrawAspect="Content" ObjectID="_1381729947" r:id="rId30"/>
        </w:object>
      </w:r>
      <w:r w:rsidR="00BE60B6">
        <w:rPr>
          <w:lang w:val="en-US"/>
        </w:rPr>
        <w:t xml:space="preserve">. </w:t>
      </w:r>
      <w:r w:rsidR="00AF0667">
        <w:rPr>
          <w:lang w:val="en-US"/>
        </w:rPr>
        <w:t xml:space="preserve"> </w:t>
      </w:r>
      <w:r w:rsidR="00B1213B">
        <w:rPr>
          <w:lang w:val="en-US"/>
        </w:rPr>
        <w:t>Finally</w:t>
      </w:r>
      <w:r w:rsidR="00AF0667">
        <w:rPr>
          <w:lang w:val="en-US"/>
        </w:rPr>
        <w:t>,</w:t>
      </w:r>
      <w:r w:rsidR="00B1213B">
        <w:rPr>
          <w:lang w:val="en-US"/>
        </w:rPr>
        <w:t xml:space="preserve"> from the fundamental (log) price-income ratio </w:t>
      </w:r>
      <w:r w:rsidR="00D73B4A" w:rsidRPr="00D73B4A">
        <w:rPr>
          <w:position w:val="-12"/>
          <w:lang w:val="en-US"/>
        </w:rPr>
        <w:object w:dxaOrig="440" w:dyaOrig="380">
          <v:shape id="_x0000_i1036" type="#_x0000_t75" style="width:21.8pt;height:18.75pt" o:ole="">
            <v:imagedata r:id="rId31" o:title=""/>
          </v:shape>
          <o:OLEObject Type="Embed" ProgID="Equation.3" ShapeID="_x0000_i1036" DrawAspect="Content" ObjectID="_1381729948" r:id="rId32"/>
        </w:object>
      </w:r>
      <w:r w:rsidR="00B1213B">
        <w:rPr>
          <w:vertAlign w:val="subscript"/>
          <w:lang w:val="en-US"/>
        </w:rPr>
        <w:t xml:space="preserve">, </w:t>
      </w:r>
      <w:r w:rsidR="00B1213B" w:rsidRPr="00B1213B">
        <w:rPr>
          <w:lang w:val="en-US"/>
        </w:rPr>
        <w:t>we can generate the (log)</w:t>
      </w:r>
      <w:r w:rsidR="00B1213B">
        <w:rPr>
          <w:lang w:val="en-US"/>
        </w:rPr>
        <w:t xml:space="preserve"> of fundamental house prices as:</w:t>
      </w:r>
    </w:p>
    <w:p w:rsidR="00D73B4A" w:rsidRDefault="00D73B4A" w:rsidP="00C25039">
      <w:pPr>
        <w:pStyle w:val="normals"/>
        <w:spacing w:line="360" w:lineRule="auto"/>
        <w:ind w:left="0" w:right="-154" w:firstLine="0"/>
        <w:jc w:val="both"/>
        <w:rPr>
          <w:lang w:val="en-US"/>
        </w:rPr>
      </w:pPr>
      <w:r>
        <w:rPr>
          <w:i/>
          <w:lang w:val="en-US"/>
        </w:rPr>
        <w:t>p</w:t>
      </w:r>
      <w:r>
        <w:rPr>
          <w:i/>
          <w:vertAlign w:val="subscript"/>
          <w:lang w:val="en-US"/>
        </w:rPr>
        <w:t>t</w:t>
      </w:r>
      <w:r>
        <w:rPr>
          <w:i/>
          <w:lang w:val="en-US"/>
        </w:rPr>
        <w:t>* = pq</w:t>
      </w:r>
      <w:r>
        <w:rPr>
          <w:i/>
          <w:vertAlign w:val="subscript"/>
          <w:lang w:val="en-US"/>
        </w:rPr>
        <w:t>t</w:t>
      </w:r>
      <w:r>
        <w:rPr>
          <w:i/>
          <w:lang w:val="en-US"/>
        </w:rPr>
        <w:t>* + q</w:t>
      </w:r>
      <w:r>
        <w:rPr>
          <w:i/>
          <w:vertAlign w:val="subscript"/>
          <w:lang w:val="en-US"/>
        </w:rPr>
        <w:t>t</w:t>
      </w:r>
      <w:r w:rsidR="00746B23">
        <w:rPr>
          <w:lang w:val="en-US"/>
        </w:rPr>
        <w:tab/>
      </w:r>
      <w:r w:rsidR="00746B23">
        <w:rPr>
          <w:lang w:val="en-US"/>
        </w:rPr>
        <w:tab/>
      </w:r>
      <w:r w:rsidR="00746B23">
        <w:rPr>
          <w:lang w:val="en-US"/>
        </w:rPr>
        <w:tab/>
      </w:r>
      <w:r w:rsidR="00746B23">
        <w:rPr>
          <w:lang w:val="en-US"/>
        </w:rPr>
        <w:tab/>
      </w:r>
      <w:r w:rsidR="00746B23">
        <w:rPr>
          <w:lang w:val="en-US"/>
        </w:rPr>
        <w:tab/>
      </w:r>
      <w:r w:rsidR="00746B23">
        <w:rPr>
          <w:lang w:val="en-US"/>
        </w:rPr>
        <w:tab/>
      </w:r>
      <w:r w:rsidR="00746B23">
        <w:rPr>
          <w:lang w:val="en-US"/>
        </w:rPr>
        <w:tab/>
      </w:r>
      <w:r w:rsidR="00746B23">
        <w:rPr>
          <w:lang w:val="en-US"/>
        </w:rPr>
        <w:tab/>
      </w:r>
      <w:r w:rsidR="00746B23">
        <w:rPr>
          <w:lang w:val="en-US"/>
        </w:rPr>
        <w:tab/>
      </w:r>
      <w:r w:rsidR="00746B23">
        <w:rPr>
          <w:lang w:val="en-US"/>
        </w:rPr>
        <w:tab/>
        <w:t>(4</w:t>
      </w:r>
      <w:r>
        <w:rPr>
          <w:lang w:val="en-US"/>
        </w:rPr>
        <w:t>)</w:t>
      </w:r>
    </w:p>
    <w:p w:rsidR="0077186C" w:rsidRDefault="00D73B4A" w:rsidP="00C25039">
      <w:pPr>
        <w:pStyle w:val="normals"/>
        <w:spacing w:line="360" w:lineRule="auto"/>
        <w:ind w:left="0" w:firstLine="0"/>
        <w:jc w:val="both"/>
        <w:rPr>
          <w:lang w:val="en-US"/>
        </w:rPr>
      </w:pPr>
      <w:r>
        <w:rPr>
          <w:lang w:val="en-US"/>
        </w:rPr>
        <w:t xml:space="preserve">where </w:t>
      </w:r>
      <w:r w:rsidRPr="00D73B4A">
        <w:rPr>
          <w:position w:val="-12"/>
          <w:lang w:val="en-US"/>
        </w:rPr>
        <w:object w:dxaOrig="320" w:dyaOrig="380">
          <v:shape id="_x0000_i1037" type="#_x0000_t75" style="width:16.25pt;height:18.75pt" o:ole="">
            <v:imagedata r:id="rId33" o:title=""/>
          </v:shape>
          <o:OLEObject Type="Embed" ProgID="Equation.3" ShapeID="_x0000_i1037" DrawAspect="Content" ObjectID="_1381729949" r:id="rId34"/>
        </w:object>
      </w:r>
      <w:r>
        <w:rPr>
          <w:lang w:val="en-US"/>
        </w:rPr>
        <w:t xml:space="preserve"> denotes the (log) fundamental measure of house prices.  </w:t>
      </w:r>
    </w:p>
    <w:p w:rsidR="00D73B4A" w:rsidRDefault="00D73B4A" w:rsidP="00C25039">
      <w:pPr>
        <w:pStyle w:val="normals"/>
        <w:spacing w:line="360" w:lineRule="auto"/>
        <w:ind w:left="0" w:firstLine="720"/>
        <w:jc w:val="both"/>
        <w:rPr>
          <w:lang w:val="en-US"/>
        </w:rPr>
      </w:pPr>
      <w:r>
        <w:rPr>
          <w:lang w:val="en-US"/>
        </w:rPr>
        <w:t xml:space="preserve">A formal test of </w:t>
      </w:r>
      <w:r w:rsidR="002E7028">
        <w:rPr>
          <w:lang w:val="en-US"/>
        </w:rPr>
        <w:t>whether</w:t>
      </w:r>
      <w:r w:rsidR="002E7028" w:rsidRPr="002E7028">
        <w:rPr>
          <w:i/>
          <w:lang w:val="en-US"/>
        </w:rPr>
        <w:t xml:space="preserve"> p</w:t>
      </w:r>
      <w:r w:rsidR="002E7028" w:rsidRPr="002E7028">
        <w:rPr>
          <w:i/>
          <w:vertAlign w:val="subscript"/>
          <w:lang w:val="en-US"/>
        </w:rPr>
        <w:t>t</w:t>
      </w:r>
      <w:r w:rsidR="006B2109">
        <w:rPr>
          <w:i/>
          <w:vertAlign w:val="subscript"/>
          <w:lang w:val="en-US"/>
        </w:rPr>
        <w:t xml:space="preserve"> </w:t>
      </w:r>
      <w:r>
        <w:rPr>
          <w:lang w:val="en-US"/>
        </w:rPr>
        <w:t>and</w:t>
      </w:r>
      <w:r w:rsidRPr="00D73B4A">
        <w:rPr>
          <w:position w:val="-12"/>
          <w:lang w:val="en-US"/>
        </w:rPr>
        <w:object w:dxaOrig="320" w:dyaOrig="380">
          <v:shape id="_x0000_i1038" type="#_x0000_t75" style="width:16.25pt;height:18.75pt" o:ole="">
            <v:imagedata r:id="rId33" o:title=""/>
          </v:shape>
          <o:OLEObject Type="Embed" ProgID="Equation.3" ShapeID="_x0000_i1038" DrawAspect="Content" ObjectID="_1381729950" r:id="rId35"/>
        </w:object>
      </w:r>
      <w:r w:rsidR="006B2109">
        <w:rPr>
          <w:lang w:val="en-US"/>
        </w:rPr>
        <w:t xml:space="preserve"> are significantly different from zero is conducted by restricting the VAR coefficients and </w:t>
      </w:r>
      <w:r w:rsidR="002E7028">
        <w:rPr>
          <w:lang w:val="en-US"/>
        </w:rPr>
        <w:t xml:space="preserve">constructing a Wald test with </w:t>
      </w:r>
      <w:r w:rsidR="006B2109">
        <w:rPr>
          <w:lang w:val="en-US"/>
        </w:rPr>
        <w:t>degrees of freedom</w:t>
      </w:r>
      <w:r w:rsidR="002E7028">
        <w:rPr>
          <w:lang w:val="en-US"/>
        </w:rPr>
        <w:t xml:space="preserve"> equal to the number of restrictions imposed –</w:t>
      </w:r>
      <w:r w:rsidR="006111E8">
        <w:rPr>
          <w:lang w:val="en-US"/>
        </w:rPr>
        <w:t xml:space="preserve"> in this case three</w:t>
      </w:r>
      <w:r w:rsidR="006B2109">
        <w:rPr>
          <w:lang w:val="en-US"/>
        </w:rPr>
        <w:t>.</w:t>
      </w:r>
    </w:p>
    <w:p w:rsidR="00BE60B6" w:rsidRDefault="00BE60B6" w:rsidP="00C25039">
      <w:pPr>
        <w:pStyle w:val="BodyText2"/>
        <w:spacing w:line="360" w:lineRule="auto"/>
        <w:ind w:firstLine="720"/>
        <w:jc w:val="both"/>
        <w:rPr>
          <w:lang w:val="en-US"/>
        </w:rPr>
      </w:pPr>
      <w:r>
        <w:rPr>
          <w:lang w:val="en-US"/>
        </w:rPr>
        <w:t>Given the above</w:t>
      </w:r>
      <w:r w:rsidR="00AF0667">
        <w:rPr>
          <w:lang w:val="en-US"/>
        </w:rPr>
        <w:t>,</w:t>
      </w:r>
      <w:r>
        <w:rPr>
          <w:lang w:val="en-US"/>
        </w:rPr>
        <w:t xml:space="preserve"> we can identify the sign, size and significance of any deviations of actual house prices from their fundamental value (as warranted by real disposable income).</w:t>
      </w:r>
    </w:p>
    <w:p w:rsidR="00BE60B6" w:rsidRDefault="00BE60B6" w:rsidP="00C25039">
      <w:pPr>
        <w:spacing w:line="360" w:lineRule="auto"/>
        <w:ind w:left="360" w:hanging="360"/>
        <w:jc w:val="both"/>
        <w:rPr>
          <w:b/>
          <w:lang w:val="en-US"/>
        </w:rPr>
      </w:pPr>
      <w:r>
        <w:rPr>
          <w:b/>
          <w:lang w:val="en-US"/>
        </w:rPr>
        <w:lastRenderedPageBreak/>
        <w:t>Data and Preliminary Statistics</w:t>
      </w:r>
    </w:p>
    <w:p w:rsidR="00AF0667" w:rsidRDefault="00AF0667" w:rsidP="00C25039">
      <w:pPr>
        <w:spacing w:line="360" w:lineRule="auto"/>
        <w:jc w:val="both"/>
        <w:rPr>
          <w:lang w:val="en-US"/>
        </w:rPr>
      </w:pPr>
    </w:p>
    <w:p w:rsidR="00BE60B6" w:rsidRDefault="00BE60B6" w:rsidP="00C25039">
      <w:pPr>
        <w:spacing w:line="360" w:lineRule="auto"/>
        <w:jc w:val="both"/>
        <w:rPr>
          <w:lang w:val="en-US"/>
        </w:rPr>
      </w:pPr>
      <w:r w:rsidRPr="00AF0667">
        <w:rPr>
          <w:lang w:val="en-US"/>
        </w:rPr>
        <w:t>Data</w:t>
      </w:r>
    </w:p>
    <w:p w:rsidR="00AF0667" w:rsidRPr="00AF0667" w:rsidRDefault="00AF0667" w:rsidP="00C25039">
      <w:pPr>
        <w:spacing w:line="360" w:lineRule="auto"/>
        <w:jc w:val="both"/>
        <w:rPr>
          <w:lang w:val="en-US"/>
        </w:rPr>
      </w:pPr>
    </w:p>
    <w:p w:rsidR="00BE60B6" w:rsidRDefault="00BE60B6" w:rsidP="00C25039">
      <w:pPr>
        <w:pStyle w:val="BodyText"/>
        <w:spacing w:line="360" w:lineRule="auto"/>
        <w:jc w:val="both"/>
        <w:rPr>
          <w:b w:val="0"/>
          <w:i w:val="0"/>
          <w:sz w:val="24"/>
          <w:lang w:val="en-US"/>
        </w:rPr>
      </w:pPr>
      <w:r>
        <w:rPr>
          <w:b w:val="0"/>
          <w:i w:val="0"/>
          <w:sz w:val="24"/>
          <w:lang w:val="en-US"/>
        </w:rPr>
        <w:t xml:space="preserve">The data covers quarterly periods from 1970:1 through to 2005:4. Data on house prices were sourced from Quotable Value New </w:t>
      </w:r>
      <w:smartTag w:uri="urn:schemas-microsoft-com:office:smarttags" w:element="place">
        <w:r>
          <w:rPr>
            <w:b w:val="0"/>
            <w:i w:val="0"/>
            <w:sz w:val="24"/>
            <w:lang w:val="en-US"/>
          </w:rPr>
          <w:t>Zealand</w:t>
        </w:r>
      </w:smartTag>
      <w:r>
        <w:rPr>
          <w:b w:val="0"/>
          <w:i w:val="0"/>
          <w:sz w:val="24"/>
          <w:lang w:val="en-US"/>
        </w:rPr>
        <w:t xml:space="preserve">’s Residential Sales Summary quarterly publications and the Reserve Bank.  This index measures average prices of freehold house sales adjusted for the quality mix of sales in each period. </w:t>
      </w:r>
      <w:r w:rsidR="00B6135E">
        <w:rPr>
          <w:b w:val="0"/>
          <w:i w:val="0"/>
          <w:sz w:val="24"/>
          <w:lang w:val="en-US"/>
        </w:rPr>
        <w:t xml:space="preserve"> </w:t>
      </w:r>
      <w:r>
        <w:rPr>
          <w:b w:val="0"/>
          <w:i w:val="0"/>
          <w:sz w:val="24"/>
          <w:lang w:val="en-US"/>
        </w:rPr>
        <w:t>The interest rate data used throughout this study were obtained from the Ibbotson Associates database.  Since reliable</w:t>
      </w:r>
      <w:r>
        <w:rPr>
          <w:sz w:val="24"/>
          <w:lang w:val="en-US"/>
        </w:rPr>
        <w:t xml:space="preserve"> </w:t>
      </w:r>
      <w:r>
        <w:rPr>
          <w:b w:val="0"/>
          <w:i w:val="0"/>
          <w:sz w:val="24"/>
          <w:lang w:val="en-US"/>
        </w:rPr>
        <w:t>IMF</w:t>
      </w:r>
      <w:r>
        <w:rPr>
          <w:i w:val="0"/>
          <w:sz w:val="24"/>
          <w:lang w:val="en-US"/>
        </w:rPr>
        <w:t xml:space="preserve"> </w:t>
      </w:r>
      <w:r>
        <w:rPr>
          <w:b w:val="0"/>
          <w:i w:val="0"/>
          <w:sz w:val="24"/>
          <w:lang w:val="en-US"/>
        </w:rPr>
        <w:t xml:space="preserve">Treasury bill data were only available from May 1986, the (real) IMF New Zealand Long-Term Government bond </w:t>
      </w:r>
      <w:r w:rsidR="00B6135E">
        <w:rPr>
          <w:b w:val="0"/>
          <w:i w:val="0"/>
          <w:sz w:val="24"/>
          <w:lang w:val="en-US"/>
        </w:rPr>
        <w:t xml:space="preserve">series </w:t>
      </w:r>
      <w:r>
        <w:rPr>
          <w:b w:val="0"/>
          <w:i w:val="0"/>
          <w:sz w:val="24"/>
          <w:lang w:val="en-US"/>
        </w:rPr>
        <w:t xml:space="preserve">was used to provide a continuous series of total returns from </w:t>
      </w:r>
      <w:r w:rsidR="00266F1A">
        <w:rPr>
          <w:b w:val="0"/>
          <w:i w:val="0"/>
          <w:sz w:val="24"/>
          <w:lang w:val="en-US"/>
        </w:rPr>
        <w:t xml:space="preserve">a relatively risk-free asset.  </w:t>
      </w:r>
      <w:r>
        <w:rPr>
          <w:b w:val="0"/>
          <w:i w:val="0"/>
          <w:sz w:val="24"/>
          <w:lang w:val="en-US"/>
        </w:rPr>
        <w:t>Investigation of the data reveals a very high degree of correlation between the substituted interest rate and the optimal short-term rate for the later period that both series are available.  The macroeconomic data were obtained from various sources:  the consumer price index (CPI) was obtained from the Reserve Bank and was used to deflate asset data, thus providing prices in real terms.  Real disposable income (RDI) was sourced from</w:t>
      </w:r>
      <w:r>
        <w:rPr>
          <w:lang w:val="en-US"/>
        </w:rPr>
        <w:t xml:space="preserve"> </w:t>
      </w:r>
      <w:r>
        <w:rPr>
          <w:b w:val="0"/>
          <w:i w:val="0"/>
          <w:sz w:val="24"/>
          <w:lang w:val="en-US"/>
        </w:rPr>
        <w:t xml:space="preserve">Statistics New Zealand. </w:t>
      </w:r>
      <w:r w:rsidR="00B6135E">
        <w:rPr>
          <w:b w:val="0"/>
          <w:i w:val="0"/>
          <w:sz w:val="24"/>
          <w:lang w:val="en-US"/>
        </w:rPr>
        <w:t xml:space="preserve"> </w:t>
      </w:r>
      <w:r>
        <w:rPr>
          <w:b w:val="0"/>
          <w:i w:val="0"/>
          <w:sz w:val="24"/>
          <w:lang w:val="en-US"/>
        </w:rPr>
        <w:t>Where comparisons are made between housing and equity asset classes, the latter data were sourced from Ibbotson Associates and covers the period 1988 through 2005.</w:t>
      </w:r>
      <w:r>
        <w:rPr>
          <w:rStyle w:val="FootnoteReference"/>
          <w:b w:val="0"/>
          <w:i w:val="0"/>
          <w:sz w:val="24"/>
          <w:lang w:val="en-US"/>
        </w:rPr>
        <w:footnoteReference w:id="6"/>
      </w:r>
    </w:p>
    <w:p w:rsidR="00BE60B6" w:rsidRDefault="00BE60B6" w:rsidP="00C25039">
      <w:pPr>
        <w:spacing w:line="360" w:lineRule="auto"/>
        <w:ind w:firstLine="720"/>
        <w:jc w:val="both"/>
        <w:rPr>
          <w:lang w:val="en-US"/>
        </w:rPr>
      </w:pPr>
      <w:r>
        <w:rPr>
          <w:lang w:val="en-US"/>
        </w:rPr>
        <w:t xml:space="preserve">In the empirical work reported below, real disposable income data are scaled so that the log of real house prices–income ratio, </w:t>
      </w:r>
      <w:r>
        <w:rPr>
          <w:i/>
          <w:lang w:val="en-US"/>
        </w:rPr>
        <w:t>pq</w:t>
      </w:r>
      <w:r>
        <w:rPr>
          <w:i/>
          <w:vertAlign w:val="subscript"/>
          <w:lang w:val="en-US"/>
        </w:rPr>
        <w:t>t</w:t>
      </w:r>
      <w:r w:rsidR="00094942">
        <w:rPr>
          <w:lang w:val="en-US"/>
        </w:rPr>
        <w:t>, is in the same units of measurement</w:t>
      </w:r>
      <w:r>
        <w:rPr>
          <w:lang w:val="en-US"/>
        </w:rPr>
        <w:t xml:space="preserve"> as the log of the real house price-rent ratio (or the price-dividend ratio in the case of stock prices).  The scale factor is calculated as [(</w:t>
      </w:r>
      <w:r>
        <w:rPr>
          <w:i/>
          <w:lang w:val="en-US"/>
        </w:rPr>
        <w:t>1+R</w:t>
      </w:r>
      <w:r>
        <w:rPr>
          <w:lang w:val="en-US"/>
        </w:rPr>
        <w:t>)</w:t>
      </w:r>
      <w:r>
        <w:rPr>
          <w:i/>
          <w:lang w:val="en-US"/>
        </w:rPr>
        <w:t>P</w:t>
      </w:r>
      <w:r>
        <w:rPr>
          <w:i/>
          <w:vertAlign w:val="subscript"/>
          <w:lang w:val="en-US"/>
        </w:rPr>
        <w:t>t-1</w:t>
      </w:r>
      <w:r>
        <w:rPr>
          <w:i/>
          <w:lang w:val="en-US"/>
        </w:rPr>
        <w:t>-P</w:t>
      </w:r>
      <w:r>
        <w:rPr>
          <w:i/>
          <w:vertAlign w:val="subscript"/>
          <w:lang w:val="en-US"/>
        </w:rPr>
        <w:t>t</w:t>
      </w:r>
      <w:r>
        <w:rPr>
          <w:lang w:val="en-US"/>
        </w:rPr>
        <w:t>]</w:t>
      </w:r>
      <w:r>
        <w:rPr>
          <w:i/>
          <w:lang w:val="en-US"/>
        </w:rPr>
        <w:t>/Y</w:t>
      </w:r>
      <w:r>
        <w:rPr>
          <w:i/>
          <w:vertAlign w:val="subscript"/>
          <w:lang w:val="en-US"/>
        </w:rPr>
        <w:t>t-1</w:t>
      </w:r>
      <w:r>
        <w:rPr>
          <w:i/>
          <w:vertAlign w:val="subscript"/>
          <w:lang w:val="en-US"/>
        </w:rPr>
        <w:softHyphen/>
      </w:r>
      <w:r>
        <w:rPr>
          <w:i/>
          <w:lang w:val="en-US"/>
        </w:rPr>
        <w:t xml:space="preserve"> </w:t>
      </w:r>
      <w:r>
        <w:rPr>
          <w:lang w:val="en-US"/>
        </w:rPr>
        <w:t xml:space="preserve">where </w:t>
      </w:r>
      <w:r>
        <w:rPr>
          <w:i/>
          <w:lang w:val="en-US"/>
        </w:rPr>
        <w:t>R</w:t>
      </w:r>
      <w:r>
        <w:rPr>
          <w:lang w:val="en-US"/>
        </w:rPr>
        <w:t xml:space="preserve"> is the real required return, </w:t>
      </w:r>
      <w:r>
        <w:rPr>
          <w:i/>
          <w:lang w:val="en-US"/>
        </w:rPr>
        <w:t>P</w:t>
      </w:r>
      <w:r>
        <w:rPr>
          <w:i/>
          <w:vertAlign w:val="subscript"/>
          <w:lang w:val="en-US"/>
        </w:rPr>
        <w:t>t</w:t>
      </w:r>
      <w:r>
        <w:rPr>
          <w:i/>
          <w:lang w:val="en-US"/>
        </w:rPr>
        <w:t xml:space="preserve"> </w:t>
      </w:r>
      <w:r>
        <w:rPr>
          <w:lang w:val="en-US"/>
        </w:rPr>
        <w:t xml:space="preserve">is the value of the house price index at time </w:t>
      </w:r>
      <w:r>
        <w:rPr>
          <w:i/>
          <w:lang w:val="en-US"/>
        </w:rPr>
        <w:t xml:space="preserve">t </w:t>
      </w:r>
      <w:r>
        <w:rPr>
          <w:lang w:val="en-US"/>
        </w:rPr>
        <w:t xml:space="preserve">and </w:t>
      </w:r>
      <w:r>
        <w:rPr>
          <w:i/>
          <w:lang w:val="en-US"/>
        </w:rPr>
        <w:t>Y</w:t>
      </w:r>
      <w:r>
        <w:rPr>
          <w:i/>
          <w:vertAlign w:val="subscript"/>
          <w:lang w:val="en-US"/>
        </w:rPr>
        <w:t>t-1</w:t>
      </w:r>
      <w:r>
        <w:rPr>
          <w:i/>
          <w:lang w:val="en-US"/>
        </w:rPr>
        <w:t xml:space="preserve"> </w:t>
      </w:r>
      <w:r>
        <w:rPr>
          <w:lang w:val="en-US"/>
        </w:rPr>
        <w:t xml:space="preserve">is lagged real disposable income.  The value of </w:t>
      </w:r>
      <w:r>
        <w:rPr>
          <w:i/>
          <w:lang w:val="en-US"/>
        </w:rPr>
        <w:t xml:space="preserve">R </w:t>
      </w:r>
      <w:r>
        <w:rPr>
          <w:lang w:val="en-US"/>
        </w:rPr>
        <w:t>is calculated as the sample average quarterly change in the gross price index.</w:t>
      </w:r>
      <w:r>
        <w:rPr>
          <w:rStyle w:val="FootnoteReference"/>
          <w:lang w:val="en-US"/>
        </w:rPr>
        <w:footnoteReference w:id="7"/>
      </w:r>
      <w:r>
        <w:rPr>
          <w:lang w:val="en-US"/>
        </w:rPr>
        <w:t xml:space="preserve">  The log of the product of the scale variable and real disposable income gives a time series of disposable income in the same dimensions as those of rents (or dividends) and is denoted </w:t>
      </w:r>
      <w:r>
        <w:rPr>
          <w:i/>
          <w:lang w:val="en-US"/>
        </w:rPr>
        <w:t>q</w:t>
      </w:r>
      <w:r>
        <w:rPr>
          <w:i/>
          <w:vertAlign w:val="subscript"/>
          <w:lang w:val="en-US"/>
        </w:rPr>
        <w:t>t</w:t>
      </w:r>
      <w:r>
        <w:rPr>
          <w:vertAlign w:val="subscript"/>
          <w:lang w:val="en-US"/>
        </w:rPr>
        <w:t>.</w:t>
      </w:r>
      <w:r>
        <w:rPr>
          <w:lang w:val="en-US"/>
        </w:rPr>
        <w:t xml:space="preserve">  The restrictions imposed on the model also require a measurement of the </w:t>
      </w:r>
      <w:r>
        <w:rPr>
          <w:i/>
          <w:lang w:val="en-US"/>
        </w:rPr>
        <w:t>CRRA</w:t>
      </w:r>
      <w:r>
        <w:rPr>
          <w:lang w:val="en-US"/>
        </w:rPr>
        <w:t xml:space="preserve">, </w:t>
      </w:r>
      <w:r>
        <w:rPr>
          <w:i/>
          <w:lang w:val="en-US"/>
        </w:rPr>
        <w:sym w:font="Symbol" w:char="F061"/>
      </w:r>
      <w:r>
        <w:rPr>
          <w:lang w:val="en-US"/>
        </w:rPr>
        <w:t xml:space="preserve">.  </w:t>
      </w:r>
      <w:r w:rsidR="000B748C">
        <w:t xml:space="preserve">In accordance with </w:t>
      </w:r>
      <w:r w:rsidR="00FE1426">
        <w:t>Merton (</w:t>
      </w:r>
      <w:r w:rsidR="00AA4279">
        <w:t>1973,</w:t>
      </w:r>
      <w:r w:rsidR="008556E9">
        <w:t xml:space="preserve"> </w:t>
      </w:r>
      <w:r w:rsidR="00FE1426">
        <w:t>19</w:t>
      </w:r>
      <w:r w:rsidR="0046104C">
        <w:t xml:space="preserve">80), </w:t>
      </w:r>
      <w:r w:rsidR="000B748C">
        <w:t>Campbell</w:t>
      </w:r>
      <w:r w:rsidR="0046104C">
        <w:t xml:space="preserve"> and Shiller (198</w:t>
      </w:r>
      <w:r w:rsidR="004D0150">
        <w:t>8a</w:t>
      </w:r>
      <w:r w:rsidR="0046104C">
        <w:t>)</w:t>
      </w:r>
      <w:r w:rsidR="00266F1A">
        <w:t>,</w:t>
      </w:r>
      <w:r w:rsidR="0046104C">
        <w:t xml:space="preserve"> and Boyle (2005), </w:t>
      </w:r>
      <w:r w:rsidR="000B748C">
        <w:rPr>
          <w:i/>
        </w:rPr>
        <w:sym w:font="Symbol" w:char="F061"/>
      </w:r>
      <w:r w:rsidR="000B748C">
        <w:t xml:space="preserve"> is</w:t>
      </w:r>
      <w:r w:rsidR="00786FE4">
        <w:t xml:space="preserve"> </w:t>
      </w:r>
      <w:r w:rsidR="00786FE4">
        <w:lastRenderedPageBreak/>
        <w:t>imposed on the model</w:t>
      </w:r>
      <w:r w:rsidR="0046104C">
        <w:t xml:space="preserve"> and</w:t>
      </w:r>
      <w:r w:rsidR="000B748C">
        <w:t xml:space="preserve"> measured as: </w:t>
      </w:r>
      <w:r w:rsidR="005F14B6" w:rsidRPr="00726532">
        <w:rPr>
          <w:position w:val="-30"/>
        </w:rPr>
        <w:object w:dxaOrig="1380" w:dyaOrig="740">
          <v:shape id="_x0000_i1039" type="#_x0000_t75" style="width:68.95pt;height:37pt" o:ole="">
            <v:imagedata r:id="rId36" o:title=""/>
          </v:shape>
          <o:OLEObject Type="Embed" ProgID="Equation.3" ShapeID="_x0000_i1039" DrawAspect="Content" ObjectID="_1381729951" r:id="rId37"/>
        </w:object>
      </w:r>
      <w:r w:rsidR="000B748C" w:rsidRPr="000B748C">
        <w:rPr>
          <w:position w:val="-10"/>
        </w:rPr>
        <w:object w:dxaOrig="180" w:dyaOrig="340">
          <v:shape id="_x0000_i1040" type="#_x0000_t75" style="width:9.15pt;height:17.25pt" o:ole="">
            <v:imagedata r:id="rId38" o:title=""/>
          </v:shape>
          <o:OLEObject Type="Embed" ProgID="Equation.3" ShapeID="_x0000_i1040" DrawAspect="Content" ObjectID="_1381729952" r:id="rId39"/>
        </w:object>
      </w:r>
      <w:r w:rsidR="000B748C">
        <w:t xml:space="preserve"> where </w:t>
      </w:r>
      <w:r w:rsidR="000B748C">
        <w:rPr>
          <w:i/>
        </w:rPr>
        <w:t>er</w:t>
      </w:r>
      <w:r w:rsidR="000B748C">
        <w:t xml:space="preserve"> denotes returns in excess of th</w:t>
      </w:r>
      <w:r w:rsidR="00605810">
        <w:t>e risk-</w:t>
      </w:r>
      <w:r w:rsidR="0046104C">
        <w:t>free rate</w:t>
      </w:r>
      <w:r w:rsidR="000B748C">
        <w:t xml:space="preserve">, an overbar denotes a mean value and </w:t>
      </w:r>
      <w:r w:rsidR="00004252" w:rsidRPr="00726532">
        <w:rPr>
          <w:position w:val="-12"/>
        </w:rPr>
        <w:object w:dxaOrig="360" w:dyaOrig="380">
          <v:shape id="_x0000_i1041" type="#_x0000_t75" style="width:18.25pt;height:18.75pt" o:ole="">
            <v:imagedata r:id="rId40" o:title=""/>
          </v:shape>
          <o:OLEObject Type="Embed" ProgID="Equation.3" ShapeID="_x0000_i1041" DrawAspect="Content" ObjectID="_1381729953" r:id="rId41"/>
        </w:object>
      </w:r>
      <w:r w:rsidR="000B748C">
        <w:t xml:space="preserve"> denotes the variance</w:t>
      </w:r>
      <w:r w:rsidR="00605810">
        <w:t xml:space="preserve"> of returns in excess of the risk-free rate</w:t>
      </w:r>
      <w:r w:rsidR="000B748C">
        <w:t>.</w:t>
      </w:r>
      <w:r w:rsidR="00F9291F">
        <w:rPr>
          <w:lang w:val="en-US"/>
        </w:rPr>
        <w:t xml:space="preserve"> </w:t>
      </w:r>
      <w:r w:rsidR="00B6135E">
        <w:rPr>
          <w:lang w:val="en-US"/>
        </w:rPr>
        <w:t xml:space="preserve"> </w:t>
      </w:r>
      <w:r>
        <w:rPr>
          <w:lang w:val="en-US"/>
        </w:rPr>
        <w:t>All variables in the VAR are in terms of their deviations from means</w:t>
      </w:r>
      <w:r w:rsidR="00B6135E">
        <w:rPr>
          <w:lang w:val="en-US"/>
        </w:rPr>
        <w:t>,</w:t>
      </w:r>
      <w:r>
        <w:rPr>
          <w:lang w:val="en-US"/>
        </w:rPr>
        <w:t xml:space="preserve"> thus avoiding the necessity of including a constant in the VAR equations.</w:t>
      </w:r>
    </w:p>
    <w:p w:rsidR="00BE60B6" w:rsidRDefault="00BE60B6" w:rsidP="00C25039">
      <w:pPr>
        <w:spacing w:line="360" w:lineRule="auto"/>
        <w:jc w:val="both"/>
        <w:rPr>
          <w:i/>
          <w:lang w:val="en-US"/>
        </w:rPr>
      </w:pPr>
    </w:p>
    <w:p w:rsidR="00BE60B6" w:rsidRDefault="00BE60B6" w:rsidP="00C25039">
      <w:pPr>
        <w:spacing w:line="360" w:lineRule="auto"/>
        <w:jc w:val="both"/>
        <w:rPr>
          <w:lang w:val="en-US"/>
        </w:rPr>
      </w:pPr>
      <w:r w:rsidRPr="00B6135E">
        <w:rPr>
          <w:lang w:val="en-US"/>
        </w:rPr>
        <w:t>Preliminary Statistics</w:t>
      </w:r>
    </w:p>
    <w:p w:rsidR="00B6135E" w:rsidRPr="00B6135E" w:rsidRDefault="00B6135E" w:rsidP="00C25039">
      <w:pPr>
        <w:spacing w:line="360" w:lineRule="auto"/>
        <w:jc w:val="both"/>
        <w:rPr>
          <w:lang w:val="en-US"/>
        </w:rPr>
      </w:pPr>
    </w:p>
    <w:p w:rsidR="00BE60B6" w:rsidRDefault="00BE60B6" w:rsidP="00C25039">
      <w:pPr>
        <w:spacing w:line="360" w:lineRule="auto"/>
        <w:jc w:val="both"/>
        <w:rPr>
          <w:lang w:val="en-US"/>
        </w:rPr>
      </w:pPr>
      <w:r>
        <w:rPr>
          <w:lang w:val="en-US"/>
        </w:rPr>
        <w:t xml:space="preserve">Table 1 provides some summary statistics for key variables of interest.  It indicates that, over the period, the average quarterly real capital gain to housing was 0.7 percent or 2.8 percent per annum. </w:t>
      </w:r>
      <w:r w:rsidR="00266F1A">
        <w:rPr>
          <w:lang w:val="en-US"/>
        </w:rPr>
        <w:t xml:space="preserve"> </w:t>
      </w:r>
      <w:r>
        <w:rPr>
          <w:lang w:val="en-US"/>
        </w:rPr>
        <w:t xml:space="preserve">With an average real return of 1.6 percent per annum from the risk-free investment, this implies an annual excess return on housing over a long-term government bond of 1.2 percent. </w:t>
      </w:r>
      <w:r w:rsidR="00266F1A">
        <w:rPr>
          <w:lang w:val="en-US"/>
        </w:rPr>
        <w:t xml:space="preserve"> </w:t>
      </w:r>
      <w:r>
        <w:rPr>
          <w:lang w:val="en-US"/>
        </w:rPr>
        <w:t>Further, the housing out</w:t>
      </w:r>
      <w:r w:rsidR="00B6135E">
        <w:rPr>
          <w:lang w:val="en-US"/>
        </w:rPr>
        <w:t>-</w:t>
      </w:r>
      <w:r>
        <w:rPr>
          <w:lang w:val="en-US"/>
        </w:rPr>
        <w:t xml:space="preserve">performance appears to have been achieved while facing relatively less </w:t>
      </w:r>
      <w:r>
        <w:rPr>
          <w:i/>
          <w:lang w:val="en-US"/>
        </w:rPr>
        <w:t>ex post</w:t>
      </w:r>
      <w:r>
        <w:rPr>
          <w:lang w:val="en-US"/>
        </w:rPr>
        <w:t xml:space="preserve"> risk as measured by sample standard deviations. </w:t>
      </w:r>
      <w:r>
        <w:rPr>
          <w:i/>
          <w:lang w:val="en-US"/>
        </w:rPr>
        <w:t xml:space="preserve"> </w:t>
      </w:r>
      <w:r>
        <w:rPr>
          <w:lang w:val="en-US"/>
        </w:rPr>
        <w:t>Interestingly, further analysis shows (not reported) that over the period 1988-2005, average real housing capital gain rose to 4.06 percent per annum</w:t>
      </w:r>
      <w:r w:rsidR="00B6135E">
        <w:rPr>
          <w:lang w:val="en-US"/>
        </w:rPr>
        <w:t>,</w:t>
      </w:r>
      <w:r>
        <w:rPr>
          <w:lang w:val="en-US"/>
        </w:rPr>
        <w:t xml:space="preserve"> whereas for New Zealand stock prices this was negative at -0.25 percent per annum. </w:t>
      </w:r>
      <w:r w:rsidR="00266F1A">
        <w:rPr>
          <w:lang w:val="en-US"/>
        </w:rPr>
        <w:t xml:space="preserve"> </w:t>
      </w:r>
      <w:r>
        <w:rPr>
          <w:lang w:val="en-US"/>
        </w:rPr>
        <w:t>However,</w:t>
      </w:r>
      <w:r>
        <w:rPr>
          <w:i/>
          <w:lang w:val="en-US"/>
        </w:rPr>
        <w:t xml:space="preserve"> </w:t>
      </w:r>
      <w:r>
        <w:rPr>
          <w:lang w:val="en-US"/>
        </w:rPr>
        <w:t xml:space="preserve">when dividend income was included in the stock return the average real annual stock return rose to 4 percent. </w:t>
      </w:r>
      <w:r w:rsidR="00266F1A">
        <w:rPr>
          <w:lang w:val="en-US"/>
        </w:rPr>
        <w:t xml:space="preserve"> </w:t>
      </w:r>
      <w:r>
        <w:rPr>
          <w:lang w:val="en-US"/>
        </w:rPr>
        <w:t>While no data on rents are available, the literature assumes this to be around 5 percent per annum which would imply an annual real total housing return of 9.06 percent over this sub-period, thus indicating an average total (non-risk adjusted) out-performance of housing over stocks of 5.06 percent per annum.</w:t>
      </w:r>
      <w:r>
        <w:rPr>
          <w:rStyle w:val="FootnoteReference"/>
          <w:lang w:val="en-US"/>
        </w:rPr>
        <w:footnoteReference w:id="8"/>
      </w:r>
    </w:p>
    <w:p w:rsidR="00BE60B6" w:rsidRDefault="00BE60B6" w:rsidP="00C25039">
      <w:pPr>
        <w:spacing w:line="360" w:lineRule="auto"/>
        <w:ind w:firstLine="720"/>
        <w:jc w:val="both"/>
        <w:rPr>
          <w:lang w:val="en-US"/>
        </w:rPr>
      </w:pPr>
      <w:r>
        <w:rPr>
          <w:lang w:val="en-US"/>
        </w:rPr>
        <w:t xml:space="preserve">Claus and Scobie (2001) in arguing why housing is such an important element in </w:t>
      </w:r>
      <w:smartTag w:uri="urn:schemas-microsoft-com:office:smarttags" w:element="place">
        <w:smartTag w:uri="urn:schemas-microsoft-com:office:smarttags" w:element="country-region">
          <w:r>
            <w:rPr>
              <w:lang w:val="en-US"/>
            </w:rPr>
            <w:t>New Zealand</w:t>
          </w:r>
        </w:smartTag>
      </w:smartTag>
      <w:r>
        <w:rPr>
          <w:lang w:val="en-US"/>
        </w:rPr>
        <w:t xml:space="preserve"> households’ portfolio suggest that relative rates of return to real assets tend to be higher during periods of high inflation.  In </w:t>
      </w:r>
      <w:smartTag w:uri="urn:schemas-microsoft-com:office:smarttags" w:element="place">
        <w:smartTag w:uri="urn:schemas-microsoft-com:office:smarttags" w:element="country-region">
          <w:r>
            <w:rPr>
              <w:lang w:val="en-US"/>
            </w:rPr>
            <w:t>New Zealand</w:t>
          </w:r>
        </w:smartTag>
      </w:smartTag>
      <w:r>
        <w:rPr>
          <w:lang w:val="en-US"/>
        </w:rPr>
        <w:t xml:space="preserve"> this was the case for much of the 1970s and 1980s, and Claus and Scobie suggest that this led to low and falling real interest rates and negative real returns on some financial assets as prices and inflation expectations only adjusted sluggishly. With the exception of housing returns, the J-B statistics provide evidence of non-normality for the variables of interest and they also appear to be stationary at conventional levels of significance.</w:t>
      </w:r>
      <w:r>
        <w:rPr>
          <w:i/>
          <w:color w:val="FF0000"/>
          <w:lang w:val="en-US"/>
        </w:rPr>
        <w:t xml:space="preserve"> </w:t>
      </w:r>
    </w:p>
    <w:p w:rsidR="00BE60B6" w:rsidRDefault="00BE60B6" w:rsidP="00C9099A">
      <w:pPr>
        <w:spacing w:line="360" w:lineRule="auto"/>
        <w:jc w:val="both"/>
        <w:rPr>
          <w:b/>
          <w:lang w:val="en-US"/>
        </w:rPr>
      </w:pPr>
      <w:r>
        <w:rPr>
          <w:b/>
          <w:lang w:val="en-US"/>
        </w:rPr>
        <w:lastRenderedPageBreak/>
        <w:t>Empirical Results</w:t>
      </w:r>
    </w:p>
    <w:p w:rsidR="00C9099A" w:rsidRDefault="00C9099A" w:rsidP="00C25039">
      <w:pPr>
        <w:spacing w:line="360" w:lineRule="auto"/>
        <w:ind w:left="360" w:hanging="360"/>
        <w:jc w:val="both"/>
        <w:rPr>
          <w:lang w:val="en-US"/>
        </w:rPr>
      </w:pPr>
    </w:p>
    <w:p w:rsidR="00BE60B6" w:rsidRDefault="00BE60B6" w:rsidP="00C25039">
      <w:pPr>
        <w:spacing w:line="360" w:lineRule="auto"/>
        <w:ind w:left="360" w:hanging="360"/>
        <w:jc w:val="both"/>
        <w:rPr>
          <w:lang w:val="en-US"/>
        </w:rPr>
      </w:pPr>
      <w:r w:rsidRPr="00C9099A">
        <w:rPr>
          <w:lang w:val="en-US"/>
        </w:rPr>
        <w:t>Fundamental v. Actual Prices</w:t>
      </w:r>
    </w:p>
    <w:p w:rsidR="00C9099A" w:rsidRPr="00C9099A" w:rsidRDefault="00C9099A" w:rsidP="00C25039">
      <w:pPr>
        <w:spacing w:line="360" w:lineRule="auto"/>
        <w:ind w:left="360" w:hanging="360"/>
        <w:jc w:val="both"/>
        <w:rPr>
          <w:lang w:val="en-US"/>
        </w:rPr>
      </w:pPr>
    </w:p>
    <w:p w:rsidR="002F070C" w:rsidRDefault="00BE60B6" w:rsidP="00C25039">
      <w:pPr>
        <w:pStyle w:val="Footer"/>
        <w:tabs>
          <w:tab w:val="clear" w:pos="4153"/>
          <w:tab w:val="clear" w:pos="8306"/>
        </w:tabs>
        <w:spacing w:line="360" w:lineRule="auto"/>
        <w:ind w:firstLine="720"/>
        <w:jc w:val="both"/>
        <w:rPr>
          <w:lang w:val="en-US"/>
        </w:rPr>
      </w:pPr>
      <w:r>
        <w:rPr>
          <w:lang w:val="en-US"/>
        </w:rPr>
        <w:t xml:space="preserve">Table 2 reports the statistics and tests for the time-varying risk model discussed in </w:t>
      </w:r>
      <w:r w:rsidR="00C9099A">
        <w:rPr>
          <w:lang w:val="en-US"/>
        </w:rPr>
        <w:t xml:space="preserve">the empirical framework </w:t>
      </w:r>
      <w:r>
        <w:rPr>
          <w:lang w:val="en-US"/>
        </w:rPr>
        <w:t>section of this paper.  On the basis of Ljung-Box tests for serial correlation</w:t>
      </w:r>
      <w:r>
        <w:rPr>
          <w:sz w:val="20"/>
          <w:lang w:val="en-US"/>
        </w:rPr>
        <w:t xml:space="preserve"> </w:t>
      </w:r>
      <w:r>
        <w:rPr>
          <w:lang w:val="en-US"/>
        </w:rPr>
        <w:t>and</w:t>
      </w:r>
      <w:r>
        <w:rPr>
          <w:sz w:val="20"/>
          <w:lang w:val="en-US"/>
        </w:rPr>
        <w:t xml:space="preserve"> </w:t>
      </w:r>
      <w:r>
        <w:rPr>
          <w:color w:val="000000"/>
          <w:lang w:val="en-US"/>
        </w:rPr>
        <w:t>Akaike Information Criterion</w:t>
      </w:r>
      <w:r>
        <w:rPr>
          <w:lang w:val="en-US"/>
        </w:rPr>
        <w:t xml:space="preserve"> (AIC) and </w:t>
      </w:r>
      <w:r>
        <w:rPr>
          <w:color w:val="000000"/>
          <w:lang w:val="en-US"/>
        </w:rPr>
        <w:t>Schwarz information Criterion</w:t>
      </w:r>
      <w:r>
        <w:rPr>
          <w:lang w:val="en-US"/>
        </w:rPr>
        <w:t xml:space="preserve"> (SC) tests for the optimum lag order, two lags were imposed on the VAR system to ensure the model was correctly specified. </w:t>
      </w:r>
    </w:p>
    <w:p w:rsidR="00BE60B6" w:rsidRPr="002F6E8A" w:rsidRDefault="002F070C" w:rsidP="00C25039">
      <w:pPr>
        <w:pStyle w:val="Footer"/>
        <w:tabs>
          <w:tab w:val="clear" w:pos="4153"/>
          <w:tab w:val="clear" w:pos="8306"/>
        </w:tabs>
        <w:spacing w:line="360" w:lineRule="auto"/>
        <w:ind w:firstLine="720"/>
        <w:jc w:val="both"/>
        <w:rPr>
          <w:lang w:val="en-US"/>
        </w:rPr>
      </w:pPr>
      <w:r>
        <w:rPr>
          <w:lang w:val="en-US"/>
        </w:rPr>
        <w:t xml:space="preserve">The </w:t>
      </w:r>
      <w:r>
        <w:rPr>
          <w:i/>
          <w:lang w:val="en-US"/>
        </w:rPr>
        <w:t xml:space="preserve">CRRA </w:t>
      </w:r>
      <w:r>
        <w:rPr>
          <w:lang w:val="en-US"/>
        </w:rPr>
        <w:t>(1.451), computed as described above</w:t>
      </w:r>
      <w:r w:rsidR="00256DE8">
        <w:rPr>
          <w:lang w:val="en-US"/>
        </w:rPr>
        <w:t xml:space="preserve"> and imposed on the model</w:t>
      </w:r>
      <w:r>
        <w:rPr>
          <w:lang w:val="en-US"/>
        </w:rPr>
        <w:t xml:space="preserve"> is similar to that reported for the New Zealand stock market over an overlapping period (Boyle, 2005 calculated this at 1.4)</w:t>
      </w:r>
      <w:r>
        <w:rPr>
          <w:b/>
          <w:lang w:val="en-US"/>
        </w:rPr>
        <w:t>,</w:t>
      </w:r>
      <w:r>
        <w:rPr>
          <w:lang w:val="en-US"/>
        </w:rPr>
        <w:t xml:space="preserve"> the latter also being at the low end to those reported for stock prices in other developed markets (the conventionally accepted range being 1-10 for stock prices, Abel, 1991, p. 9).</w:t>
      </w:r>
    </w:p>
    <w:p w:rsidR="00BE60B6" w:rsidRDefault="00BE60B6" w:rsidP="00C25039">
      <w:pPr>
        <w:pStyle w:val="Footer"/>
        <w:tabs>
          <w:tab w:val="clear" w:pos="4153"/>
          <w:tab w:val="clear" w:pos="8306"/>
        </w:tabs>
        <w:spacing w:line="360" w:lineRule="auto"/>
        <w:ind w:firstLine="720"/>
        <w:jc w:val="both"/>
        <w:rPr>
          <w:lang w:val="en-US"/>
        </w:rPr>
      </w:pPr>
      <w:r>
        <w:rPr>
          <w:lang w:val="en-US"/>
        </w:rPr>
        <w:t xml:space="preserve">The (adjusted) </w:t>
      </w:r>
      <w:r>
        <w:rPr>
          <w:i/>
          <w:lang w:val="en-US"/>
        </w:rPr>
        <w:t>R</w:t>
      </w:r>
      <w:r>
        <w:rPr>
          <w:i/>
          <w:vertAlign w:val="superscript"/>
          <w:lang w:val="en-US"/>
        </w:rPr>
        <w:t>2</w:t>
      </w:r>
      <w:r>
        <w:rPr>
          <w:lang w:val="en-US"/>
        </w:rPr>
        <w:t xml:space="preserve"> is highest for the price-disposable income ratio due in part to the high significance of own lagged house price-income ratio.  According to the </w:t>
      </w:r>
      <w:r>
        <w:rPr>
          <w:i/>
          <w:lang w:val="en-US"/>
        </w:rPr>
        <w:t>Q</w:t>
      </w:r>
      <w:r>
        <w:rPr>
          <w:lang w:val="en-US"/>
        </w:rPr>
        <w:t xml:space="preserve"> statistic, the lag length is adequately specified.</w:t>
      </w:r>
      <w:r>
        <w:rPr>
          <w:rStyle w:val="FootnoteReference"/>
          <w:lang w:val="en-US"/>
        </w:rPr>
        <w:footnoteReference w:id="9"/>
      </w:r>
      <w:r>
        <w:rPr>
          <w:lang w:val="en-US"/>
        </w:rPr>
        <w:t xml:space="preserve">  As far as the reported linear Wald statistics are concerned, for house prices and real disposable income we can convincingly reject the null hypothesis that the difference between the fundamental price and actual price is zero.</w:t>
      </w:r>
    </w:p>
    <w:p w:rsidR="00BE60B6" w:rsidRDefault="00BE60B6" w:rsidP="00C25039">
      <w:pPr>
        <w:spacing w:line="360" w:lineRule="auto"/>
        <w:jc w:val="both"/>
        <w:rPr>
          <w:lang w:val="en-US"/>
        </w:rPr>
      </w:pPr>
      <w:r>
        <w:rPr>
          <w:lang w:val="en-US"/>
        </w:rPr>
        <w:tab/>
        <w:t>Figure 1 plots the actual and computed fundamental (warranted by real disposable income growth) residential house pr</w:t>
      </w:r>
      <w:r w:rsidR="008D6E1E">
        <w:rPr>
          <w:lang w:val="en-US"/>
        </w:rPr>
        <w:t>ices over the sample period</w:t>
      </w:r>
      <w:r>
        <w:rPr>
          <w:lang w:val="en-US"/>
        </w:rPr>
        <w:t xml:space="preserve">. </w:t>
      </w:r>
      <w:bookmarkEnd w:id="0"/>
      <w:r>
        <w:rPr>
          <w:lang w:val="en-US"/>
        </w:rPr>
        <w:t xml:space="preserve"> Disparities between the actual and fundamental price are particularly noticeable in the early 1970s and 1980s</w:t>
      </w:r>
      <w:r w:rsidR="00C9099A">
        <w:rPr>
          <w:lang w:val="en-US"/>
        </w:rPr>
        <w:t>,</w:t>
      </w:r>
      <w:r>
        <w:rPr>
          <w:lang w:val="en-US"/>
        </w:rPr>
        <w:t xml:space="preserve"> and during 2000 to date. </w:t>
      </w:r>
      <w:r w:rsidR="00C9099A">
        <w:rPr>
          <w:lang w:val="en-US"/>
        </w:rPr>
        <w:t xml:space="preserve"> </w:t>
      </w:r>
      <w:r>
        <w:rPr>
          <w:lang w:val="en-US"/>
        </w:rPr>
        <w:t xml:space="preserve">By the end of the time period, actual prices are 24.73 percent higher than that warranted by real disposable income, there being a steep rise in house prices following on from an undervaluation, the trough of which occurred in 2001:2.  However, unlike other studies using international housing data, there is no evidence of large overvaluation in the mid-late 1980s (see for example </w:t>
      </w:r>
      <w:r w:rsidRPr="00266F1A">
        <w:rPr>
          <w:lang w:val="en-US"/>
        </w:rPr>
        <w:t>Black et al., 2007</w:t>
      </w:r>
      <w:r w:rsidR="00266F1A">
        <w:rPr>
          <w:lang w:val="en-US"/>
        </w:rPr>
        <w:t>; Hawksworth, 2004; Ayuso &amp;</w:t>
      </w:r>
      <w:r>
        <w:rPr>
          <w:lang w:val="en-US"/>
        </w:rPr>
        <w:t xml:space="preserve"> Restoy, 2003) – in fact from the late-1980s to 2000, New Zealand house prices would appear to be quite close to fundamental value and, if anything, tending to lie at, or just below, fundamental value.  This is consistent with results contained in </w:t>
      </w:r>
      <w:r w:rsidRPr="00266F1A">
        <w:rPr>
          <w:lang w:val="en-US"/>
        </w:rPr>
        <w:t>Bourassa et al. (2001</w:t>
      </w:r>
      <w:r>
        <w:rPr>
          <w:lang w:val="en-US"/>
        </w:rPr>
        <w:t xml:space="preserve">) who point to only </w:t>
      </w:r>
      <w:r>
        <w:rPr>
          <w:lang w:val="en-US"/>
        </w:rPr>
        <w:lastRenderedPageBreak/>
        <w:t xml:space="preserve">modest bubbles in the housing markets of </w:t>
      </w:r>
      <w:smartTag w:uri="urn:schemas-microsoft-com:office:smarttags" w:element="City">
        <w:r>
          <w:rPr>
            <w:lang w:val="en-US"/>
          </w:rPr>
          <w:t>Auckland</w:t>
        </w:r>
      </w:smartTag>
      <w:r>
        <w:rPr>
          <w:lang w:val="en-US"/>
        </w:rPr>
        <w:t xml:space="preserve">, </w:t>
      </w:r>
      <w:smartTag w:uri="urn:schemas-microsoft-com:office:smarttags" w:element="City">
        <w:r>
          <w:rPr>
            <w:lang w:val="en-US"/>
          </w:rPr>
          <w:t>Christchurch</w:t>
        </w:r>
      </w:smartTag>
      <w:r>
        <w:rPr>
          <w:lang w:val="en-US"/>
        </w:rPr>
        <w:t xml:space="preserve"> and </w:t>
      </w:r>
      <w:smartTag w:uri="urn:schemas-microsoft-com:office:smarttags" w:element="place">
        <w:smartTag w:uri="urn:schemas-microsoft-com:office:smarttags" w:element="City">
          <w:r>
            <w:rPr>
              <w:lang w:val="en-US"/>
            </w:rPr>
            <w:t>Wellington</w:t>
          </w:r>
        </w:smartTag>
      </w:smartTag>
      <w:r>
        <w:rPr>
          <w:lang w:val="en-US"/>
        </w:rPr>
        <w:t xml:space="preserve"> and would tend to suggest that the market took some time to recover from the dramatic decline in prices at the end of the 1970s and early 1980s.  Importantly, the economy during this period was in the final stages of high state intervention and was performing poorly.</w:t>
      </w:r>
      <w:r>
        <w:rPr>
          <w:rStyle w:val="FootnoteReference"/>
          <w:lang w:val="en-US"/>
        </w:rPr>
        <w:footnoteReference w:id="10"/>
      </w:r>
      <w:r>
        <w:rPr>
          <w:lang w:val="en-US"/>
        </w:rPr>
        <w:t xml:space="preserve">  Related to the poor economic performance, </w:t>
      </w:r>
      <w:smartTag w:uri="urn:schemas-microsoft-com:office:smarttags" w:element="place">
        <w:smartTag w:uri="urn:schemas-microsoft-com:office:smarttags" w:element="country-region">
          <w:r>
            <w:rPr>
              <w:lang w:val="en-US"/>
            </w:rPr>
            <w:t>New Zealand</w:t>
          </w:r>
        </w:smartTag>
      </w:smartTag>
      <w:r>
        <w:rPr>
          <w:lang w:val="en-US"/>
        </w:rPr>
        <w:t xml:space="preserve"> was experiencing net external migration: during 1977 through 1981 this averaged approximately 0.66 percent, this from a population of approximately 3.2</w:t>
      </w:r>
      <w:r w:rsidR="00C9099A">
        <w:rPr>
          <w:lang w:val="en-US"/>
        </w:rPr>
        <w:t xml:space="preserve"> million</w:t>
      </w:r>
      <w:r>
        <w:rPr>
          <w:lang w:val="en-US"/>
        </w:rPr>
        <w:t xml:space="preserve">.  Notably, the three years from 1973 to 1975 had above average excess of arrivals to </w:t>
      </w:r>
      <w:smartTag w:uri="urn:schemas-microsoft-com:office:smarttags" w:element="place">
        <w:smartTag w:uri="urn:schemas-microsoft-com:office:smarttags" w:element="country-region">
          <w:r>
            <w:rPr>
              <w:lang w:val="en-US"/>
            </w:rPr>
            <w:t>New Zealand</w:t>
          </w:r>
        </w:smartTag>
      </w:smartTag>
      <w:r>
        <w:rPr>
          <w:lang w:val="en-US"/>
        </w:rPr>
        <w:t xml:space="preserve"> (New Zealand Official Yearbook, 1984), a feature that </w:t>
      </w:r>
      <w:r w:rsidRPr="00266F1A">
        <w:rPr>
          <w:lang w:val="en-US"/>
        </w:rPr>
        <w:t>Bourassa et al. also</w:t>
      </w:r>
      <w:r>
        <w:rPr>
          <w:lang w:val="en-US"/>
        </w:rPr>
        <w:t xml:space="preserve"> find important over different time periods. Further, the dip in house prices in the late 1990s to 2001 was shorter lived than those reported for the U.K., where so-called ‘negative housing equity’ was evident from 1992 through 2001 with the turning point being in 1996. </w:t>
      </w:r>
    </w:p>
    <w:p w:rsidR="00BE60B6" w:rsidRDefault="00BE60B6" w:rsidP="00C25039">
      <w:pPr>
        <w:spacing w:line="360" w:lineRule="auto"/>
        <w:ind w:firstLine="720"/>
        <w:jc w:val="both"/>
        <w:rPr>
          <w:lang w:val="en-US"/>
        </w:rPr>
      </w:pPr>
      <w:r>
        <w:rPr>
          <w:lang w:val="en-US"/>
        </w:rPr>
        <w:t xml:space="preserve">The propensity of the New Zealand market to experience ‘negative housing equity’ however, does imply that deviations from fundamental value over periods of undervaluation are unlikely to have been driven by an explosive rational bubble due to </w:t>
      </w:r>
      <w:r w:rsidR="00E74AB0">
        <w:rPr>
          <w:i/>
          <w:lang w:val="en-US"/>
        </w:rPr>
        <w:t>extraneous</w:t>
      </w:r>
      <w:r>
        <w:rPr>
          <w:lang w:val="en-US"/>
        </w:rPr>
        <w:t xml:space="preserve"> factors (that is factors other than those related to fundamentals): such an explosive bubble cannot be negative as this would imply a negative expected asset price at some date in the future and violate free disposa</w:t>
      </w:r>
      <w:r w:rsidR="00266F1A">
        <w:rPr>
          <w:lang w:val="en-US"/>
        </w:rPr>
        <w:t>bility (see for example Diba &amp;</w:t>
      </w:r>
      <w:r>
        <w:rPr>
          <w:lang w:val="en-US"/>
        </w:rPr>
        <w:t xml:space="preserve"> Grossman, 1988; </w:t>
      </w:r>
      <w:r w:rsidRPr="00266F1A">
        <w:rPr>
          <w:lang w:val="en-US"/>
        </w:rPr>
        <w:t>Campbell et al.,</w:t>
      </w:r>
      <w:r>
        <w:rPr>
          <w:lang w:val="en-US"/>
        </w:rPr>
        <w:t xml:space="preserve"> 1997, p. 259).  However, while a zero price floor puts a limit on how far prices can fall, as Farlow (2004), p. 12, explains, it does not exclude the possibility that real payoffs in debt-backed housing can go below zero, with the </w:t>
      </w:r>
      <w:smartTag w:uri="urn:schemas-microsoft-com:office:smarttags" w:element="place">
        <w:smartTag w:uri="urn:schemas-microsoft-com:office:smarttags" w:element="country-region">
          <w:r>
            <w:rPr>
              <w:lang w:val="en-US"/>
            </w:rPr>
            <w:t>New Zealand</w:t>
          </w:r>
        </w:smartTag>
      </w:smartTag>
      <w:r>
        <w:rPr>
          <w:lang w:val="en-US"/>
        </w:rPr>
        <w:t xml:space="preserve"> experience of negative equity in the late 1970s and late 1999 to early 2003 demonstrating this. </w:t>
      </w:r>
    </w:p>
    <w:p w:rsidR="00BE60B6" w:rsidRDefault="00BE60B6" w:rsidP="00C25039">
      <w:pPr>
        <w:spacing w:line="360" w:lineRule="auto"/>
        <w:ind w:firstLine="720"/>
        <w:jc w:val="both"/>
        <w:rPr>
          <w:lang w:val="en-US"/>
        </w:rPr>
      </w:pPr>
      <w:r>
        <w:rPr>
          <w:lang w:val="en-US"/>
        </w:rPr>
        <w:t xml:space="preserve">As a comparison between asset classes, Figure 2 considers actual and fundamental stock prices using real dividend growth as the driver of the stock prices but over the period where consistent time series were available, i.e. 1988:1 – 2005:4.  </w:t>
      </w:r>
      <w:r>
        <w:rPr>
          <w:lang w:val="en-US"/>
        </w:rPr>
        <w:lastRenderedPageBreak/>
        <w:t xml:space="preserve">Unlike real house prices, real stock prices have been relatively close to their fundamental value as warranted by real dividend growth and, with a Wald statistic of 3.2395 (p=0.356), we cannot reject the null of no significant difference between the two equity series. </w:t>
      </w:r>
      <w:r w:rsidR="00C9099A">
        <w:rPr>
          <w:lang w:val="en-US"/>
        </w:rPr>
        <w:t xml:space="preserve"> </w:t>
      </w:r>
      <w:r>
        <w:rPr>
          <w:lang w:val="en-US"/>
        </w:rPr>
        <w:t xml:space="preserve">In contrast to house prices, at the end of the sample, real stock prices were </w:t>
      </w:r>
      <w:r w:rsidR="00AF0667">
        <w:rPr>
          <w:lang w:val="en-US"/>
        </w:rPr>
        <w:t>approximately</w:t>
      </w:r>
      <w:r>
        <w:rPr>
          <w:lang w:val="en-US"/>
        </w:rPr>
        <w:t xml:space="preserve"> 5 percent below their measured fundamental value. </w:t>
      </w:r>
      <w:r w:rsidR="00C9099A">
        <w:rPr>
          <w:lang w:val="en-US"/>
        </w:rPr>
        <w:t xml:space="preserve"> </w:t>
      </w:r>
      <w:r>
        <w:rPr>
          <w:lang w:val="en-US"/>
        </w:rPr>
        <w:t xml:space="preserve">Again, this is in contrast to results reported for the </w:t>
      </w:r>
      <w:smartTag w:uri="urn:schemas-microsoft-com:office:smarttags" w:element="country-region">
        <w:r>
          <w:rPr>
            <w:lang w:val="en-US"/>
          </w:rPr>
          <w:t>U.S.</w:t>
        </w:r>
      </w:smartTag>
      <w:r>
        <w:rPr>
          <w:lang w:val="en-US"/>
        </w:rPr>
        <w:t xml:space="preserve"> and </w:t>
      </w:r>
      <w:smartTag w:uri="urn:schemas-microsoft-com:office:smarttags" w:element="place">
        <w:smartTag w:uri="urn:schemas-microsoft-com:office:smarttags" w:element="country-region">
          <w:r>
            <w:rPr>
              <w:lang w:val="en-US"/>
            </w:rPr>
            <w:t>Australia</w:t>
          </w:r>
        </w:smartTag>
      </w:smartTag>
      <w:r>
        <w:rPr>
          <w:lang w:val="en-US"/>
        </w:rPr>
        <w:t xml:space="preserve"> (see for example </w:t>
      </w:r>
      <w:r w:rsidRPr="00FE7A12">
        <w:rPr>
          <w:lang w:val="en-US"/>
        </w:rPr>
        <w:t>Black et al.,</w:t>
      </w:r>
      <w:r>
        <w:rPr>
          <w:lang w:val="en-US"/>
        </w:rPr>
        <w:t xml:space="preserve"> 2003a and 2003b). </w:t>
      </w:r>
    </w:p>
    <w:p w:rsidR="00BE60B6" w:rsidRDefault="00BE60B6" w:rsidP="00C25039">
      <w:pPr>
        <w:spacing w:line="360" w:lineRule="auto"/>
        <w:ind w:firstLine="720"/>
        <w:jc w:val="both"/>
        <w:outlineLvl w:val="0"/>
        <w:rPr>
          <w:lang w:val="en-US"/>
        </w:rPr>
      </w:pPr>
      <w:r>
        <w:rPr>
          <w:lang w:val="en-US"/>
        </w:rPr>
        <w:t>Overall, real house prices deviations from fundamental</w:t>
      </w:r>
      <w:r w:rsidR="00C9099A">
        <w:rPr>
          <w:lang w:val="en-US"/>
        </w:rPr>
        <w:t>s</w:t>
      </w:r>
      <w:r>
        <w:rPr>
          <w:lang w:val="en-US"/>
        </w:rPr>
        <w:t xml:space="preserve"> display different behavior than those for stock prices, with </w:t>
      </w:r>
      <w:r w:rsidR="00C9099A">
        <w:rPr>
          <w:lang w:val="en-US"/>
        </w:rPr>
        <w:t>the latter</w:t>
      </w:r>
      <w:r>
        <w:rPr>
          <w:lang w:val="en-US"/>
        </w:rPr>
        <w:t>, in recent years at least, appearing to be able to track fundamentals relatively well</w:t>
      </w:r>
      <w:r>
        <w:rPr>
          <w:i/>
          <w:lang w:val="en-US"/>
        </w:rPr>
        <w:t>.</w:t>
      </w:r>
      <w:r>
        <w:rPr>
          <w:lang w:val="en-US"/>
        </w:rPr>
        <w:t xml:space="preserve"> </w:t>
      </w:r>
      <w:r w:rsidR="00FE7A12">
        <w:rPr>
          <w:lang w:val="en-US"/>
        </w:rPr>
        <w:t xml:space="preserve"> </w:t>
      </w:r>
      <w:r>
        <w:rPr>
          <w:lang w:val="en-US"/>
        </w:rPr>
        <w:t xml:space="preserve">One reason for this may be that the </w:t>
      </w:r>
      <w:smartTag w:uri="urn:schemas-microsoft-com:office:smarttags" w:element="place">
        <w:smartTag w:uri="urn:schemas-microsoft-com:office:smarttags" w:element="country-region">
          <w:r>
            <w:rPr>
              <w:lang w:val="en-US"/>
            </w:rPr>
            <w:t>New Zealand</w:t>
          </w:r>
        </w:smartTag>
      </w:smartTag>
      <w:r>
        <w:rPr>
          <w:lang w:val="en-US"/>
        </w:rPr>
        <w:t xml:space="preserve"> stock market has historically had one of the highest real income returns in the developed world.</w:t>
      </w:r>
      <w:r>
        <w:rPr>
          <w:rStyle w:val="FootnoteReference"/>
          <w:lang w:val="en-US"/>
        </w:rPr>
        <w:footnoteReference w:id="11"/>
      </w:r>
      <w:r>
        <w:rPr>
          <w:lang w:val="en-US"/>
        </w:rPr>
        <w:t xml:space="preserve"> </w:t>
      </w:r>
      <w:r w:rsidR="00FE7A12">
        <w:rPr>
          <w:lang w:val="en-US"/>
        </w:rPr>
        <w:t xml:space="preserve"> </w:t>
      </w:r>
      <w:r>
        <w:rPr>
          <w:lang w:val="en-US"/>
        </w:rPr>
        <w:t xml:space="preserve">In such a scenario, investors will be insulated to some extent from booms and busts as a change in price will have a relatively small impact on the overall return. </w:t>
      </w:r>
      <w:r w:rsidR="00FE7A12">
        <w:rPr>
          <w:lang w:val="en-US"/>
        </w:rPr>
        <w:t xml:space="preserve"> </w:t>
      </w:r>
      <w:r>
        <w:rPr>
          <w:lang w:val="en-US"/>
        </w:rPr>
        <w:t xml:space="preserve">Further, the </w:t>
      </w:r>
      <w:smartTag w:uri="urn:schemas-microsoft-com:office:smarttags" w:element="place">
        <w:smartTag w:uri="urn:schemas-microsoft-com:office:smarttags" w:element="country-region">
          <w:r>
            <w:rPr>
              <w:lang w:val="en-US"/>
            </w:rPr>
            <w:t>New Zealand</w:t>
          </w:r>
        </w:smartTag>
      </w:smartTag>
      <w:r>
        <w:rPr>
          <w:lang w:val="en-US"/>
        </w:rPr>
        <w:t xml:space="preserve"> market missed the ‘dot com’ bubble of the early 2000s.</w:t>
      </w:r>
    </w:p>
    <w:p w:rsidR="00BE60B6" w:rsidRDefault="00BE60B6" w:rsidP="00C25039">
      <w:pPr>
        <w:spacing w:line="360" w:lineRule="auto"/>
        <w:ind w:firstLine="720"/>
        <w:jc w:val="both"/>
      </w:pPr>
      <w:r>
        <w:t xml:space="preserve">Hence while discussions above would tend to preclude the existence of an explosive rational bubble due to non-fundamental factors as being the driving force of deviations from fundamental value in the housing market, it does not preclude the existence of a type of bubble which could be both negative and in the process of collapsing.  An interesting question therefore is how can we interpret what drives deviations of house prices from their fundamental present value? </w:t>
      </w:r>
    </w:p>
    <w:p w:rsidR="00BE60B6" w:rsidRDefault="00BE60B6" w:rsidP="00C25039">
      <w:pPr>
        <w:spacing w:line="360" w:lineRule="auto"/>
        <w:jc w:val="both"/>
        <w:rPr>
          <w:lang w:val="en-US"/>
        </w:rPr>
      </w:pPr>
    </w:p>
    <w:p w:rsidR="00BE60B6" w:rsidRDefault="00BE60B6" w:rsidP="00C25039">
      <w:pPr>
        <w:spacing w:line="360" w:lineRule="auto"/>
        <w:jc w:val="both"/>
        <w:rPr>
          <w:lang w:val="en-US"/>
        </w:rPr>
      </w:pPr>
      <w:r w:rsidRPr="00C9099A">
        <w:rPr>
          <w:lang w:val="en-US"/>
        </w:rPr>
        <w:t>Deviations from Fundamental Value: Fundamentals v. Price Dynamics</w:t>
      </w:r>
    </w:p>
    <w:p w:rsidR="00C9099A" w:rsidRPr="00C9099A" w:rsidRDefault="00C9099A" w:rsidP="00C25039">
      <w:pPr>
        <w:spacing w:line="360" w:lineRule="auto"/>
        <w:jc w:val="both"/>
        <w:rPr>
          <w:lang w:val="en-US"/>
        </w:rPr>
      </w:pPr>
    </w:p>
    <w:p w:rsidR="00BE60B6" w:rsidRDefault="00BE60B6" w:rsidP="00C25039">
      <w:pPr>
        <w:pStyle w:val="Footer"/>
        <w:tabs>
          <w:tab w:val="clear" w:pos="4153"/>
          <w:tab w:val="clear" w:pos="8306"/>
        </w:tabs>
        <w:spacing w:line="360" w:lineRule="auto"/>
        <w:jc w:val="both"/>
        <w:rPr>
          <w:lang w:val="en-US"/>
        </w:rPr>
      </w:pPr>
      <w:r>
        <w:rPr>
          <w:lang w:val="en-US"/>
        </w:rPr>
        <w:t>Froot and Obstfeld (1991, p. 1180) posit that deviations in asset prices from fundamental values can be explained by the presence of a particular type of rational bubble that depends exclusively on aggregated values of the fundamental: here, this is real disposable income.  They call such rational bubbles ‘intrinsic’, being non-linear deterministic functions of the fundamentals of asset value alone.</w:t>
      </w:r>
      <w:r>
        <w:rPr>
          <w:rStyle w:val="FootnoteReference"/>
          <w:lang w:val="en-US"/>
        </w:rPr>
        <w:footnoteReference w:id="12"/>
      </w:r>
    </w:p>
    <w:p w:rsidR="00BE60B6" w:rsidRDefault="00BE60B6" w:rsidP="00C25039">
      <w:pPr>
        <w:pStyle w:val="Footer"/>
        <w:tabs>
          <w:tab w:val="clear" w:pos="4153"/>
          <w:tab w:val="clear" w:pos="8306"/>
        </w:tabs>
        <w:spacing w:line="360" w:lineRule="auto"/>
        <w:ind w:firstLine="720"/>
        <w:jc w:val="both"/>
        <w:rPr>
          <w:lang w:val="en-US"/>
        </w:rPr>
      </w:pPr>
      <w:r>
        <w:rPr>
          <w:lang w:val="en-US"/>
        </w:rPr>
        <w:lastRenderedPageBreak/>
        <w:t xml:space="preserve">In common with explosive rational bubbles, intrinsic bubbles rely on bounded rationality and self-fulfilling expectations, but such expectations are driven by a </w:t>
      </w:r>
      <w:r>
        <w:rPr>
          <w:i/>
          <w:lang w:val="en-US"/>
        </w:rPr>
        <w:t>non</w:t>
      </w:r>
      <w:r>
        <w:rPr>
          <w:lang w:val="en-US"/>
        </w:rPr>
        <w:t>-linear relationship between prices and the fundamentals themselves, rather than factors extraneous to the asset value.  Further, unlike explosive rational bubbles, such bubbles do not continuously diverge but periodically revert toward their fundamental value.  Hence the ‘bubble’ element in house prices is constant if the fundamental is constant but will change in a non-linear way along with the level of fundamentals: if the fundamental is persistent then so is the bubble and prices will exhibit persistent deviations from fundamental present value (see for example Cuthbertson, 1996, p. 163).  This captures the idea that asset prices overreact to news on fundamentals:</w:t>
      </w:r>
      <w:r>
        <w:rPr>
          <w:rStyle w:val="FootnoteReference"/>
          <w:lang w:val="en-US"/>
        </w:rPr>
        <w:footnoteReference w:id="13"/>
      </w:r>
      <w:r>
        <w:rPr>
          <w:lang w:val="en-US"/>
        </w:rPr>
        <w:t xml:space="preserve"> for a given innovation in (log) fundamentals and the belief that the relevant price function is non-linear, the expected change in the asset price will, for some time, deviate from the present value</w:t>
      </w:r>
      <w:r w:rsidR="00FE7A12">
        <w:rPr>
          <w:lang w:val="en-US"/>
        </w:rPr>
        <w:t xml:space="preserve"> or fundamental price (Froot &amp;</w:t>
      </w:r>
      <w:r>
        <w:rPr>
          <w:lang w:val="en-US"/>
        </w:rPr>
        <w:t xml:space="preserve"> Obstfeld, 1991, p. 1193).</w:t>
      </w:r>
    </w:p>
    <w:p w:rsidR="00BE60B6" w:rsidRDefault="00BE60B6" w:rsidP="00C25039">
      <w:pPr>
        <w:pStyle w:val="Footer"/>
        <w:tabs>
          <w:tab w:val="clear" w:pos="4153"/>
          <w:tab w:val="clear" w:pos="8306"/>
        </w:tabs>
        <w:spacing w:line="360" w:lineRule="auto"/>
        <w:ind w:firstLine="720"/>
        <w:jc w:val="both"/>
        <w:rPr>
          <w:lang w:val="en-US"/>
        </w:rPr>
      </w:pPr>
      <w:r>
        <w:rPr>
          <w:lang w:val="en-US"/>
        </w:rPr>
        <w:t xml:space="preserve">Essentially, the existence of an intrinsic bubble violates the transversality condition that the expected asset price goes to zero as time goes to infinity. </w:t>
      </w:r>
      <w:r w:rsidR="00D80864">
        <w:rPr>
          <w:lang w:val="en-US"/>
        </w:rPr>
        <w:t xml:space="preserve"> </w:t>
      </w:r>
      <w:r>
        <w:rPr>
          <w:lang w:val="en-US"/>
        </w:rPr>
        <w:t>However, agents will eventually learn that their expectations regarding fundamental realizations are unreasonable, and therefore are not forever stuck on a path along which fundamental price rati</w:t>
      </w:r>
      <w:r w:rsidR="00FE7A12">
        <w:rPr>
          <w:lang w:val="en-US"/>
        </w:rPr>
        <w:t>os eventually explode (Froot &amp;</w:t>
      </w:r>
      <w:r>
        <w:rPr>
          <w:lang w:val="en-US"/>
        </w:rPr>
        <w:t xml:space="preserve"> Obstfeld, 1991, p. 1190).</w:t>
      </w:r>
      <w:r>
        <w:rPr>
          <w:rStyle w:val="FootnoteReference"/>
          <w:lang w:val="en-US"/>
        </w:rPr>
        <w:footnoteReference w:id="14"/>
      </w:r>
      <w:r>
        <w:rPr>
          <w:lang w:val="en-US"/>
        </w:rPr>
        <w:t xml:space="preserve">  At the heart of such an argument is the concept of arbitrage, which in housing markets is impeded by the fact that the asset is heterogeneous, is traded in a highly segmented market where information on fundamentals can be costly, does not have close substitutes and experiences relatively high and lumpy transaction costs, all of which would imply that any correction toward ‘true’ value can be a relatively prolonged process.</w:t>
      </w:r>
    </w:p>
    <w:p w:rsidR="00BE60B6" w:rsidRDefault="00BE60B6" w:rsidP="00C25039">
      <w:pPr>
        <w:pStyle w:val="Footer"/>
        <w:tabs>
          <w:tab w:val="clear" w:pos="4153"/>
          <w:tab w:val="clear" w:pos="8306"/>
        </w:tabs>
        <w:spacing w:line="360" w:lineRule="auto"/>
        <w:ind w:firstLine="720"/>
        <w:jc w:val="both"/>
        <w:rPr>
          <w:lang w:val="en-US"/>
        </w:rPr>
      </w:pPr>
      <w:r>
        <w:rPr>
          <w:lang w:val="en-US"/>
        </w:rPr>
        <w:t>Alternatively, prolonged deviations from fundamental value can be due to so-called momentum investor behavior driven by price alone,</w:t>
      </w:r>
      <w:r>
        <w:rPr>
          <w:rStyle w:val="FootnoteReference"/>
          <w:lang w:val="en-US"/>
        </w:rPr>
        <w:footnoteReference w:id="15"/>
      </w:r>
      <w:r>
        <w:rPr>
          <w:lang w:val="en-US"/>
        </w:rPr>
        <w:t xml:space="preserve"> whereby agents buy after price increases and sell after price decreases (see evidence from stock markets, for example Shiller, 1984; Kyle, 1985; </w:t>
      </w:r>
      <w:r w:rsidRPr="00FE7A12">
        <w:rPr>
          <w:lang w:val="en-US"/>
        </w:rPr>
        <w:t>DeLong et al., 1990; Daniel et al., 1998</w:t>
      </w:r>
      <w:r>
        <w:rPr>
          <w:lang w:val="en-US"/>
        </w:rPr>
        <w:t xml:space="preserve">; Barberis </w:t>
      </w:r>
      <w:r w:rsidRPr="00FE7A12">
        <w:rPr>
          <w:lang w:val="en-US"/>
        </w:rPr>
        <w:t>et al., 1998</w:t>
      </w:r>
      <w:r w:rsidR="00FE7A12">
        <w:rPr>
          <w:lang w:val="en-US"/>
        </w:rPr>
        <w:t>; Hong &amp;</w:t>
      </w:r>
      <w:r>
        <w:rPr>
          <w:lang w:val="en-US"/>
        </w:rPr>
        <w:t xml:space="preserve"> Stein, 1999; </w:t>
      </w:r>
      <w:r w:rsidRPr="00FE7A12">
        <w:rPr>
          <w:lang w:val="en-US"/>
        </w:rPr>
        <w:t>Lui et al</w:t>
      </w:r>
      <w:r>
        <w:rPr>
          <w:lang w:val="en-US"/>
        </w:rPr>
        <w:t xml:space="preserve">., 1999).  Such momentum occurs when a </w:t>
      </w:r>
      <w:r>
        <w:rPr>
          <w:lang w:val="en-US"/>
        </w:rPr>
        <w:lastRenderedPageBreak/>
        <w:t>price rise or fall is expected to continue to rise or fall: hence in an ‘up’ market buyers will pile in pushing prices up even further encouraging other buyers to do likewise, while in a ‘down’ market price falls lead to falling demand, discouraging buyers as they fear prices will fall further, leading to slowing demand even further.  Given that housing tends to be demand determined over the business cycle (due to relatively high supply constraints) this, along with the impediments to arbitrage cited above, can lead to ‘inefficient’ pricing of real estate being perpetuated for relatively long and often uncertain periods when compared to financial assets.</w:t>
      </w:r>
      <w:r>
        <w:rPr>
          <w:rStyle w:val="FootnoteReference"/>
          <w:lang w:val="en-US"/>
        </w:rPr>
        <w:footnoteReference w:id="16"/>
      </w:r>
      <w:r>
        <w:rPr>
          <w:lang w:val="en-US"/>
        </w:rPr>
        <w:t xml:space="preserve">  As Farlow (2004) argues, this is particularly relevant to residential real estate, as housing markets tend to be short on the aggressive intervention of ‘efficient’ arbitrageurs. </w:t>
      </w:r>
    </w:p>
    <w:p w:rsidR="00BE60B6" w:rsidRDefault="00BE60B6" w:rsidP="00C25039">
      <w:pPr>
        <w:spacing w:line="360" w:lineRule="auto"/>
        <w:ind w:firstLine="720"/>
        <w:jc w:val="both"/>
        <w:rPr>
          <w:lang w:val="en-US"/>
        </w:rPr>
      </w:pPr>
      <w:r>
        <w:rPr>
          <w:lang w:val="en-US"/>
        </w:rPr>
        <w:t xml:space="preserve">In an attempt to distinguish between the competing hypotheses of rationality versus irrationality in the </w:t>
      </w:r>
      <w:smartTag w:uri="urn:schemas-microsoft-com:office:smarttags" w:element="place">
        <w:smartTag w:uri="urn:schemas-microsoft-com:office:smarttags" w:element="country-region">
          <w:r>
            <w:rPr>
              <w:lang w:val="en-US"/>
            </w:rPr>
            <w:t>New Zealand</w:t>
          </w:r>
        </w:smartTag>
      </w:smartTag>
      <w:r>
        <w:rPr>
          <w:lang w:val="en-US"/>
        </w:rPr>
        <w:t xml:space="preserve"> housing market</w:t>
      </w:r>
      <w:r w:rsidR="00D80864">
        <w:rPr>
          <w:lang w:val="en-US"/>
        </w:rPr>
        <w:t>,</w:t>
      </w:r>
      <w:r>
        <w:rPr>
          <w:lang w:val="en-US"/>
        </w:rPr>
        <w:t xml:space="preserve"> we focus on the rational intrinsic argument and its implications.  To consider this we begin with a comparison of price deviations from fundamental present value with a series that represents periods when real disposable income was either above or below its long term trend – the ‘disposable income gap’ – and which is depicted in Figure 3.  Essentially, if the intrinsic explanation of price deviations being due to overreaction to fundamentals has some value</w:t>
      </w:r>
      <w:r w:rsidR="00D80864">
        <w:rPr>
          <w:lang w:val="en-US"/>
        </w:rPr>
        <w:t>,</w:t>
      </w:r>
      <w:r>
        <w:rPr>
          <w:lang w:val="en-US"/>
        </w:rPr>
        <w:t xml:space="preserve"> then we should see some evidence of this by considering the association between deviations from trend and changes in asset price trends not explained by the present value model.</w:t>
      </w:r>
    </w:p>
    <w:p w:rsidR="00BE60B6" w:rsidRDefault="00BE60B6" w:rsidP="00C25039">
      <w:pPr>
        <w:spacing w:line="360" w:lineRule="auto"/>
        <w:ind w:firstLine="720"/>
        <w:jc w:val="both"/>
        <w:rPr>
          <w:lang w:val="en-US"/>
        </w:rPr>
      </w:pPr>
      <w:r>
        <w:rPr>
          <w:lang w:val="en-US"/>
        </w:rPr>
        <w:t>By inspection</w:t>
      </w:r>
      <w:r w:rsidR="00D80864">
        <w:rPr>
          <w:lang w:val="en-US"/>
        </w:rPr>
        <w:t>,</w:t>
      </w:r>
      <w:r>
        <w:rPr>
          <w:lang w:val="en-US"/>
        </w:rPr>
        <w:t xml:space="preserve"> the two series display different behavior at different periods in time. With the exception of the periods around 1980 and 2000, positive price deviations from the present value fundamental appear to increase when real disposable income is rising toward or above its long-term trend value (and ability to pay is or expected to be relatively high)</w:t>
      </w:r>
      <w:r>
        <w:rPr>
          <w:b/>
          <w:i/>
          <w:lang w:val="en-US"/>
        </w:rPr>
        <w:t xml:space="preserve"> </w:t>
      </w:r>
      <w:r>
        <w:rPr>
          <w:lang w:val="en-US"/>
        </w:rPr>
        <w:t xml:space="preserve">and similarly, negative price deviations also tend to be associated with periods when real disposable income is falling below its long-term trend value (and ability to pay is, or expected to be, relatively low).  Since 1993, real income has gradually risen from below to above its long term trend and, with the exception of the fall in house prices in around 1999, this has been associated with an upward trajectory in house prices culminating in the dramatic overvaluation since 2003.  Essentially, when in mid-2001 negative price deviations from fundamental had peaked, real disposable income had already began to quickly rise </w:t>
      </w:r>
      <w:r>
        <w:rPr>
          <w:lang w:val="en-US"/>
        </w:rPr>
        <w:lastRenderedPageBreak/>
        <w:t>above trend value.  There is some evidence therefore that housing costs relat</w:t>
      </w:r>
      <w:r w:rsidR="00D64AF9">
        <w:rPr>
          <w:lang w:val="en-US"/>
        </w:rPr>
        <w:t xml:space="preserve">ive to the ability to pay is </w:t>
      </w:r>
      <w:r>
        <w:rPr>
          <w:lang w:val="en-US"/>
        </w:rPr>
        <w:t xml:space="preserve">a factor in housing price paths (see for example, </w:t>
      </w:r>
      <w:r w:rsidRPr="00FE7A12">
        <w:rPr>
          <w:lang w:val="en-US"/>
        </w:rPr>
        <w:t>Himmelberg et al.,</w:t>
      </w:r>
      <w:r>
        <w:rPr>
          <w:lang w:val="en-US"/>
        </w:rPr>
        <w:t xml:space="preserve"> 2005)</w:t>
      </w:r>
      <w:r w:rsidR="00FE7A12">
        <w:rPr>
          <w:lang w:val="en-US"/>
        </w:rPr>
        <w:t>.</w:t>
      </w:r>
    </w:p>
    <w:p w:rsidR="00BE60B6" w:rsidRDefault="00BE60B6" w:rsidP="00C25039">
      <w:pPr>
        <w:pStyle w:val="Footer"/>
        <w:tabs>
          <w:tab w:val="clear" w:pos="4153"/>
          <w:tab w:val="clear" w:pos="8306"/>
        </w:tabs>
        <w:spacing w:line="360" w:lineRule="auto"/>
        <w:ind w:firstLine="720"/>
        <w:jc w:val="both"/>
        <w:rPr>
          <w:lang w:val="en-US"/>
        </w:rPr>
      </w:pPr>
      <w:r>
        <w:rPr>
          <w:lang w:val="en-US"/>
        </w:rPr>
        <w:t>Intrinsic rationality also implies that deviations from fundamental value will be more highly correlated with real income than with prices themselves, again suggesting that the dominant driving force is fundamentals rather than activities due to price dynamics.  We report the rel</w:t>
      </w:r>
      <w:r w:rsidR="00FE7A12">
        <w:rPr>
          <w:lang w:val="en-US"/>
        </w:rPr>
        <w:t>evant correlations in Table 3.</w:t>
      </w:r>
    </w:p>
    <w:p w:rsidR="00BE60B6" w:rsidRDefault="00BE60B6" w:rsidP="00C25039">
      <w:pPr>
        <w:pStyle w:val="Footer"/>
        <w:tabs>
          <w:tab w:val="clear" w:pos="4153"/>
          <w:tab w:val="clear" w:pos="8306"/>
        </w:tabs>
        <w:spacing w:line="360" w:lineRule="auto"/>
        <w:ind w:firstLine="720"/>
        <w:jc w:val="both"/>
        <w:rPr>
          <w:lang w:val="en-US"/>
        </w:rPr>
      </w:pPr>
      <w:r>
        <w:rPr>
          <w:lang w:val="en-US"/>
        </w:rPr>
        <w:t>W</w:t>
      </w:r>
      <w:r w:rsidR="0073523B">
        <w:rPr>
          <w:lang w:val="en-US"/>
        </w:rPr>
        <w:t>hile w</w:t>
      </w:r>
      <w:r>
        <w:rPr>
          <w:lang w:val="en-US"/>
        </w:rPr>
        <w:t>e find that</w:t>
      </w:r>
      <w:r w:rsidR="0073523B">
        <w:rPr>
          <w:lang w:val="en-US"/>
        </w:rPr>
        <w:t xml:space="preserve"> </w:t>
      </w:r>
      <w:r>
        <w:rPr>
          <w:lang w:val="en-US"/>
        </w:rPr>
        <w:t>both pairs of variables dep</w:t>
      </w:r>
      <w:r w:rsidR="00D72388">
        <w:rPr>
          <w:lang w:val="en-US"/>
        </w:rPr>
        <w:t>ict a positive relationship</w:t>
      </w:r>
      <w:r w:rsidR="0073523B">
        <w:rPr>
          <w:lang w:val="en-US"/>
        </w:rPr>
        <w:t xml:space="preserve">, </w:t>
      </w:r>
      <w:r>
        <w:rPr>
          <w:lang w:val="en-US"/>
        </w:rPr>
        <w:t xml:space="preserve">the association between deviations from fundamental value and house prices is </w:t>
      </w:r>
      <w:r w:rsidR="0073523B">
        <w:rPr>
          <w:lang w:val="en-US"/>
        </w:rPr>
        <w:t xml:space="preserve">relatively strong with the test statistic </w:t>
      </w:r>
      <w:r>
        <w:rPr>
          <w:lang w:val="en-US"/>
        </w:rPr>
        <w:t xml:space="preserve">unambiguously </w:t>
      </w:r>
      <w:r w:rsidR="0073523B">
        <w:rPr>
          <w:lang w:val="en-US"/>
        </w:rPr>
        <w:t xml:space="preserve">rejecting the null of no association </w:t>
      </w:r>
      <w:r>
        <w:rPr>
          <w:lang w:val="en-US"/>
        </w:rPr>
        <w:t xml:space="preserve">at </w:t>
      </w:r>
      <w:r w:rsidR="0073523B">
        <w:rPr>
          <w:lang w:val="en-US"/>
        </w:rPr>
        <w:t>the 1</w:t>
      </w:r>
      <w:r>
        <w:rPr>
          <w:lang w:val="en-US"/>
        </w:rPr>
        <w:t xml:space="preserve"> percent level of significance.  </w:t>
      </w:r>
      <w:r w:rsidR="0073523B">
        <w:rPr>
          <w:lang w:val="en-US"/>
        </w:rPr>
        <w:t>Thus c</w:t>
      </w:r>
      <w:r>
        <w:rPr>
          <w:lang w:val="en-US"/>
        </w:rPr>
        <w:t xml:space="preserve">ontrary to the intrinsic rationality argument, the association between deviations from fundamentals and house prices is greater than that reported for deviations from fundamentals and real disposable income.  While such features imply that, on average, differences between actual and fundamental values are dominated by irrational activities, it does not inform about the </w:t>
      </w:r>
      <w:r>
        <w:rPr>
          <w:i/>
          <w:lang w:val="en-US"/>
        </w:rPr>
        <w:t>extent</w:t>
      </w:r>
      <w:r>
        <w:rPr>
          <w:lang w:val="en-US"/>
        </w:rPr>
        <w:t xml:space="preserve"> to which, over the sample period, bubbles are rational, due to fundamentals, or irrational due to price dynamics associated with momentum trading and the implied lack of aggressive arbitrageurs.</w:t>
      </w:r>
    </w:p>
    <w:p w:rsidR="00BE60B6" w:rsidRDefault="00BE60B6" w:rsidP="00C25039">
      <w:pPr>
        <w:spacing w:line="360" w:lineRule="auto"/>
        <w:jc w:val="both"/>
        <w:rPr>
          <w:b/>
          <w:i/>
          <w:lang w:val="en-US"/>
        </w:rPr>
      </w:pPr>
      <w:r>
        <w:rPr>
          <w:lang w:val="en-US"/>
        </w:rPr>
        <w:tab/>
        <w:t>To investigate this further</w:t>
      </w:r>
      <w:r w:rsidR="00D80864">
        <w:rPr>
          <w:lang w:val="en-US"/>
        </w:rPr>
        <w:t>,</w:t>
      </w:r>
      <w:r>
        <w:rPr>
          <w:lang w:val="en-US"/>
        </w:rPr>
        <w:t xml:space="preserve"> we begin with the suggestion that (in levels):</w:t>
      </w:r>
    </w:p>
    <w:p w:rsidR="00BE60B6" w:rsidRDefault="00BE60B6" w:rsidP="00C25039">
      <w:pPr>
        <w:spacing w:line="360" w:lineRule="auto"/>
        <w:ind w:right="-154"/>
        <w:jc w:val="both"/>
        <w:rPr>
          <w:lang w:val="en-US"/>
        </w:rPr>
      </w:pPr>
      <w:r>
        <w:rPr>
          <w:position w:val="-12"/>
          <w:lang w:val="en-US"/>
        </w:rPr>
        <w:object w:dxaOrig="1219" w:dyaOrig="380">
          <v:shape id="_x0000_i1042" type="#_x0000_t75" style="width:60.85pt;height:18.75pt" o:ole="" fillcolor="window">
            <v:imagedata r:id="rId42" o:title=""/>
          </v:shape>
          <o:OLEObject Type="Embed" ProgID="Equation.3" ShapeID="_x0000_i1042" DrawAspect="Content" ObjectID="_1381729954" r:id="rId43"/>
        </w:object>
      </w:r>
      <w:r w:rsidR="002C4860">
        <w:rPr>
          <w:lang w:val="en-US"/>
        </w:rPr>
        <w:tab/>
      </w:r>
      <w:r w:rsidR="002C4860">
        <w:rPr>
          <w:lang w:val="en-US"/>
        </w:rPr>
        <w:tab/>
      </w:r>
      <w:r w:rsidR="002C4860">
        <w:rPr>
          <w:lang w:val="en-US"/>
        </w:rPr>
        <w:tab/>
      </w:r>
      <w:r w:rsidR="002C4860">
        <w:rPr>
          <w:lang w:val="en-US"/>
        </w:rPr>
        <w:tab/>
      </w:r>
      <w:r w:rsidR="002C4860">
        <w:rPr>
          <w:lang w:val="en-US"/>
        </w:rPr>
        <w:tab/>
      </w:r>
      <w:r w:rsidR="002C4860">
        <w:rPr>
          <w:lang w:val="en-US"/>
        </w:rPr>
        <w:tab/>
      </w:r>
      <w:r w:rsidR="002C4860">
        <w:rPr>
          <w:lang w:val="en-US"/>
        </w:rPr>
        <w:tab/>
      </w:r>
      <w:r w:rsidR="002C4860">
        <w:rPr>
          <w:lang w:val="en-US"/>
        </w:rPr>
        <w:tab/>
      </w:r>
      <w:r w:rsidR="002C4860">
        <w:rPr>
          <w:lang w:val="en-US"/>
        </w:rPr>
        <w:tab/>
      </w:r>
      <w:r w:rsidR="002C4860">
        <w:rPr>
          <w:lang w:val="en-US"/>
        </w:rPr>
        <w:tab/>
        <w:t>(5</w:t>
      </w:r>
      <w:r>
        <w:rPr>
          <w:lang w:val="en-US"/>
        </w:rPr>
        <w:t>)</w:t>
      </w:r>
    </w:p>
    <w:p w:rsidR="00BE60B6" w:rsidRDefault="00BE60B6" w:rsidP="00C25039">
      <w:pPr>
        <w:spacing w:line="360" w:lineRule="auto"/>
        <w:ind w:right="-154"/>
        <w:jc w:val="both"/>
        <w:rPr>
          <w:lang w:val="en-US"/>
        </w:rPr>
      </w:pPr>
      <w:r>
        <w:rPr>
          <w:lang w:val="en-US"/>
        </w:rPr>
        <w:t xml:space="preserve">where </w:t>
      </w:r>
      <w:r>
        <w:rPr>
          <w:position w:val="-12"/>
          <w:lang w:val="en-US"/>
        </w:rPr>
        <w:object w:dxaOrig="320" w:dyaOrig="380">
          <v:shape id="_x0000_i1043" type="#_x0000_t75" style="width:16.25pt;height:18.75pt" o:ole="" fillcolor="window">
            <v:imagedata r:id="rId44" o:title=""/>
          </v:shape>
          <o:OLEObject Type="Embed" ProgID="Equation.3" ShapeID="_x0000_i1043" DrawAspect="Content" ObjectID="_1381729955" r:id="rId45"/>
        </w:object>
      </w:r>
      <w:r>
        <w:rPr>
          <w:lang w:val="en-US"/>
        </w:rPr>
        <w:t xml:space="preserve"> is the present value fundamental price as denoted by equation (2) and </w:t>
      </w:r>
      <w:r>
        <w:rPr>
          <w:position w:val="-12"/>
          <w:lang w:val="en-US"/>
        </w:rPr>
        <w:object w:dxaOrig="279" w:dyaOrig="360">
          <v:shape id="_x0000_i1044" type="#_x0000_t75" style="width:14.2pt;height:18.25pt" o:ole="" fillcolor="window">
            <v:imagedata r:id="rId46" o:title=""/>
          </v:shape>
          <o:OLEObject Type="Embed" ProgID="Equation.3" ShapeID="_x0000_i1044" DrawAspect="Content" ObjectID="_1381729956" r:id="rId47"/>
        </w:object>
      </w:r>
      <w:r>
        <w:rPr>
          <w:lang w:val="en-US"/>
        </w:rPr>
        <w:t xml:space="preserve"> is an intrinsic bubble driven exclusively by fundamentals such that </w:t>
      </w:r>
      <w:r>
        <w:rPr>
          <w:position w:val="-12"/>
          <w:lang w:val="en-US"/>
        </w:rPr>
        <w:object w:dxaOrig="2220" w:dyaOrig="380">
          <v:shape id="_x0000_i1045" type="#_x0000_t75" style="width:111.05pt;height:18.75pt" o:ole="" fillcolor="window">
            <v:imagedata r:id="rId48" o:title=""/>
          </v:shape>
          <o:OLEObject Type="Embed" ProgID="Equation.3" ShapeID="_x0000_i1045" DrawAspect="Content" ObjectID="_1381729957" r:id="rId49"/>
        </w:object>
      </w:r>
      <w:r>
        <w:rPr>
          <w:lang w:val="en-US"/>
        </w:rPr>
        <w:t xml:space="preserve"> a</w:t>
      </w:r>
      <w:r w:rsidR="0058689E">
        <w:rPr>
          <w:lang w:val="en-US"/>
        </w:rPr>
        <w:t xml:space="preserve">nd is a solution to </w:t>
      </w:r>
      <w:r w:rsidR="00E91AD0">
        <w:rPr>
          <w:lang w:val="en-US"/>
        </w:rPr>
        <w:t>the present value model</w:t>
      </w:r>
      <w:r>
        <w:rPr>
          <w:lang w:val="en-US"/>
        </w:rPr>
        <w:t xml:space="preserve"> but one which violates the transversality condition imposed on equation (2) that the expected price goes to</w:t>
      </w:r>
      <w:r w:rsidR="00FE7A12">
        <w:rPr>
          <w:lang w:val="en-US"/>
        </w:rPr>
        <w:t xml:space="preserve"> zero as time goes to infinity.</w:t>
      </w:r>
    </w:p>
    <w:p w:rsidR="00BE60B6" w:rsidRDefault="00BE60B6" w:rsidP="00C25039">
      <w:pPr>
        <w:spacing w:line="360" w:lineRule="auto"/>
        <w:ind w:right="-154" w:firstLine="720"/>
        <w:jc w:val="both"/>
        <w:rPr>
          <w:lang w:val="en-US"/>
        </w:rPr>
      </w:pPr>
      <w:r>
        <w:rPr>
          <w:lang w:val="en-US"/>
        </w:rPr>
        <w:t xml:space="preserve">How then might we empirically measure the extent of any intrinsic bubble inherent in house prices?  Assuming that real disposable income follows an autoregressive process with drift, we hypothesize that the intrinsic bubble is a non-linear function of the deviations of real disposable income from trend, thus </w:t>
      </w:r>
    </w:p>
    <w:p w:rsidR="00BE60B6" w:rsidRDefault="00BE60B6" w:rsidP="00C25039">
      <w:pPr>
        <w:spacing w:line="360" w:lineRule="auto"/>
        <w:ind w:right="-154"/>
        <w:jc w:val="both"/>
        <w:rPr>
          <w:lang w:val="en-US"/>
        </w:rPr>
      </w:pPr>
      <w:r>
        <w:rPr>
          <w:i/>
          <w:lang w:val="en-US"/>
        </w:rPr>
        <w:t>B</w:t>
      </w:r>
      <w:r>
        <w:rPr>
          <w:i/>
          <w:vertAlign w:val="subscript"/>
          <w:lang w:val="en-US"/>
        </w:rPr>
        <w:t>t</w:t>
      </w:r>
      <w:r>
        <w:rPr>
          <w:i/>
          <w:lang w:val="en-US"/>
        </w:rPr>
        <w:t>=</w:t>
      </w:r>
      <w:r>
        <w:rPr>
          <w:position w:val="-12"/>
          <w:lang w:val="en-US"/>
        </w:rPr>
        <w:object w:dxaOrig="520" w:dyaOrig="380">
          <v:shape id="_x0000_i1046" type="#_x0000_t75" style="width:25.85pt;height:18.75pt" o:ole="" fillcolor="window">
            <v:imagedata r:id="rId50" o:title=""/>
          </v:shape>
          <o:OLEObject Type="Embed" ProgID="Equation.3" ShapeID="_x0000_i1046" DrawAspect="Content" ObjectID="_1381729958" r:id="rId51"/>
        </w:object>
      </w:r>
      <w:r w:rsidR="002C4860">
        <w:rPr>
          <w:lang w:val="en-US"/>
        </w:rPr>
        <w:t xml:space="preserve"> </w:t>
      </w:r>
      <w:r w:rsidR="002C4860">
        <w:rPr>
          <w:lang w:val="en-US"/>
        </w:rPr>
        <w:tab/>
      </w:r>
      <w:r w:rsidR="002C4860">
        <w:rPr>
          <w:lang w:val="en-US"/>
        </w:rPr>
        <w:tab/>
      </w:r>
      <w:r w:rsidR="002C4860">
        <w:rPr>
          <w:lang w:val="en-US"/>
        </w:rPr>
        <w:tab/>
      </w:r>
      <w:r w:rsidR="002C4860">
        <w:rPr>
          <w:lang w:val="en-US"/>
        </w:rPr>
        <w:tab/>
      </w:r>
      <w:r w:rsidR="002C4860">
        <w:rPr>
          <w:lang w:val="en-US"/>
        </w:rPr>
        <w:tab/>
      </w:r>
      <w:r w:rsidR="002C4860">
        <w:rPr>
          <w:lang w:val="en-US"/>
        </w:rPr>
        <w:tab/>
      </w:r>
      <w:r w:rsidR="002C4860">
        <w:rPr>
          <w:lang w:val="en-US"/>
        </w:rPr>
        <w:tab/>
      </w:r>
      <w:r w:rsidR="002C4860">
        <w:rPr>
          <w:lang w:val="en-US"/>
        </w:rPr>
        <w:tab/>
      </w:r>
      <w:r w:rsidR="002C4860">
        <w:rPr>
          <w:lang w:val="en-US"/>
        </w:rPr>
        <w:tab/>
      </w:r>
      <w:r w:rsidR="002C4860">
        <w:rPr>
          <w:lang w:val="en-US"/>
        </w:rPr>
        <w:tab/>
        <w:t>(6</w:t>
      </w:r>
      <w:r>
        <w:rPr>
          <w:lang w:val="en-US"/>
        </w:rPr>
        <w:t>)</w:t>
      </w:r>
    </w:p>
    <w:p w:rsidR="00BE60B6" w:rsidRDefault="00BE60B6" w:rsidP="00C25039">
      <w:pPr>
        <w:spacing w:line="360" w:lineRule="auto"/>
        <w:ind w:right="-154"/>
        <w:jc w:val="both"/>
        <w:rPr>
          <w:lang w:val="en-US"/>
        </w:rPr>
      </w:pPr>
      <w:r>
        <w:rPr>
          <w:lang w:val="en-US"/>
        </w:rPr>
        <w:t xml:space="preserve">where </w:t>
      </w:r>
      <w:r>
        <w:rPr>
          <w:i/>
          <w:lang w:val="en-US"/>
        </w:rPr>
        <w:t>c</w:t>
      </w:r>
      <w:r>
        <w:rPr>
          <w:lang w:val="en-US"/>
        </w:rPr>
        <w:t xml:space="preserve"> is a constant (</w:t>
      </w:r>
      <w:r>
        <w:rPr>
          <w:i/>
          <w:lang w:val="en-US"/>
        </w:rPr>
        <w:t>c</w:t>
      </w:r>
      <w:r>
        <w:rPr>
          <w:lang w:val="en-US"/>
        </w:rPr>
        <w:t xml:space="preserve"> &gt;0), </w:t>
      </w:r>
      <w:r>
        <w:rPr>
          <w:position w:val="-14"/>
          <w:lang w:val="en-US"/>
        </w:rPr>
        <w:object w:dxaOrig="420" w:dyaOrig="400">
          <v:shape id="_x0000_i1047" type="#_x0000_t75" style="width:20.8pt;height:19.75pt" o:ole="" fillcolor="window">
            <v:imagedata r:id="rId52" o:title=""/>
          </v:shape>
          <o:OLEObject Type="Embed" ProgID="Equation.3" ShapeID="_x0000_i1047" DrawAspect="Content" ObjectID="_1381729959" r:id="rId53"/>
        </w:object>
      </w:r>
      <w:r>
        <w:rPr>
          <w:lang w:val="en-US"/>
        </w:rPr>
        <w:t xml:space="preserve"> denotes real disposable income deviations from trend and </w:t>
      </w:r>
      <w:r>
        <w:rPr>
          <w:i/>
          <w:lang w:val="en-US"/>
        </w:rPr>
        <w:sym w:font="Symbol" w:char="F06C"/>
      </w:r>
      <w:r>
        <w:rPr>
          <w:i/>
          <w:lang w:val="en-US"/>
        </w:rPr>
        <w:t xml:space="preserve"> </w:t>
      </w:r>
      <w:r>
        <w:rPr>
          <w:lang w:val="en-US"/>
        </w:rPr>
        <w:t>(</w:t>
      </w:r>
      <w:r>
        <w:rPr>
          <w:i/>
          <w:lang w:val="en-US"/>
        </w:rPr>
        <w:sym w:font="Symbol" w:char="F06C"/>
      </w:r>
      <w:r>
        <w:rPr>
          <w:i/>
          <w:lang w:val="en-US"/>
        </w:rPr>
        <w:t xml:space="preserve"> </w:t>
      </w:r>
      <w:r>
        <w:rPr>
          <w:lang w:val="en-US"/>
        </w:rPr>
        <w:t xml:space="preserve">&gt;1) is the exponent that permits the bubble to grow in expectation at rate </w:t>
      </w:r>
      <w:r>
        <w:rPr>
          <w:position w:val="-12"/>
          <w:lang w:val="en-US"/>
        </w:rPr>
        <w:object w:dxaOrig="720" w:dyaOrig="380">
          <v:shape id="_x0000_i1048" type="#_x0000_t75" style="width:36pt;height:18.75pt" o:ole="" fillcolor="window">
            <v:imagedata r:id="rId54" o:title=""/>
          </v:shape>
          <o:OLEObject Type="Embed" ProgID="Equation.3" ShapeID="_x0000_i1048" DrawAspect="Content" ObjectID="_1381729960" r:id="rId55"/>
        </w:object>
      </w:r>
      <w:r>
        <w:rPr>
          <w:lang w:val="en-US"/>
        </w:rPr>
        <w:t>.</w:t>
      </w:r>
    </w:p>
    <w:p w:rsidR="000A60A6" w:rsidRPr="005658CC" w:rsidRDefault="000901CE" w:rsidP="00C25039">
      <w:pPr>
        <w:spacing w:line="360" w:lineRule="auto"/>
        <w:ind w:right="-154"/>
        <w:jc w:val="both"/>
      </w:pPr>
      <w:r w:rsidRPr="00190060">
        <w:rPr>
          <w:lang w:val="en-US"/>
        </w:rPr>
        <w:lastRenderedPageBreak/>
        <w:t>Substituting (5) into (6)</w:t>
      </w:r>
      <w:r w:rsidR="002C4860" w:rsidRPr="00190060">
        <w:t xml:space="preserve"> and dividing </w:t>
      </w:r>
      <w:r w:rsidR="000A60A6" w:rsidRPr="00190060">
        <w:t xml:space="preserve">through by </w:t>
      </w:r>
      <w:r w:rsidR="003D6FA3" w:rsidRPr="00190060">
        <w:rPr>
          <w:i/>
          <w:position w:val="-12"/>
        </w:rPr>
        <w:object w:dxaOrig="300" w:dyaOrig="380">
          <v:shape id="_x0000_i1049" type="#_x0000_t75" style="width:15.2pt;height:18.75pt" o:ole="">
            <v:imagedata r:id="rId56" o:title=""/>
          </v:shape>
          <o:OLEObject Type="Embed" ProgID="Equation.DSMT4" ShapeID="_x0000_i1049" DrawAspect="Content" ObjectID="_1381729961" r:id="rId57"/>
        </w:object>
      </w:r>
      <w:r w:rsidR="000A60A6" w:rsidRPr="00190060">
        <w:t>,</w:t>
      </w:r>
      <w:r w:rsidR="000A60A6">
        <w:t xml:space="preserve"> re-arranging, taking logs of each side and using a first order Taylor series expansion</w:t>
      </w:r>
      <w:r w:rsidR="000A60A6" w:rsidRPr="005658CC">
        <w:t xml:space="preserve"> allows us to specify a log-linear regression of the form:</w:t>
      </w:r>
    </w:p>
    <w:p w:rsidR="00BE60B6" w:rsidRDefault="00BE60B6" w:rsidP="00C25039">
      <w:pPr>
        <w:spacing w:line="360" w:lineRule="auto"/>
        <w:ind w:right="-154"/>
        <w:jc w:val="both"/>
        <w:rPr>
          <w:lang w:val="en-US"/>
        </w:rPr>
      </w:pPr>
      <w:r>
        <w:rPr>
          <w:position w:val="-12"/>
          <w:lang w:val="en-US"/>
        </w:rPr>
        <w:object w:dxaOrig="2840" w:dyaOrig="380">
          <v:shape id="_x0000_i1050" type="#_x0000_t75" style="width:141.95pt;height:18.75pt" o:ole="" fillcolor="window">
            <v:imagedata r:id="rId58" o:title=""/>
          </v:shape>
          <o:OLEObject Type="Embed" ProgID="Equation.3" ShapeID="_x0000_i1050" DrawAspect="Content" ObjectID="_1381729962" r:id="rId59"/>
        </w:object>
      </w:r>
      <w:r w:rsidR="000901CE">
        <w:rPr>
          <w:lang w:val="en-US"/>
        </w:rPr>
        <w:tab/>
      </w:r>
      <w:r w:rsidR="000901CE">
        <w:rPr>
          <w:lang w:val="en-US"/>
        </w:rPr>
        <w:tab/>
      </w:r>
      <w:r w:rsidR="000901CE">
        <w:rPr>
          <w:lang w:val="en-US"/>
        </w:rPr>
        <w:tab/>
      </w:r>
      <w:r w:rsidR="000901CE">
        <w:rPr>
          <w:lang w:val="en-US"/>
        </w:rPr>
        <w:tab/>
      </w:r>
      <w:r w:rsidR="000901CE">
        <w:rPr>
          <w:lang w:val="en-US"/>
        </w:rPr>
        <w:tab/>
      </w:r>
      <w:r w:rsidR="000901CE">
        <w:rPr>
          <w:lang w:val="en-US"/>
        </w:rPr>
        <w:tab/>
      </w:r>
      <w:r w:rsidR="000901CE">
        <w:rPr>
          <w:lang w:val="en-US"/>
        </w:rPr>
        <w:tab/>
      </w:r>
      <w:r w:rsidR="000901CE">
        <w:rPr>
          <w:lang w:val="en-US"/>
        </w:rPr>
        <w:tab/>
        <w:t>(7</w:t>
      </w:r>
      <w:r>
        <w:rPr>
          <w:lang w:val="en-US"/>
        </w:rPr>
        <w:t>)</w:t>
      </w:r>
    </w:p>
    <w:p w:rsidR="00BE60B6" w:rsidRDefault="00BE60B6" w:rsidP="00C25039">
      <w:pPr>
        <w:spacing w:line="360" w:lineRule="auto"/>
        <w:ind w:right="-154"/>
        <w:jc w:val="both"/>
        <w:rPr>
          <w:lang w:val="en-US"/>
        </w:rPr>
      </w:pPr>
      <w:r>
        <w:rPr>
          <w:lang w:val="en-US"/>
        </w:rPr>
        <w:t xml:space="preserve">where lower case letters denote logs and </w:t>
      </w:r>
      <w:r>
        <w:rPr>
          <w:position w:val="-12"/>
          <w:lang w:val="en-US"/>
        </w:rPr>
        <w:object w:dxaOrig="300" w:dyaOrig="360">
          <v:shape id="_x0000_i1051" type="#_x0000_t75" style="width:15.2pt;height:18.25pt" o:ole="" fillcolor="window">
            <v:imagedata r:id="rId60" o:title=""/>
          </v:shape>
          <o:OLEObject Type="Embed" ProgID="Equation.3" ShapeID="_x0000_i1051" DrawAspect="Content" ObjectID="_1381729963" r:id="rId61"/>
        </w:object>
      </w:r>
      <w:r>
        <w:rPr>
          <w:lang w:val="en-US"/>
        </w:rPr>
        <w:t xml:space="preserve">is an error term measuring the element of the deviations from present value that is </w:t>
      </w:r>
      <w:r>
        <w:rPr>
          <w:i/>
          <w:lang w:val="en-US"/>
        </w:rPr>
        <w:t>not</w:t>
      </w:r>
      <w:r>
        <w:rPr>
          <w:lang w:val="en-US"/>
        </w:rPr>
        <w:t xml:space="preserve"> attributable to an intrinsic bubble.</w:t>
      </w:r>
      <w:r w:rsidR="00761536">
        <w:rPr>
          <w:lang w:val="en-US"/>
        </w:rPr>
        <w:t xml:space="preserve">  The fitted values of </w:t>
      </w:r>
      <w:r w:rsidR="00761536" w:rsidRPr="00283523">
        <w:rPr>
          <w:lang w:val="en-US"/>
        </w:rPr>
        <w:t>(7</w:t>
      </w:r>
      <w:r w:rsidRPr="00283523">
        <w:rPr>
          <w:lang w:val="en-US"/>
        </w:rPr>
        <w:t>)</w:t>
      </w:r>
      <w:r>
        <w:rPr>
          <w:lang w:val="en-US"/>
        </w:rPr>
        <w:t xml:space="preserve"> will permit the construction of a series that mimics the path a bubble</w:t>
      </w:r>
      <w:r>
        <w:rPr>
          <w:i/>
          <w:lang w:val="en-US"/>
        </w:rPr>
        <w:t xml:space="preserve"> </w:t>
      </w:r>
      <w:r>
        <w:rPr>
          <w:lang w:val="en-US"/>
        </w:rPr>
        <w:t>might take in response to whether income is above/below trend.  When the bubble series</w:t>
      </w:r>
      <w:r>
        <w:rPr>
          <w:i/>
          <w:lang w:val="en-US"/>
        </w:rPr>
        <w:t>, B</w:t>
      </w:r>
      <w:r>
        <w:rPr>
          <w:i/>
          <w:vertAlign w:val="subscript"/>
          <w:lang w:val="en-US"/>
        </w:rPr>
        <w:t>t</w:t>
      </w:r>
      <w:r>
        <w:rPr>
          <w:vertAlign w:val="subscript"/>
          <w:lang w:val="en-US"/>
        </w:rPr>
        <w:t>,</w:t>
      </w:r>
      <w:r>
        <w:rPr>
          <w:i/>
          <w:lang w:val="en-US"/>
        </w:rPr>
        <w:t xml:space="preserve"> </w:t>
      </w:r>
      <w:r>
        <w:rPr>
          <w:lang w:val="en-US"/>
        </w:rPr>
        <w:t>is combined with</w:t>
      </w:r>
      <w:r>
        <w:rPr>
          <w:position w:val="-12"/>
          <w:lang w:val="en-US"/>
        </w:rPr>
        <w:object w:dxaOrig="320" w:dyaOrig="380">
          <v:shape id="_x0000_i1052" type="#_x0000_t75" style="width:16.25pt;height:18.75pt" o:ole="" fillcolor="window">
            <v:imagedata r:id="rId62" o:title=""/>
          </v:shape>
          <o:OLEObject Type="Embed" ProgID="Equation.3" ShapeID="_x0000_i1052" DrawAspect="Content" ObjectID="_1381729964" r:id="rId63"/>
        </w:object>
      </w:r>
      <w:r>
        <w:rPr>
          <w:lang w:val="en-US"/>
        </w:rPr>
        <w:t>, we have a present value price which includes a bubble price which can then be compared to actual prices,</w:t>
      </w:r>
      <w:r>
        <w:rPr>
          <w:position w:val="-12"/>
          <w:lang w:val="en-US"/>
        </w:rPr>
        <w:object w:dxaOrig="320" w:dyaOrig="380">
          <v:shape id="_x0000_i1053" type="#_x0000_t75" style="width:16.25pt;height:18.75pt" o:ole="" fillcolor="window">
            <v:imagedata r:id="rId64" o:title=""/>
          </v:shape>
          <o:OLEObject Type="Embed" ProgID="Equation.3" ShapeID="_x0000_i1053" DrawAspect="Content" ObjectID="_1381729965" r:id="rId65"/>
        </w:object>
      </w:r>
      <w:r>
        <w:rPr>
          <w:lang w:val="en-US"/>
        </w:rPr>
        <w:t xml:space="preserve">. </w:t>
      </w:r>
    </w:p>
    <w:p w:rsidR="00BE60B6" w:rsidRDefault="00BE60B6" w:rsidP="00C25039">
      <w:pPr>
        <w:spacing w:line="360" w:lineRule="auto"/>
        <w:ind w:right="-154" w:firstLine="720"/>
        <w:jc w:val="both"/>
        <w:rPr>
          <w:lang w:val="en-US"/>
        </w:rPr>
      </w:pPr>
      <w:r>
        <w:rPr>
          <w:lang w:val="en-US"/>
        </w:rPr>
        <w:t xml:space="preserve">The (heteroskedasticity and autocorrelation robust) regression results, are shown in Table 4.  Notably, the constant term, which is insignificantly different from zero implies a value of </w:t>
      </w:r>
      <w:r>
        <w:rPr>
          <w:i/>
          <w:lang w:val="en-US"/>
        </w:rPr>
        <w:t>c</w:t>
      </w:r>
      <w:r>
        <w:rPr>
          <w:lang w:val="en-US"/>
        </w:rPr>
        <w:t xml:space="preserve"> close to unity.  The slope coefficient is clearly insignificantly different from zero and the regression only explains 2</w:t>
      </w:r>
      <w:r w:rsidR="00D80864">
        <w:rPr>
          <w:lang w:val="en-US"/>
        </w:rPr>
        <w:t>.</w:t>
      </w:r>
      <w:r>
        <w:rPr>
          <w:lang w:val="en-US"/>
        </w:rPr>
        <w:t>4 percent of movements in these devi</w:t>
      </w:r>
      <w:r w:rsidR="00171E17">
        <w:rPr>
          <w:lang w:val="en-US"/>
        </w:rPr>
        <w:t xml:space="preserve">ations.  According to the unit root </w:t>
      </w:r>
      <w:r>
        <w:rPr>
          <w:lang w:val="en-US"/>
        </w:rPr>
        <w:t xml:space="preserve">statistic, the part of deviations from present value not explained by the regression (the residual series, </w:t>
      </w:r>
      <w:r>
        <w:rPr>
          <w:position w:val="-12"/>
          <w:lang w:val="en-US"/>
        </w:rPr>
        <w:object w:dxaOrig="300" w:dyaOrig="360">
          <v:shape id="_x0000_i1054" type="#_x0000_t75" style="width:15.2pt;height:18.25pt" o:ole="" fillcolor="window">
            <v:imagedata r:id="rId60" o:title=""/>
          </v:shape>
          <o:OLEObject Type="Embed" ProgID="Equation.3" ShapeID="_x0000_i1054" DrawAspect="Content" ObjectID="_1381729966" r:id="rId66"/>
        </w:object>
      </w:r>
      <w:r>
        <w:rPr>
          <w:lang w:val="en-US"/>
        </w:rPr>
        <w:t xml:space="preserve">), is non-stationary.  Further investigation of the model residuals indicated that around 1975, 1980 and 2001, the residuals were significantly different from zero, implying that between 1982 through 2000, fundamentals had a more important role to play in explaining the path of actual house prices than in the remaining parts of the sample. </w:t>
      </w:r>
    </w:p>
    <w:p w:rsidR="00BE60B6" w:rsidRDefault="00BE60B6" w:rsidP="00C25039">
      <w:pPr>
        <w:spacing w:line="360" w:lineRule="auto"/>
        <w:ind w:right="-154" w:firstLine="720"/>
        <w:jc w:val="both"/>
        <w:rPr>
          <w:lang w:val="en-US"/>
        </w:rPr>
      </w:pPr>
      <w:r>
        <w:rPr>
          <w:lang w:val="en-US"/>
        </w:rPr>
        <w:t xml:space="preserve">Figure 4 depicts three price series: the actual house price series, </w:t>
      </w:r>
      <w:r>
        <w:rPr>
          <w:position w:val="-12"/>
          <w:lang w:val="en-US"/>
        </w:rPr>
        <w:object w:dxaOrig="260" w:dyaOrig="360">
          <v:shape id="_x0000_i1055" type="#_x0000_t75" style="width:13.2pt;height:18.25pt" o:ole="" fillcolor="window">
            <v:imagedata r:id="rId67" o:title=""/>
          </v:shape>
          <o:OLEObject Type="Embed" ProgID="Equation.3" ShapeID="_x0000_i1055" DrawAspect="Content" ObjectID="_1381729967" r:id="rId68"/>
        </w:object>
      </w:r>
      <w:r>
        <w:rPr>
          <w:lang w:val="en-US"/>
        </w:rPr>
        <w:t xml:space="preserve">, the fundamental (present value) house price series, </w:t>
      </w:r>
      <w:r>
        <w:rPr>
          <w:position w:val="-12"/>
          <w:lang w:val="en-US"/>
        </w:rPr>
        <w:object w:dxaOrig="320" w:dyaOrig="380">
          <v:shape id="_x0000_i1056" type="#_x0000_t75" style="width:16.25pt;height:18.75pt" o:ole="" fillcolor="window">
            <v:imagedata r:id="rId69" o:title=""/>
          </v:shape>
          <o:OLEObject Type="Embed" ProgID="Equation.3" ShapeID="_x0000_i1056" DrawAspect="Content" ObjectID="_1381729968" r:id="rId70"/>
        </w:object>
      </w:r>
      <w:r>
        <w:rPr>
          <w:lang w:val="en-US"/>
        </w:rPr>
        <w:t xml:space="preserve">, and the present value house price series plus the bubble component </w:t>
      </w:r>
      <w:r>
        <w:rPr>
          <w:i/>
          <w:position w:val="-12"/>
          <w:lang w:val="en-US"/>
        </w:rPr>
        <w:object w:dxaOrig="1020" w:dyaOrig="380">
          <v:shape id="_x0000_i1057" type="#_x0000_t75" style="width:51.2pt;height:18.75pt" o:ole="" fillcolor="window">
            <v:imagedata r:id="rId71" o:title=""/>
          </v:shape>
          <o:OLEObject Type="Embed" ProgID="Equation.3" ShapeID="_x0000_i1057" DrawAspect="Content" ObjectID="_1381729969" r:id="rId72"/>
        </w:object>
      </w:r>
      <w:r>
        <w:rPr>
          <w:lang w:val="en-US"/>
        </w:rPr>
        <w:t>.  Interestingly, and in accordance with the above discussion, the fundamental price with the inclusion of the intrinsic bubble component does not appear to make a significant difference to the ability of the present value model to track actual prices</w:t>
      </w:r>
      <w:r w:rsidR="00D80864">
        <w:rPr>
          <w:lang w:val="en-US"/>
        </w:rPr>
        <w:t xml:space="preserve">, </w:t>
      </w:r>
      <w:r>
        <w:rPr>
          <w:lang w:val="en-US"/>
        </w:rPr>
        <w:t>particularly in periods when over/under valuation is greatest – for example the 1970s, early 1980s and early 2000.  Over the full sample</w:t>
      </w:r>
      <w:r w:rsidR="00D80864">
        <w:rPr>
          <w:lang w:val="en-US"/>
        </w:rPr>
        <w:t>,</w:t>
      </w:r>
      <w:r>
        <w:rPr>
          <w:lang w:val="en-US"/>
        </w:rPr>
        <w:t xml:space="preserve"> the gap between the actual price and the fundamental price with a bubble had a correlation with the actual price of 0.401</w:t>
      </w:r>
      <w:r w:rsidR="00D80864">
        <w:rPr>
          <w:lang w:val="en-US"/>
        </w:rPr>
        <w:t>,</w:t>
      </w:r>
      <w:r>
        <w:rPr>
          <w:lang w:val="en-US"/>
        </w:rPr>
        <w:t xml:space="preserve"> while from mid 1999 through 2005 this was 0.898.  Over the same recent period</w:t>
      </w:r>
      <w:r w:rsidR="00D80864">
        <w:rPr>
          <w:lang w:val="en-US"/>
        </w:rPr>
        <w:t>,</w:t>
      </w:r>
      <w:r>
        <w:rPr>
          <w:lang w:val="en-US"/>
        </w:rPr>
        <w:t xml:space="preserve"> the ‘fundamental price with bubble gap’ had an association with income of 0.616</w:t>
      </w:r>
      <w:r w:rsidR="00D80864">
        <w:rPr>
          <w:lang w:val="en-US"/>
        </w:rPr>
        <w:t>,</w:t>
      </w:r>
      <w:r>
        <w:rPr>
          <w:lang w:val="en-US"/>
        </w:rPr>
        <w:t xml:space="preserve"> thus indicating that over this period both price dynamics and fundamentals were at work.  However, while the present value model alone would </w:t>
      </w:r>
      <w:r>
        <w:rPr>
          <w:lang w:val="en-US"/>
        </w:rPr>
        <w:lastRenderedPageBreak/>
        <w:t xml:space="preserve">predict that house prices were 24.73 percent overvalued at the end of the sample, with the inclusion of </w:t>
      </w:r>
      <w:r w:rsidR="00D80864">
        <w:rPr>
          <w:lang w:val="en-US"/>
        </w:rPr>
        <w:t xml:space="preserve">the </w:t>
      </w:r>
      <w:r>
        <w:rPr>
          <w:lang w:val="en-US"/>
        </w:rPr>
        <w:t>intrinsic bubble component this only reduces to 20.89 percent</w:t>
      </w:r>
      <w:r w:rsidR="00D80864">
        <w:rPr>
          <w:lang w:val="en-US"/>
        </w:rPr>
        <w:t>,</w:t>
      </w:r>
      <w:r>
        <w:rPr>
          <w:lang w:val="en-US"/>
        </w:rPr>
        <w:t xml:space="preserve"> thus suggest</w:t>
      </w:r>
      <w:r w:rsidR="00D80864">
        <w:rPr>
          <w:lang w:val="en-US"/>
        </w:rPr>
        <w:t>ing that</w:t>
      </w:r>
      <w:r>
        <w:rPr>
          <w:lang w:val="en-US"/>
        </w:rPr>
        <w:t xml:space="preserve"> much of the overvaluation is due to price dynamics rather than an overreaction to fundamentals.  Interestingly, this result is in contrast those reported in </w:t>
      </w:r>
      <w:r w:rsidRPr="00FE7A12">
        <w:rPr>
          <w:lang w:val="en-US"/>
        </w:rPr>
        <w:t>Black et al.</w:t>
      </w:r>
      <w:r>
        <w:rPr>
          <w:i/>
          <w:lang w:val="en-US"/>
        </w:rPr>
        <w:t xml:space="preserve"> </w:t>
      </w:r>
      <w:r>
        <w:rPr>
          <w:lang w:val="en-US"/>
        </w:rPr>
        <w:t xml:space="preserve">(2007) and Levin and Wright (1997), who present </w:t>
      </w:r>
      <w:smartTag w:uri="urn:schemas-microsoft-com:office:smarttags" w:element="place">
        <w:smartTag w:uri="urn:schemas-microsoft-com:office:smarttags" w:element="country-region">
          <w:r>
            <w:rPr>
              <w:lang w:val="en-US"/>
            </w:rPr>
            <w:t>U.K.</w:t>
          </w:r>
        </w:smartTag>
      </w:smartTag>
      <w:r>
        <w:rPr>
          <w:lang w:val="en-US"/>
        </w:rPr>
        <w:t xml:space="preserve"> evidence at different levels of aggregation and over different time periods suggesting that the relationship between current house prices and the direction of the price path can be a relatively weak one. </w:t>
      </w:r>
    </w:p>
    <w:p w:rsidR="00BE60B6" w:rsidRDefault="00BE60B6" w:rsidP="00C25039">
      <w:pPr>
        <w:spacing w:line="360" w:lineRule="auto"/>
        <w:ind w:right="-154" w:firstLine="720"/>
        <w:jc w:val="both"/>
        <w:rPr>
          <w:lang w:val="en-US"/>
        </w:rPr>
      </w:pPr>
      <w:r>
        <w:rPr>
          <w:lang w:val="en-US"/>
        </w:rPr>
        <w:t xml:space="preserve">Overall our evidence suggests that, in </w:t>
      </w:r>
      <w:smartTag w:uri="urn:schemas-microsoft-com:office:smarttags" w:element="place">
        <w:smartTag w:uri="urn:schemas-microsoft-com:office:smarttags" w:element="country-region">
          <w:r>
            <w:rPr>
              <w:lang w:val="en-US"/>
            </w:rPr>
            <w:t>New Zealand</w:t>
          </w:r>
        </w:smartTag>
      </w:smartTag>
      <w:r>
        <w:rPr>
          <w:lang w:val="en-US"/>
        </w:rPr>
        <w:t>, overreaction to fundamentals h</w:t>
      </w:r>
      <w:r w:rsidR="00D80864">
        <w:rPr>
          <w:lang w:val="en-US"/>
        </w:rPr>
        <w:t>as</w:t>
      </w:r>
      <w:r>
        <w:rPr>
          <w:lang w:val="en-US"/>
        </w:rPr>
        <w:t xml:space="preserve"> a less important role to play in determining house price bubbles than price dynamics, particularly when the housing market is a long-way off its fundamental value.</w:t>
      </w:r>
    </w:p>
    <w:p w:rsidR="00D80864" w:rsidRDefault="00D80864" w:rsidP="00C25039">
      <w:pPr>
        <w:spacing w:line="360" w:lineRule="auto"/>
        <w:ind w:right="-154" w:firstLine="720"/>
        <w:jc w:val="both"/>
        <w:rPr>
          <w:lang w:val="en-US"/>
        </w:rPr>
      </w:pPr>
    </w:p>
    <w:p w:rsidR="00BE60B6" w:rsidRDefault="00BE60B6" w:rsidP="00D80864">
      <w:pPr>
        <w:spacing w:line="360" w:lineRule="auto"/>
        <w:rPr>
          <w:b/>
          <w:lang w:val="en-US"/>
        </w:rPr>
      </w:pPr>
      <w:r>
        <w:rPr>
          <w:b/>
          <w:lang w:val="en-US"/>
        </w:rPr>
        <w:t>Conclusion</w:t>
      </w:r>
    </w:p>
    <w:p w:rsidR="00BE60B6" w:rsidRPr="00D80864" w:rsidRDefault="00BE60B6" w:rsidP="00C25039">
      <w:pPr>
        <w:spacing w:line="360" w:lineRule="auto"/>
        <w:rPr>
          <w:lang w:val="en-US"/>
        </w:rPr>
      </w:pPr>
    </w:p>
    <w:p w:rsidR="00BE60B6" w:rsidRDefault="00BE60B6" w:rsidP="00C25039">
      <w:pPr>
        <w:spacing w:line="360" w:lineRule="auto"/>
        <w:jc w:val="both"/>
        <w:rPr>
          <w:lang w:val="en-US"/>
        </w:rPr>
      </w:pPr>
      <w:r>
        <w:rPr>
          <w:lang w:val="en-US"/>
        </w:rPr>
        <w:t xml:space="preserve">The housing sector is an important asset class for household wealth.  This is because the wealth effects from housing exceed those from financial assets, and housing busts have a greater impact on the economy than stock market busts.  This paper compares real house prices relative to fundamental real house values, an issue that is important in both investment and policy-making decisions. Additionally, limited arbitrage opportunities imply that mispricing may occur for prolonged periods.  In </w:t>
      </w:r>
      <w:smartTag w:uri="urn:schemas-microsoft-com:office:smarttags" w:element="place">
        <w:smartTag w:uri="urn:schemas-microsoft-com:office:smarttags" w:element="country-region">
          <w:r>
            <w:rPr>
              <w:lang w:val="en-US"/>
            </w:rPr>
            <w:t>New Zealand</w:t>
          </w:r>
        </w:smartTag>
      </w:smartTag>
      <w:r>
        <w:rPr>
          <w:lang w:val="en-US"/>
        </w:rPr>
        <w:t xml:space="preserve">, this situation is exacerbated due to the composition of household asset portfolios.  Our analysis considers whether ‘bubbles’ exist in the </w:t>
      </w:r>
      <w:smartTag w:uri="urn:schemas-microsoft-com:office:smarttags" w:element="place">
        <w:smartTag w:uri="urn:schemas-microsoft-com:office:smarttags" w:element="country-region">
          <w:r>
            <w:rPr>
              <w:lang w:val="en-US"/>
            </w:rPr>
            <w:t>New Zealand</w:t>
          </w:r>
        </w:smartTag>
      </w:smartTag>
      <w:r>
        <w:rPr>
          <w:lang w:val="en-US"/>
        </w:rPr>
        <w:t xml:space="preserve"> housing market and whether they are driven by fundamental or momentum explanations.</w:t>
      </w:r>
    </w:p>
    <w:p w:rsidR="00BE60B6" w:rsidRDefault="00BE60B6" w:rsidP="00C25039">
      <w:pPr>
        <w:spacing w:line="360" w:lineRule="auto"/>
        <w:ind w:firstLine="720"/>
        <w:jc w:val="both"/>
        <w:rPr>
          <w:lang w:val="en-US"/>
        </w:rPr>
      </w:pPr>
      <w:r>
        <w:rPr>
          <w:lang w:val="en-US"/>
        </w:rPr>
        <w:t xml:space="preserve">It is crucial that policy makers identify the causes of escalating house prices.  Rapid growth in housing wealth increases consumption, aggregate demand and the Reserve Bank’s fears of future inflation, which it has a mandate to maintain in the 1 to 3 percent band.  If this growth is recognized as a speculative boom, this may signal the need for the Reserve Bank to contain inflation while, at the same time, avoiding a potential economic slowdown when the bubble bursts.  If on the other hand, increases in house prices are justified by changes in expectations about fundamentals then no intervention may be required, since this may result in misallocation of scarce resources.  </w:t>
      </w:r>
      <w:r>
        <w:t xml:space="preserve">Further, the analysis of the ‘intrinsic’ bubble component of prices provides </w:t>
      </w:r>
      <w:r>
        <w:lastRenderedPageBreak/>
        <w:t xml:space="preserve">scope for the authorities to consider ‘talking’ expectations on fundamentals either ‘up’ or ‘down’ depending on whether they view such expectations to be unjustified. </w:t>
      </w:r>
      <w:r>
        <w:rPr>
          <w:lang w:val="en-US"/>
        </w:rPr>
        <w:t>The model presented in this paper enables these important issues to be analyzed.</w:t>
      </w:r>
    </w:p>
    <w:p w:rsidR="00BE60B6" w:rsidRDefault="00BE60B6" w:rsidP="00C25039">
      <w:pPr>
        <w:pStyle w:val="Footer"/>
        <w:tabs>
          <w:tab w:val="clear" w:pos="4153"/>
          <w:tab w:val="clear" w:pos="8306"/>
        </w:tabs>
        <w:spacing w:line="360" w:lineRule="auto"/>
        <w:ind w:firstLine="720"/>
        <w:jc w:val="both"/>
        <w:rPr>
          <w:lang w:val="en-US"/>
        </w:rPr>
      </w:pPr>
      <w:r>
        <w:rPr>
          <w:lang w:val="en-US"/>
        </w:rPr>
        <w:t xml:space="preserve">A time-varying present value model driven by the state of the economy, as proxied by real disposable income, was used to model fundamentals.  Our results indicate that in residential housing there are significant deviations from fundamental value.  The empirical model allows us to mimic the path that an intrinsic bubble might take and combine this with the actual ‘fundamental’ price.  We find that our present value model predicts that house prices are overvalued by as much as </w:t>
      </w:r>
      <w:r w:rsidR="00D80864">
        <w:rPr>
          <w:lang w:val="en-US"/>
        </w:rPr>
        <w:t>approximately</w:t>
      </w:r>
      <w:r>
        <w:rPr>
          <w:lang w:val="en-US"/>
        </w:rPr>
        <w:t xml:space="preserve"> 25 percent at the end of the sample period. </w:t>
      </w:r>
      <w:r w:rsidR="00D80864">
        <w:rPr>
          <w:lang w:val="en-US"/>
        </w:rPr>
        <w:t xml:space="preserve"> </w:t>
      </w:r>
      <w:r>
        <w:rPr>
          <w:lang w:val="en-US"/>
        </w:rPr>
        <w:t xml:space="preserve">With the inclusion of the intrinsic bubble component this reduces to </w:t>
      </w:r>
      <w:r w:rsidR="00D80864">
        <w:rPr>
          <w:lang w:val="en-US"/>
        </w:rPr>
        <w:t>circa</w:t>
      </w:r>
      <w:r>
        <w:rPr>
          <w:lang w:val="en-US"/>
        </w:rPr>
        <w:t xml:space="preserve"> 21 percent, thus suggesting that much of the overvaluation is from price dynamics rather than an overreaction to fundamentals.</w:t>
      </w:r>
    </w:p>
    <w:p w:rsidR="00BE60B6" w:rsidRDefault="00BE60B6" w:rsidP="00C25039">
      <w:pPr>
        <w:spacing w:line="360" w:lineRule="auto"/>
        <w:jc w:val="both"/>
        <w:rPr>
          <w:lang w:val="en-US"/>
        </w:rPr>
      </w:pPr>
      <w:r>
        <w:rPr>
          <w:lang w:val="en-US"/>
        </w:rPr>
        <w:tab/>
        <w:t>Further work should focus</w:t>
      </w:r>
      <w:r w:rsidR="00B25278">
        <w:rPr>
          <w:lang w:val="en-US"/>
        </w:rPr>
        <w:t xml:space="preserve"> on what drives price dynamics, considering for example, the role of migration in driving house prices.  C</w:t>
      </w:r>
      <w:r>
        <w:rPr>
          <w:lang w:val="en-US"/>
        </w:rPr>
        <w:t>ross-country comparisons</w:t>
      </w:r>
      <w:r w:rsidR="00B25278">
        <w:rPr>
          <w:lang w:val="en-US"/>
        </w:rPr>
        <w:t xml:space="preserve"> would also be interesting</w:t>
      </w:r>
      <w:r>
        <w:rPr>
          <w:lang w:val="en-US"/>
        </w:rPr>
        <w:t xml:space="preserve">.  </w:t>
      </w:r>
      <w:smartTag w:uri="urn:schemas-microsoft-com:office:smarttags" w:element="place">
        <w:smartTag w:uri="urn:schemas-microsoft-com:office:smarttags" w:element="country-region">
          <w:r>
            <w:rPr>
              <w:lang w:val="en-US"/>
            </w:rPr>
            <w:t>Australia</w:t>
          </w:r>
        </w:smartTag>
      </w:smartTag>
      <w:r>
        <w:rPr>
          <w:lang w:val="en-US"/>
        </w:rPr>
        <w:t xml:space="preserve"> is an obvious case.  Mergers of New Zealand and Australian stock markets have recently been proposed as has a joint currency, and a comparison of links between the less studied property markets may yield valuable insights into possible future economic integration.  Additionally, as New Zealand is at one end of the spectrum concerning both the recent growth in house prices and household ownership of property assets, it would be interesting to compare its experience with countries where house prices have not increased markedly, as well as comparing it with countries where residential property does not dominate household asset portfolios.  Also, an analysis of the timing of deviations from fundamentals for the housing and stock markets would be useful so as to better understand the correlations between these asset classes, and so better allocate household wealth between assets.</w:t>
      </w:r>
    </w:p>
    <w:p w:rsidR="00BE60B6" w:rsidRDefault="00BE60B6">
      <w:pPr>
        <w:spacing w:line="480" w:lineRule="auto"/>
        <w:jc w:val="both"/>
        <w:rPr>
          <w:lang w:val="en-US"/>
        </w:rPr>
      </w:pPr>
      <w:r>
        <w:rPr>
          <w:lang w:val="en-US"/>
        </w:rPr>
        <w:br w:type="page"/>
      </w:r>
    </w:p>
    <w:p w:rsidR="00BE60B6" w:rsidRDefault="00BE60B6">
      <w:pPr>
        <w:rPr>
          <w:b/>
          <w:lang w:val="en-US"/>
        </w:rPr>
      </w:pPr>
      <w:r>
        <w:rPr>
          <w:b/>
          <w:lang w:val="en-US"/>
        </w:rPr>
        <w:t>References</w:t>
      </w:r>
    </w:p>
    <w:p w:rsidR="00BE60B6" w:rsidRDefault="00BE60B6">
      <w:pPr>
        <w:spacing w:after="120"/>
        <w:jc w:val="both"/>
        <w:rPr>
          <w:lang w:val="en-US"/>
        </w:rPr>
      </w:pPr>
    </w:p>
    <w:p w:rsidR="00BE60B6" w:rsidRDefault="00BE60B6">
      <w:pPr>
        <w:spacing w:after="120"/>
        <w:jc w:val="both"/>
        <w:rPr>
          <w:lang w:val="en-US"/>
        </w:rPr>
      </w:pPr>
      <w:r>
        <w:rPr>
          <w:lang w:val="en-US"/>
        </w:rPr>
        <w:t>Abel, A. B. (1991)</w:t>
      </w:r>
      <w:r w:rsidR="007D7085">
        <w:rPr>
          <w:lang w:val="en-US"/>
        </w:rPr>
        <w:t xml:space="preserve">. </w:t>
      </w:r>
      <w:r>
        <w:rPr>
          <w:lang w:val="en-US"/>
        </w:rPr>
        <w:t xml:space="preserve">The </w:t>
      </w:r>
      <w:r w:rsidR="007D7085">
        <w:rPr>
          <w:lang w:val="en-US"/>
        </w:rPr>
        <w:t>e</w:t>
      </w:r>
      <w:r>
        <w:rPr>
          <w:lang w:val="en-US"/>
        </w:rPr>
        <w:t xml:space="preserve">quity </w:t>
      </w:r>
      <w:r w:rsidR="007D7085">
        <w:rPr>
          <w:lang w:val="en-US"/>
        </w:rPr>
        <w:t>p</w:t>
      </w:r>
      <w:r>
        <w:rPr>
          <w:lang w:val="en-US"/>
        </w:rPr>
        <w:t xml:space="preserve">remium </w:t>
      </w:r>
      <w:r w:rsidR="007D7085">
        <w:rPr>
          <w:lang w:val="en-US"/>
        </w:rPr>
        <w:t>p</w:t>
      </w:r>
      <w:r>
        <w:rPr>
          <w:lang w:val="en-US"/>
        </w:rPr>
        <w:t>uzzle</w:t>
      </w:r>
      <w:r w:rsidR="007D7085">
        <w:rPr>
          <w:lang w:val="en-US"/>
        </w:rPr>
        <w:t>.</w:t>
      </w:r>
      <w:r>
        <w:rPr>
          <w:lang w:val="en-US"/>
        </w:rPr>
        <w:t xml:space="preserve"> </w:t>
      </w:r>
      <w:r>
        <w:rPr>
          <w:i/>
          <w:lang w:val="en-US"/>
        </w:rPr>
        <w:t>Business Review</w:t>
      </w:r>
      <w:r>
        <w:rPr>
          <w:lang w:val="en-US"/>
        </w:rPr>
        <w:t xml:space="preserve">, September/October, </w:t>
      </w:r>
      <w:smartTag w:uri="urn:schemas-microsoft-com:office:smarttags" w:element="City">
        <w:r w:rsidR="007D7085">
          <w:rPr>
            <w:lang w:val="en-US"/>
          </w:rPr>
          <w:t>Philadelphia</w:t>
        </w:r>
      </w:smartTag>
      <w:r w:rsidR="007D7085">
        <w:rPr>
          <w:lang w:val="en-US"/>
        </w:rPr>
        <w:t xml:space="preserve">: Federal Reserve Bank of </w:t>
      </w:r>
      <w:smartTag w:uri="urn:schemas-microsoft-com:office:smarttags" w:element="place">
        <w:smartTag w:uri="urn:schemas-microsoft-com:office:smarttags" w:element="City">
          <w:r w:rsidR="007D7085">
            <w:rPr>
              <w:lang w:val="en-US"/>
            </w:rPr>
            <w:t>Philadelphia</w:t>
          </w:r>
        </w:smartTag>
      </w:smartTag>
      <w:r w:rsidR="007D7085">
        <w:rPr>
          <w:lang w:val="en-US"/>
        </w:rPr>
        <w:t xml:space="preserve">, </w:t>
      </w:r>
      <w:r>
        <w:rPr>
          <w:lang w:val="en-US"/>
        </w:rPr>
        <w:t>3-13.</w:t>
      </w:r>
    </w:p>
    <w:p w:rsidR="00BE60B6" w:rsidRDefault="00BE60B6">
      <w:pPr>
        <w:spacing w:after="120"/>
        <w:jc w:val="both"/>
        <w:rPr>
          <w:lang w:val="en-US"/>
        </w:rPr>
      </w:pPr>
      <w:r w:rsidRPr="007D7085">
        <w:rPr>
          <w:lang w:val="de-CH"/>
        </w:rPr>
        <w:t>Abraham, J. M.</w:t>
      </w:r>
      <w:r w:rsidR="00BE13C3">
        <w:rPr>
          <w:lang w:val="de-CH"/>
        </w:rPr>
        <w:t>,</w:t>
      </w:r>
      <w:r w:rsidRPr="007D7085">
        <w:rPr>
          <w:lang w:val="de-CH"/>
        </w:rPr>
        <w:t xml:space="preserve"> </w:t>
      </w:r>
      <w:r w:rsidR="007D7085" w:rsidRPr="007D7085">
        <w:rPr>
          <w:lang w:val="de-CH"/>
        </w:rPr>
        <w:t>&amp;</w:t>
      </w:r>
      <w:r w:rsidRPr="007D7085">
        <w:rPr>
          <w:lang w:val="de-CH"/>
        </w:rPr>
        <w:t xml:space="preserve"> Hendershott</w:t>
      </w:r>
      <w:r w:rsidR="007D7085" w:rsidRPr="007D7085">
        <w:rPr>
          <w:lang w:val="de-CH"/>
        </w:rPr>
        <w:t>, P. H.</w:t>
      </w:r>
      <w:r w:rsidRPr="007D7085">
        <w:rPr>
          <w:lang w:val="de-CH"/>
        </w:rPr>
        <w:t xml:space="preserve"> (1996)</w:t>
      </w:r>
      <w:r w:rsidR="007D7085" w:rsidRPr="007D7085">
        <w:rPr>
          <w:lang w:val="de-CH"/>
        </w:rPr>
        <w:t>.</w:t>
      </w:r>
      <w:r w:rsidRPr="007D7085">
        <w:rPr>
          <w:lang w:val="de-CH"/>
        </w:rPr>
        <w:t xml:space="preserve"> </w:t>
      </w:r>
      <w:r>
        <w:rPr>
          <w:lang w:val="en-US"/>
        </w:rPr>
        <w:t xml:space="preserve">Bubbles in </w:t>
      </w:r>
      <w:r w:rsidR="007D7085">
        <w:rPr>
          <w:lang w:val="en-US"/>
        </w:rPr>
        <w:t>m</w:t>
      </w:r>
      <w:r>
        <w:rPr>
          <w:lang w:val="en-US"/>
        </w:rPr>
        <w:t xml:space="preserve">etropolitan </w:t>
      </w:r>
      <w:r w:rsidR="007D7085">
        <w:rPr>
          <w:lang w:val="en-US"/>
        </w:rPr>
        <w:t>h</w:t>
      </w:r>
      <w:r>
        <w:rPr>
          <w:lang w:val="en-US"/>
        </w:rPr>
        <w:t xml:space="preserve">ousing </w:t>
      </w:r>
      <w:r w:rsidR="007D7085">
        <w:rPr>
          <w:lang w:val="en-US"/>
        </w:rPr>
        <w:t>m</w:t>
      </w:r>
      <w:r>
        <w:rPr>
          <w:lang w:val="en-US"/>
        </w:rPr>
        <w:t>arkets</w:t>
      </w:r>
      <w:r w:rsidR="007D7085">
        <w:rPr>
          <w:lang w:val="en-US"/>
        </w:rPr>
        <w:t>.</w:t>
      </w:r>
      <w:r>
        <w:rPr>
          <w:lang w:val="en-US"/>
        </w:rPr>
        <w:t xml:space="preserve"> </w:t>
      </w:r>
      <w:r>
        <w:rPr>
          <w:i/>
          <w:lang w:val="en-US"/>
        </w:rPr>
        <w:t>Journal of Housing Research</w:t>
      </w:r>
      <w:r>
        <w:rPr>
          <w:lang w:val="en-US"/>
        </w:rPr>
        <w:t xml:space="preserve">, </w:t>
      </w:r>
      <w:r w:rsidRPr="007D7085">
        <w:rPr>
          <w:i/>
          <w:lang w:val="en-US"/>
        </w:rPr>
        <w:t>7</w:t>
      </w:r>
      <w:r w:rsidR="007D7085">
        <w:rPr>
          <w:lang w:val="en-US"/>
        </w:rPr>
        <w:t>(2)</w:t>
      </w:r>
      <w:r>
        <w:rPr>
          <w:lang w:val="en-US"/>
        </w:rPr>
        <w:t>, 191-207.</w:t>
      </w:r>
    </w:p>
    <w:p w:rsidR="00BE60B6" w:rsidRDefault="00BE60B6">
      <w:pPr>
        <w:spacing w:after="120"/>
        <w:jc w:val="both"/>
        <w:rPr>
          <w:lang w:val="en-US"/>
        </w:rPr>
      </w:pPr>
      <w:r w:rsidRPr="00BE13C3">
        <w:t>Ackert, L. F.</w:t>
      </w:r>
      <w:r w:rsidR="00BE13C3" w:rsidRPr="00BE13C3">
        <w:t>,</w:t>
      </w:r>
      <w:r w:rsidRPr="00BE13C3">
        <w:t xml:space="preserve"> </w:t>
      </w:r>
      <w:r w:rsidR="007D7085" w:rsidRPr="00BE13C3">
        <w:t>&amp;</w:t>
      </w:r>
      <w:r w:rsidRPr="00BE13C3">
        <w:t xml:space="preserve"> Hunter</w:t>
      </w:r>
      <w:r w:rsidR="007D7085" w:rsidRPr="00BE13C3">
        <w:t>, W. C.</w:t>
      </w:r>
      <w:r w:rsidRPr="00BE13C3">
        <w:t xml:space="preserve"> (1999)</w:t>
      </w:r>
      <w:r w:rsidR="007D7085" w:rsidRPr="00BE13C3">
        <w:t>.</w:t>
      </w:r>
      <w:r w:rsidRPr="00BE13C3">
        <w:t xml:space="preserve"> </w:t>
      </w:r>
      <w:r>
        <w:rPr>
          <w:lang w:val="en-US"/>
        </w:rPr>
        <w:t xml:space="preserve">Intrinsic </w:t>
      </w:r>
      <w:r w:rsidR="007D7085">
        <w:rPr>
          <w:lang w:val="en-US"/>
        </w:rPr>
        <w:t>b</w:t>
      </w:r>
      <w:r>
        <w:rPr>
          <w:lang w:val="en-US"/>
        </w:rPr>
        <w:t xml:space="preserve">ubbles: </w:t>
      </w:r>
      <w:r w:rsidR="007D7085">
        <w:rPr>
          <w:lang w:val="en-US"/>
        </w:rPr>
        <w:t>t</w:t>
      </w:r>
      <w:r>
        <w:rPr>
          <w:lang w:val="en-US"/>
        </w:rPr>
        <w:t xml:space="preserve">he </w:t>
      </w:r>
      <w:r w:rsidR="007D7085">
        <w:rPr>
          <w:lang w:val="en-US"/>
        </w:rPr>
        <w:t>c</w:t>
      </w:r>
      <w:r>
        <w:rPr>
          <w:lang w:val="en-US"/>
        </w:rPr>
        <w:t xml:space="preserve">ase </w:t>
      </w:r>
      <w:r w:rsidR="007D7085">
        <w:rPr>
          <w:lang w:val="en-US"/>
        </w:rPr>
        <w:t>f</w:t>
      </w:r>
      <w:r>
        <w:rPr>
          <w:lang w:val="en-US"/>
        </w:rPr>
        <w:t xml:space="preserve">or </w:t>
      </w:r>
      <w:r w:rsidR="007D7085">
        <w:rPr>
          <w:lang w:val="en-US"/>
        </w:rPr>
        <w:t>s</w:t>
      </w:r>
      <w:r>
        <w:rPr>
          <w:lang w:val="en-US"/>
        </w:rPr>
        <w:t xml:space="preserve">tock </w:t>
      </w:r>
      <w:r w:rsidR="007D7085">
        <w:rPr>
          <w:lang w:val="en-US"/>
        </w:rPr>
        <w:t>p</w:t>
      </w:r>
      <w:r>
        <w:rPr>
          <w:lang w:val="en-US"/>
        </w:rPr>
        <w:t xml:space="preserve">rices: </w:t>
      </w:r>
      <w:r w:rsidR="007D7085">
        <w:rPr>
          <w:lang w:val="en-US"/>
        </w:rPr>
        <w:t>c</w:t>
      </w:r>
      <w:r>
        <w:rPr>
          <w:lang w:val="en-US"/>
        </w:rPr>
        <w:t>omment</w:t>
      </w:r>
      <w:r w:rsidR="007D7085">
        <w:rPr>
          <w:lang w:val="en-US"/>
        </w:rPr>
        <w:t>.</w:t>
      </w:r>
      <w:r>
        <w:rPr>
          <w:lang w:val="en-US"/>
        </w:rPr>
        <w:t xml:space="preserve"> </w:t>
      </w:r>
      <w:r>
        <w:rPr>
          <w:i/>
          <w:lang w:val="en-US"/>
        </w:rPr>
        <w:t>American Economic Review</w:t>
      </w:r>
      <w:r>
        <w:rPr>
          <w:lang w:val="en-US"/>
        </w:rPr>
        <w:t xml:space="preserve">, </w:t>
      </w:r>
      <w:r w:rsidRPr="007D7085">
        <w:rPr>
          <w:i/>
          <w:lang w:val="en-US"/>
        </w:rPr>
        <w:t>89</w:t>
      </w:r>
      <w:r w:rsidR="007D7085">
        <w:rPr>
          <w:lang w:val="en-US"/>
        </w:rPr>
        <w:t>(5)</w:t>
      </w:r>
      <w:r>
        <w:rPr>
          <w:lang w:val="en-US"/>
        </w:rPr>
        <w:t>, 1372-1376.</w:t>
      </w:r>
    </w:p>
    <w:p w:rsidR="00BE60B6" w:rsidRDefault="00BE60B6">
      <w:pPr>
        <w:spacing w:after="120"/>
        <w:jc w:val="both"/>
        <w:rPr>
          <w:lang w:val="en-US"/>
        </w:rPr>
      </w:pPr>
      <w:r>
        <w:rPr>
          <w:lang w:val="en-US"/>
        </w:rPr>
        <w:t>Ayuso, J.</w:t>
      </w:r>
      <w:r w:rsidR="00BE13C3">
        <w:rPr>
          <w:lang w:val="en-US"/>
        </w:rPr>
        <w:t>,</w:t>
      </w:r>
      <w:r>
        <w:rPr>
          <w:lang w:val="en-US"/>
        </w:rPr>
        <w:t xml:space="preserve"> </w:t>
      </w:r>
      <w:r w:rsidR="007D7085">
        <w:rPr>
          <w:lang w:val="en-US"/>
        </w:rPr>
        <w:t>&amp;</w:t>
      </w:r>
      <w:r>
        <w:rPr>
          <w:lang w:val="en-US"/>
        </w:rPr>
        <w:t xml:space="preserve"> Restoy</w:t>
      </w:r>
      <w:r w:rsidR="007D7085">
        <w:rPr>
          <w:lang w:val="en-US"/>
        </w:rPr>
        <w:t>, F.</w:t>
      </w:r>
      <w:r>
        <w:rPr>
          <w:lang w:val="en-US"/>
        </w:rPr>
        <w:t xml:space="preserve"> (2003)</w:t>
      </w:r>
      <w:r w:rsidR="007D7085">
        <w:rPr>
          <w:lang w:val="en-US"/>
        </w:rPr>
        <w:t>.</w:t>
      </w:r>
      <w:r>
        <w:rPr>
          <w:lang w:val="en-US"/>
        </w:rPr>
        <w:t xml:space="preserve"> House </w:t>
      </w:r>
      <w:r w:rsidR="007D7085">
        <w:rPr>
          <w:lang w:val="en-US"/>
        </w:rPr>
        <w:t>p</w:t>
      </w:r>
      <w:r>
        <w:rPr>
          <w:lang w:val="en-US"/>
        </w:rPr>
        <w:t xml:space="preserve">rices and </w:t>
      </w:r>
      <w:r w:rsidR="007D7085">
        <w:rPr>
          <w:lang w:val="en-US"/>
        </w:rPr>
        <w:t>r</w:t>
      </w:r>
      <w:r>
        <w:rPr>
          <w:lang w:val="en-US"/>
        </w:rPr>
        <w:t xml:space="preserve">ents: </w:t>
      </w:r>
      <w:r w:rsidR="007D7085">
        <w:rPr>
          <w:lang w:val="en-US"/>
        </w:rPr>
        <w:t>a</w:t>
      </w:r>
      <w:r>
        <w:rPr>
          <w:lang w:val="en-US"/>
        </w:rPr>
        <w:t xml:space="preserve">n </w:t>
      </w:r>
      <w:r w:rsidR="007D7085">
        <w:rPr>
          <w:lang w:val="en-US"/>
        </w:rPr>
        <w:t>e</w:t>
      </w:r>
      <w:r>
        <w:rPr>
          <w:lang w:val="en-US"/>
        </w:rPr>
        <w:t xml:space="preserve">quilibrium </w:t>
      </w:r>
      <w:r w:rsidR="007D7085">
        <w:rPr>
          <w:lang w:val="en-US"/>
        </w:rPr>
        <w:t>a</w:t>
      </w:r>
      <w:r>
        <w:rPr>
          <w:lang w:val="en-US"/>
        </w:rPr>
        <w:t xml:space="preserve">sset </w:t>
      </w:r>
      <w:r w:rsidR="007D7085">
        <w:rPr>
          <w:lang w:val="en-US"/>
        </w:rPr>
        <w:t>p</w:t>
      </w:r>
      <w:r>
        <w:rPr>
          <w:lang w:val="en-US"/>
        </w:rPr>
        <w:t xml:space="preserve">ricing </w:t>
      </w:r>
      <w:r w:rsidR="007D7085">
        <w:rPr>
          <w:lang w:val="en-US"/>
        </w:rPr>
        <w:t>a</w:t>
      </w:r>
      <w:r>
        <w:rPr>
          <w:lang w:val="en-US"/>
        </w:rPr>
        <w:t>pproach</w:t>
      </w:r>
      <w:r w:rsidR="007D7085">
        <w:rPr>
          <w:lang w:val="en-US"/>
        </w:rPr>
        <w:t>.</w:t>
      </w:r>
      <w:r>
        <w:rPr>
          <w:lang w:val="en-US"/>
        </w:rPr>
        <w:t xml:space="preserve"> Working </w:t>
      </w:r>
      <w:r w:rsidR="00D32CE7">
        <w:rPr>
          <w:lang w:val="en-US"/>
        </w:rPr>
        <w:t>p</w:t>
      </w:r>
      <w:r>
        <w:rPr>
          <w:lang w:val="en-US"/>
        </w:rPr>
        <w:t xml:space="preserve">aper 0304, </w:t>
      </w:r>
      <w:smartTag w:uri="urn:schemas-microsoft-com:office:smarttags" w:element="State">
        <w:r>
          <w:rPr>
            <w:lang w:val="en-US"/>
          </w:rPr>
          <w:t>Madrid</w:t>
        </w:r>
      </w:smartTag>
      <w:r w:rsidR="00A8648C">
        <w:rPr>
          <w:lang w:val="en-US"/>
        </w:rPr>
        <w:t xml:space="preserve"> (</w:t>
      </w:r>
      <w:smartTag w:uri="urn:schemas-microsoft-com:office:smarttags" w:element="place">
        <w:smartTag w:uri="urn:schemas-microsoft-com:office:smarttags" w:element="country-region">
          <w:r w:rsidR="00A8648C">
            <w:rPr>
              <w:lang w:val="en-US"/>
            </w:rPr>
            <w:t>Spain</w:t>
          </w:r>
        </w:smartTag>
      </w:smartTag>
      <w:r w:rsidR="00A8648C">
        <w:rPr>
          <w:lang w:val="en-US"/>
        </w:rPr>
        <w:t>)</w:t>
      </w:r>
      <w:r>
        <w:rPr>
          <w:lang w:val="en-US"/>
        </w:rPr>
        <w:t>: Bank of Spain.</w:t>
      </w:r>
    </w:p>
    <w:p w:rsidR="00BE60B6" w:rsidRDefault="00BE60B6">
      <w:pPr>
        <w:spacing w:after="120"/>
        <w:jc w:val="both"/>
        <w:rPr>
          <w:lang w:val="en-US"/>
        </w:rPr>
      </w:pPr>
      <w:r>
        <w:rPr>
          <w:lang w:val="en-US"/>
        </w:rPr>
        <w:t>Balmer, D. (2004)</w:t>
      </w:r>
      <w:r w:rsidR="007D7085">
        <w:rPr>
          <w:lang w:val="en-US"/>
        </w:rPr>
        <w:t>.</w:t>
      </w:r>
      <w:r>
        <w:rPr>
          <w:lang w:val="en-US"/>
        </w:rPr>
        <w:t xml:space="preserve"> </w:t>
      </w:r>
      <w:r>
        <w:rPr>
          <w:i/>
          <w:lang w:val="en-US"/>
        </w:rPr>
        <w:t xml:space="preserve">The </w:t>
      </w:r>
      <w:r w:rsidR="002A4787">
        <w:rPr>
          <w:i/>
          <w:lang w:val="en-US"/>
        </w:rPr>
        <w:t>t</w:t>
      </w:r>
      <w:r>
        <w:rPr>
          <w:i/>
          <w:lang w:val="en-US"/>
        </w:rPr>
        <w:t xml:space="preserve">ruth about </w:t>
      </w:r>
      <w:r w:rsidR="002A4787">
        <w:rPr>
          <w:i/>
          <w:lang w:val="en-US"/>
        </w:rPr>
        <w:t>r</w:t>
      </w:r>
      <w:r>
        <w:rPr>
          <w:i/>
          <w:lang w:val="en-US"/>
        </w:rPr>
        <w:t xml:space="preserve">esidential </w:t>
      </w:r>
      <w:r w:rsidR="002A4787">
        <w:rPr>
          <w:i/>
          <w:lang w:val="en-US"/>
        </w:rPr>
        <w:t>p</w:t>
      </w:r>
      <w:r>
        <w:rPr>
          <w:i/>
          <w:lang w:val="en-US"/>
        </w:rPr>
        <w:t xml:space="preserve">roperty </w:t>
      </w:r>
      <w:r w:rsidR="002A4787">
        <w:rPr>
          <w:i/>
          <w:lang w:val="en-US"/>
        </w:rPr>
        <w:t>i</w:t>
      </w:r>
      <w:r>
        <w:rPr>
          <w:i/>
          <w:lang w:val="en-US"/>
        </w:rPr>
        <w:t>nvestment</w:t>
      </w:r>
      <w:r>
        <w:rPr>
          <w:lang w:val="en-US"/>
        </w:rPr>
        <w:t xml:space="preserve">, </w:t>
      </w:r>
      <w:smartTag w:uri="urn:schemas-microsoft-com:office:smarttags" w:element="City">
        <w:r w:rsidR="00D32CE7">
          <w:rPr>
            <w:lang w:val="en-US"/>
          </w:rPr>
          <w:t>Auckland</w:t>
        </w:r>
      </w:smartTag>
      <w:r w:rsidR="00D32CE7">
        <w:rPr>
          <w:lang w:val="en-US"/>
        </w:rPr>
        <w:t xml:space="preserve"> (</w:t>
      </w:r>
      <w:smartTag w:uri="urn:schemas-microsoft-com:office:smarttags" w:element="place">
        <w:smartTag w:uri="urn:schemas-microsoft-com:office:smarttags" w:element="country-region">
          <w:r>
            <w:rPr>
              <w:lang w:val="en-US"/>
            </w:rPr>
            <w:t>New Zealand</w:t>
          </w:r>
        </w:smartTag>
      </w:smartTag>
      <w:r w:rsidR="00D32CE7">
        <w:rPr>
          <w:lang w:val="en-US"/>
        </w:rPr>
        <w:t>):</w:t>
      </w:r>
      <w:r>
        <w:rPr>
          <w:lang w:val="en-US"/>
        </w:rPr>
        <w:t xml:space="preserve"> Reed Publishing.</w:t>
      </w:r>
    </w:p>
    <w:p w:rsidR="00BE60B6" w:rsidRDefault="00BE60B6">
      <w:pPr>
        <w:spacing w:after="120"/>
        <w:jc w:val="both"/>
        <w:rPr>
          <w:lang w:val="en-US"/>
        </w:rPr>
      </w:pPr>
      <w:r>
        <w:rPr>
          <w:lang w:val="en-US"/>
        </w:rPr>
        <w:t>Barberis, N., Shleifer</w:t>
      </w:r>
      <w:r w:rsidR="002A4787">
        <w:rPr>
          <w:lang w:val="en-US"/>
        </w:rPr>
        <w:t>, A.</w:t>
      </w:r>
      <w:r w:rsidR="00BE13C3">
        <w:rPr>
          <w:lang w:val="en-US"/>
        </w:rPr>
        <w:t>,</w:t>
      </w:r>
      <w:r>
        <w:rPr>
          <w:lang w:val="en-US"/>
        </w:rPr>
        <w:t xml:space="preserve"> </w:t>
      </w:r>
      <w:r w:rsidR="002A4787">
        <w:rPr>
          <w:lang w:val="en-US"/>
        </w:rPr>
        <w:t xml:space="preserve">&amp; </w:t>
      </w:r>
      <w:r>
        <w:rPr>
          <w:lang w:val="en-US"/>
        </w:rPr>
        <w:t>Vishny</w:t>
      </w:r>
      <w:r w:rsidR="002A4787">
        <w:rPr>
          <w:lang w:val="en-US"/>
        </w:rPr>
        <w:t>, R.</w:t>
      </w:r>
      <w:r>
        <w:rPr>
          <w:lang w:val="en-US"/>
        </w:rPr>
        <w:t xml:space="preserve"> (1998)</w:t>
      </w:r>
      <w:r w:rsidR="002A4787">
        <w:rPr>
          <w:lang w:val="en-US"/>
        </w:rPr>
        <w:t>.</w:t>
      </w:r>
      <w:r>
        <w:rPr>
          <w:lang w:val="en-US"/>
        </w:rPr>
        <w:t xml:space="preserve"> A </w:t>
      </w:r>
      <w:r w:rsidR="002A4787">
        <w:rPr>
          <w:lang w:val="en-US"/>
        </w:rPr>
        <w:t>m</w:t>
      </w:r>
      <w:r>
        <w:rPr>
          <w:lang w:val="en-US"/>
        </w:rPr>
        <w:t xml:space="preserve">odel of </w:t>
      </w:r>
      <w:r w:rsidR="002A4787">
        <w:rPr>
          <w:lang w:val="en-US"/>
        </w:rPr>
        <w:t>i</w:t>
      </w:r>
      <w:r>
        <w:rPr>
          <w:lang w:val="en-US"/>
        </w:rPr>
        <w:t xml:space="preserve">nvestor </w:t>
      </w:r>
      <w:r w:rsidR="002A4787">
        <w:rPr>
          <w:lang w:val="en-US"/>
        </w:rPr>
        <w:t>s</w:t>
      </w:r>
      <w:r>
        <w:rPr>
          <w:lang w:val="en-US"/>
        </w:rPr>
        <w:t>entiment</w:t>
      </w:r>
      <w:r w:rsidR="002A4787">
        <w:rPr>
          <w:lang w:val="en-US"/>
        </w:rPr>
        <w:t>.</w:t>
      </w:r>
      <w:r>
        <w:rPr>
          <w:lang w:val="en-US"/>
        </w:rPr>
        <w:t xml:space="preserve"> </w:t>
      </w:r>
      <w:r>
        <w:rPr>
          <w:i/>
          <w:lang w:val="en-US"/>
        </w:rPr>
        <w:t>Journal of Financial Economics</w:t>
      </w:r>
      <w:r>
        <w:rPr>
          <w:lang w:val="en-US"/>
        </w:rPr>
        <w:t xml:space="preserve">, </w:t>
      </w:r>
      <w:r w:rsidRPr="002A4787">
        <w:rPr>
          <w:i/>
          <w:lang w:val="en-US"/>
        </w:rPr>
        <w:t>49</w:t>
      </w:r>
      <w:r w:rsidR="002A4787">
        <w:rPr>
          <w:lang w:val="en-US"/>
        </w:rPr>
        <w:t>(3)</w:t>
      </w:r>
      <w:r>
        <w:rPr>
          <w:lang w:val="en-US"/>
        </w:rPr>
        <w:t>, 307-343.</w:t>
      </w:r>
    </w:p>
    <w:p w:rsidR="00BE60B6" w:rsidRDefault="00BE60B6">
      <w:pPr>
        <w:spacing w:after="120"/>
        <w:jc w:val="both"/>
        <w:rPr>
          <w:lang w:val="en-US"/>
        </w:rPr>
      </w:pPr>
      <w:r>
        <w:rPr>
          <w:lang w:val="en-US"/>
        </w:rPr>
        <w:t>Benjamin, J. D., Chinloy</w:t>
      </w:r>
      <w:r w:rsidR="00A8648C">
        <w:rPr>
          <w:lang w:val="en-US"/>
        </w:rPr>
        <w:t>, P.</w:t>
      </w:r>
      <w:r w:rsidR="00BE13C3">
        <w:rPr>
          <w:lang w:val="en-US"/>
        </w:rPr>
        <w:t>,</w:t>
      </w:r>
      <w:r>
        <w:rPr>
          <w:lang w:val="en-US"/>
        </w:rPr>
        <w:t xml:space="preserve"> </w:t>
      </w:r>
      <w:r w:rsidR="00A8648C">
        <w:rPr>
          <w:lang w:val="en-US"/>
        </w:rPr>
        <w:t xml:space="preserve">&amp; </w:t>
      </w:r>
      <w:r>
        <w:rPr>
          <w:lang w:val="en-US"/>
        </w:rPr>
        <w:t>Jud</w:t>
      </w:r>
      <w:r w:rsidR="00A8648C">
        <w:rPr>
          <w:lang w:val="en-US"/>
        </w:rPr>
        <w:t>,</w:t>
      </w:r>
      <w:r>
        <w:rPr>
          <w:lang w:val="en-US"/>
        </w:rPr>
        <w:t xml:space="preserve"> </w:t>
      </w:r>
      <w:r w:rsidR="00A8648C">
        <w:rPr>
          <w:lang w:val="en-US"/>
        </w:rPr>
        <w:t xml:space="preserve">G. D. </w:t>
      </w:r>
      <w:r>
        <w:rPr>
          <w:lang w:val="en-US"/>
        </w:rPr>
        <w:t>(2004)</w:t>
      </w:r>
      <w:r w:rsidR="00A8648C">
        <w:rPr>
          <w:lang w:val="en-US"/>
        </w:rPr>
        <w:t>.</w:t>
      </w:r>
      <w:r>
        <w:rPr>
          <w:lang w:val="en-US"/>
        </w:rPr>
        <w:t xml:space="preserve"> Real </w:t>
      </w:r>
      <w:r w:rsidR="00A8648C">
        <w:rPr>
          <w:lang w:val="en-US"/>
        </w:rPr>
        <w:t>e</w:t>
      </w:r>
      <w:r>
        <w:rPr>
          <w:lang w:val="en-US"/>
        </w:rPr>
        <w:t xml:space="preserve">state versus </w:t>
      </w:r>
      <w:r w:rsidR="00A8648C">
        <w:rPr>
          <w:lang w:val="en-US"/>
        </w:rPr>
        <w:t>f</w:t>
      </w:r>
      <w:r>
        <w:rPr>
          <w:lang w:val="en-US"/>
        </w:rPr>
        <w:t xml:space="preserve">inancial </w:t>
      </w:r>
      <w:r w:rsidR="00A8648C">
        <w:rPr>
          <w:lang w:val="en-US"/>
        </w:rPr>
        <w:t>w</w:t>
      </w:r>
      <w:r>
        <w:rPr>
          <w:lang w:val="en-US"/>
        </w:rPr>
        <w:t xml:space="preserve">ealth in </w:t>
      </w:r>
      <w:r w:rsidR="00A8648C">
        <w:rPr>
          <w:lang w:val="en-US"/>
        </w:rPr>
        <w:t>c</w:t>
      </w:r>
      <w:r>
        <w:rPr>
          <w:lang w:val="en-US"/>
        </w:rPr>
        <w:t>onsumption</w:t>
      </w:r>
      <w:r w:rsidR="00A8648C">
        <w:rPr>
          <w:lang w:val="en-US"/>
        </w:rPr>
        <w:t>.</w:t>
      </w:r>
      <w:r>
        <w:rPr>
          <w:lang w:val="en-US"/>
        </w:rPr>
        <w:t xml:space="preserve"> </w:t>
      </w:r>
      <w:r>
        <w:rPr>
          <w:i/>
          <w:lang w:val="en-US"/>
        </w:rPr>
        <w:t>Journal of Real Estate Finance and Economics</w:t>
      </w:r>
      <w:r>
        <w:rPr>
          <w:lang w:val="en-US"/>
        </w:rPr>
        <w:t xml:space="preserve">, </w:t>
      </w:r>
      <w:r w:rsidRPr="00A8648C">
        <w:rPr>
          <w:i/>
          <w:lang w:val="en-US"/>
        </w:rPr>
        <w:t>29</w:t>
      </w:r>
      <w:r w:rsidR="00A8648C">
        <w:rPr>
          <w:lang w:val="en-US"/>
        </w:rPr>
        <w:t>(3)</w:t>
      </w:r>
      <w:r>
        <w:rPr>
          <w:lang w:val="en-US"/>
        </w:rPr>
        <w:t>, 341-354.</w:t>
      </w:r>
    </w:p>
    <w:p w:rsidR="00BE60B6" w:rsidRDefault="00BE60B6">
      <w:pPr>
        <w:spacing w:after="120"/>
        <w:jc w:val="both"/>
        <w:rPr>
          <w:lang w:val="en-US"/>
        </w:rPr>
      </w:pPr>
      <w:r>
        <w:rPr>
          <w:lang w:val="en-US"/>
        </w:rPr>
        <w:t>Black, A., Fraser</w:t>
      </w:r>
      <w:r w:rsidR="00A8648C">
        <w:rPr>
          <w:lang w:val="en-US"/>
        </w:rPr>
        <w:t>, P.</w:t>
      </w:r>
      <w:r w:rsidR="00BE13C3">
        <w:rPr>
          <w:lang w:val="en-US"/>
        </w:rPr>
        <w:t>,</w:t>
      </w:r>
      <w:r>
        <w:rPr>
          <w:lang w:val="en-US"/>
        </w:rPr>
        <w:t xml:space="preserve"> </w:t>
      </w:r>
      <w:r w:rsidR="00A8648C">
        <w:rPr>
          <w:lang w:val="en-US"/>
        </w:rPr>
        <w:t xml:space="preserve">&amp; </w:t>
      </w:r>
      <w:r>
        <w:rPr>
          <w:lang w:val="en-US"/>
        </w:rPr>
        <w:t>Groenewold</w:t>
      </w:r>
      <w:r w:rsidR="00A8648C">
        <w:rPr>
          <w:lang w:val="en-US"/>
        </w:rPr>
        <w:t>, N.</w:t>
      </w:r>
      <w:r>
        <w:rPr>
          <w:lang w:val="en-US"/>
        </w:rPr>
        <w:t xml:space="preserve"> (2003a)</w:t>
      </w:r>
      <w:r w:rsidR="00A8648C">
        <w:rPr>
          <w:lang w:val="en-US"/>
        </w:rPr>
        <w:t>.</w:t>
      </w:r>
      <w:r>
        <w:rPr>
          <w:lang w:val="en-US"/>
        </w:rPr>
        <w:t xml:space="preserve"> How </w:t>
      </w:r>
      <w:r w:rsidR="00A8648C">
        <w:rPr>
          <w:lang w:val="en-US"/>
        </w:rPr>
        <w:t>b</w:t>
      </w:r>
      <w:r>
        <w:rPr>
          <w:lang w:val="en-US"/>
        </w:rPr>
        <w:t xml:space="preserve">ig is the </w:t>
      </w:r>
      <w:r w:rsidR="00A8648C">
        <w:rPr>
          <w:lang w:val="en-US"/>
        </w:rPr>
        <w:t>s</w:t>
      </w:r>
      <w:r>
        <w:rPr>
          <w:lang w:val="en-US"/>
        </w:rPr>
        <w:t xml:space="preserve">peculative </w:t>
      </w:r>
      <w:r w:rsidR="00A8648C">
        <w:rPr>
          <w:lang w:val="en-US"/>
        </w:rPr>
        <w:t>c</w:t>
      </w:r>
      <w:r>
        <w:rPr>
          <w:lang w:val="en-US"/>
        </w:rPr>
        <w:t xml:space="preserve">omponent in Australian </w:t>
      </w:r>
      <w:r w:rsidR="00A8648C">
        <w:rPr>
          <w:lang w:val="en-US"/>
        </w:rPr>
        <w:t>s</w:t>
      </w:r>
      <w:r>
        <w:rPr>
          <w:lang w:val="en-US"/>
        </w:rPr>
        <w:t xml:space="preserve">hare </w:t>
      </w:r>
      <w:r w:rsidR="00A8648C">
        <w:rPr>
          <w:lang w:val="en-US"/>
        </w:rPr>
        <w:t>p</w:t>
      </w:r>
      <w:r>
        <w:rPr>
          <w:lang w:val="en-US"/>
        </w:rPr>
        <w:t xml:space="preserve">rices? </w:t>
      </w:r>
      <w:r>
        <w:rPr>
          <w:i/>
          <w:lang w:val="en-US"/>
        </w:rPr>
        <w:t>Journal of Economics and Business</w:t>
      </w:r>
      <w:r>
        <w:rPr>
          <w:lang w:val="en-US"/>
        </w:rPr>
        <w:t xml:space="preserve">, </w:t>
      </w:r>
      <w:r w:rsidRPr="00A8648C">
        <w:rPr>
          <w:i/>
          <w:lang w:val="en-US"/>
        </w:rPr>
        <w:t>55</w:t>
      </w:r>
      <w:r w:rsidR="00A8648C">
        <w:rPr>
          <w:lang w:val="en-US"/>
        </w:rPr>
        <w:t>(2)</w:t>
      </w:r>
      <w:r>
        <w:rPr>
          <w:lang w:val="en-US"/>
        </w:rPr>
        <w:t>, 177-195.</w:t>
      </w:r>
    </w:p>
    <w:p w:rsidR="00BE60B6" w:rsidRDefault="00BE60B6">
      <w:pPr>
        <w:spacing w:after="120"/>
        <w:jc w:val="both"/>
        <w:rPr>
          <w:lang w:val="en-US"/>
        </w:rPr>
      </w:pPr>
      <w:r>
        <w:rPr>
          <w:lang w:val="en-US"/>
        </w:rPr>
        <w:t>Black, A., Fraser</w:t>
      </w:r>
      <w:r w:rsidR="00A8648C">
        <w:rPr>
          <w:lang w:val="en-US"/>
        </w:rPr>
        <w:t>, P.</w:t>
      </w:r>
      <w:r w:rsidR="00BE13C3">
        <w:rPr>
          <w:lang w:val="en-US"/>
        </w:rPr>
        <w:t>,</w:t>
      </w:r>
      <w:r>
        <w:rPr>
          <w:lang w:val="en-US"/>
        </w:rPr>
        <w:t xml:space="preserve"> </w:t>
      </w:r>
      <w:r w:rsidR="00A8648C">
        <w:rPr>
          <w:lang w:val="en-US"/>
        </w:rPr>
        <w:t>&amp;</w:t>
      </w:r>
      <w:r>
        <w:rPr>
          <w:lang w:val="en-US"/>
        </w:rPr>
        <w:t xml:space="preserve"> Groenewold</w:t>
      </w:r>
      <w:r w:rsidR="00A8648C">
        <w:rPr>
          <w:lang w:val="en-US"/>
        </w:rPr>
        <w:t>, N.</w:t>
      </w:r>
      <w:r>
        <w:rPr>
          <w:lang w:val="en-US"/>
        </w:rPr>
        <w:t xml:space="preserve"> (2003b)</w:t>
      </w:r>
      <w:r w:rsidR="00A8648C">
        <w:rPr>
          <w:lang w:val="en-US"/>
        </w:rPr>
        <w:t>.</w:t>
      </w:r>
      <w:r>
        <w:rPr>
          <w:lang w:val="en-US"/>
        </w:rPr>
        <w:t xml:space="preserve"> </w:t>
      </w:r>
      <w:smartTag w:uri="urn:schemas-microsoft-com:office:smarttags" w:element="place">
        <w:smartTag w:uri="urn:schemas-microsoft-com:office:smarttags" w:element="country-region">
          <w:r>
            <w:rPr>
              <w:lang w:val="en-US"/>
            </w:rPr>
            <w:t>U.S.</w:t>
          </w:r>
        </w:smartTag>
      </w:smartTag>
      <w:r>
        <w:rPr>
          <w:lang w:val="en-US"/>
        </w:rPr>
        <w:t xml:space="preserve"> </w:t>
      </w:r>
      <w:r w:rsidR="00A8648C">
        <w:rPr>
          <w:lang w:val="en-US"/>
        </w:rPr>
        <w:t>s</w:t>
      </w:r>
      <w:r>
        <w:rPr>
          <w:lang w:val="en-US"/>
        </w:rPr>
        <w:t xml:space="preserve">tock </w:t>
      </w:r>
      <w:r w:rsidR="00A8648C">
        <w:rPr>
          <w:lang w:val="en-US"/>
        </w:rPr>
        <w:t>p</w:t>
      </w:r>
      <w:r>
        <w:rPr>
          <w:lang w:val="en-US"/>
        </w:rPr>
        <w:t xml:space="preserve">rices and </w:t>
      </w:r>
      <w:r w:rsidR="00A8648C">
        <w:rPr>
          <w:lang w:val="en-US"/>
        </w:rPr>
        <w:t>f</w:t>
      </w:r>
      <w:r>
        <w:rPr>
          <w:lang w:val="en-US"/>
        </w:rPr>
        <w:t>undamentals</w:t>
      </w:r>
      <w:r w:rsidR="00A8648C">
        <w:rPr>
          <w:lang w:val="en-US"/>
        </w:rPr>
        <w:t>.</w:t>
      </w:r>
      <w:r>
        <w:rPr>
          <w:lang w:val="en-US"/>
        </w:rPr>
        <w:t xml:space="preserve"> </w:t>
      </w:r>
      <w:r>
        <w:rPr>
          <w:i/>
          <w:lang w:val="en-US"/>
        </w:rPr>
        <w:t>International Review of Economics and Finance</w:t>
      </w:r>
      <w:r>
        <w:rPr>
          <w:lang w:val="en-US"/>
        </w:rPr>
        <w:t xml:space="preserve">, </w:t>
      </w:r>
      <w:r w:rsidRPr="00A8648C">
        <w:rPr>
          <w:i/>
          <w:lang w:val="en-US"/>
        </w:rPr>
        <w:t>12</w:t>
      </w:r>
      <w:r w:rsidR="00A8648C">
        <w:rPr>
          <w:lang w:val="en-US"/>
        </w:rPr>
        <w:t>(3)</w:t>
      </w:r>
      <w:r>
        <w:rPr>
          <w:lang w:val="en-US"/>
        </w:rPr>
        <w:t>, 1-23.</w:t>
      </w:r>
    </w:p>
    <w:p w:rsidR="00BE60B6" w:rsidRDefault="00BE60B6">
      <w:pPr>
        <w:spacing w:after="120"/>
        <w:jc w:val="both"/>
        <w:rPr>
          <w:lang w:val="en-US"/>
        </w:rPr>
      </w:pPr>
      <w:r>
        <w:rPr>
          <w:lang w:val="en-US"/>
        </w:rPr>
        <w:t>Black, A., Fraser</w:t>
      </w:r>
      <w:r w:rsidR="00A8648C">
        <w:rPr>
          <w:lang w:val="en-US"/>
        </w:rPr>
        <w:t>, P.</w:t>
      </w:r>
      <w:r w:rsidR="00BE13C3">
        <w:rPr>
          <w:lang w:val="en-US"/>
        </w:rPr>
        <w:t>,</w:t>
      </w:r>
      <w:r>
        <w:rPr>
          <w:lang w:val="en-US"/>
        </w:rPr>
        <w:t xml:space="preserve"> </w:t>
      </w:r>
      <w:r w:rsidR="00A8648C">
        <w:rPr>
          <w:lang w:val="en-US"/>
        </w:rPr>
        <w:t xml:space="preserve">&amp; </w:t>
      </w:r>
      <w:r>
        <w:rPr>
          <w:lang w:val="en-US"/>
        </w:rPr>
        <w:t>Hoesli</w:t>
      </w:r>
      <w:r w:rsidR="00A8648C">
        <w:rPr>
          <w:lang w:val="en-US"/>
        </w:rPr>
        <w:t>, M.</w:t>
      </w:r>
      <w:r>
        <w:rPr>
          <w:lang w:val="en-US"/>
        </w:rPr>
        <w:t xml:space="preserve"> (2007)</w:t>
      </w:r>
      <w:r w:rsidR="00A8648C">
        <w:rPr>
          <w:lang w:val="en-US"/>
        </w:rPr>
        <w:t>.</w:t>
      </w:r>
      <w:r>
        <w:rPr>
          <w:lang w:val="en-US"/>
        </w:rPr>
        <w:t xml:space="preserve"> House </w:t>
      </w:r>
      <w:r w:rsidR="00A8648C">
        <w:rPr>
          <w:lang w:val="en-US"/>
        </w:rPr>
        <w:t>p</w:t>
      </w:r>
      <w:r>
        <w:rPr>
          <w:lang w:val="en-US"/>
        </w:rPr>
        <w:t xml:space="preserve">rices, </w:t>
      </w:r>
      <w:r w:rsidR="00A8648C">
        <w:rPr>
          <w:lang w:val="en-US"/>
        </w:rPr>
        <w:t>f</w:t>
      </w:r>
      <w:r>
        <w:rPr>
          <w:lang w:val="en-US"/>
        </w:rPr>
        <w:t xml:space="preserve">undamentals and </w:t>
      </w:r>
      <w:r w:rsidR="00A8648C">
        <w:rPr>
          <w:lang w:val="en-US"/>
        </w:rPr>
        <w:t>b</w:t>
      </w:r>
      <w:r>
        <w:rPr>
          <w:lang w:val="en-US"/>
        </w:rPr>
        <w:t>ubbles</w:t>
      </w:r>
      <w:r w:rsidR="00A8648C">
        <w:rPr>
          <w:lang w:val="en-US"/>
        </w:rPr>
        <w:t>.</w:t>
      </w:r>
      <w:r>
        <w:rPr>
          <w:lang w:val="en-US"/>
        </w:rPr>
        <w:t xml:space="preserve"> forthcoming </w:t>
      </w:r>
      <w:r>
        <w:rPr>
          <w:i/>
          <w:lang w:val="en-US"/>
        </w:rPr>
        <w:t>Journal of Business Finance and Accounting</w:t>
      </w:r>
      <w:r>
        <w:rPr>
          <w:lang w:val="en-US"/>
        </w:rPr>
        <w:t>.</w:t>
      </w:r>
    </w:p>
    <w:p w:rsidR="00BE60B6" w:rsidRDefault="00BE60B6">
      <w:pPr>
        <w:spacing w:after="120"/>
        <w:jc w:val="both"/>
        <w:rPr>
          <w:lang w:val="en-US"/>
        </w:rPr>
      </w:pPr>
      <w:r>
        <w:rPr>
          <w:lang w:val="en-US"/>
        </w:rPr>
        <w:t>Bollard, A., Lattimore</w:t>
      </w:r>
      <w:r w:rsidR="00A8648C">
        <w:rPr>
          <w:lang w:val="en-US"/>
        </w:rPr>
        <w:t>, R.</w:t>
      </w:r>
      <w:r w:rsidR="00BE13C3">
        <w:rPr>
          <w:lang w:val="en-US"/>
        </w:rPr>
        <w:t>,</w:t>
      </w:r>
      <w:r>
        <w:rPr>
          <w:lang w:val="en-US"/>
        </w:rPr>
        <w:t xml:space="preserve"> </w:t>
      </w:r>
      <w:r w:rsidR="00A8648C">
        <w:rPr>
          <w:lang w:val="en-US"/>
        </w:rPr>
        <w:t xml:space="preserve">&amp; </w:t>
      </w:r>
      <w:r>
        <w:rPr>
          <w:lang w:val="en-US"/>
        </w:rPr>
        <w:t>Silverstone</w:t>
      </w:r>
      <w:r w:rsidR="00A8648C">
        <w:rPr>
          <w:lang w:val="en-US"/>
        </w:rPr>
        <w:t>, B.</w:t>
      </w:r>
      <w:r>
        <w:rPr>
          <w:lang w:val="en-US"/>
        </w:rPr>
        <w:t xml:space="preserve"> (1996)</w:t>
      </w:r>
      <w:r w:rsidR="00A8648C">
        <w:rPr>
          <w:lang w:val="en-US"/>
        </w:rPr>
        <w:t>.</w:t>
      </w:r>
      <w:r>
        <w:rPr>
          <w:lang w:val="en-US"/>
        </w:rPr>
        <w:t xml:space="preserve"> Introduction</w:t>
      </w:r>
      <w:r w:rsidR="00224DD6">
        <w:rPr>
          <w:lang w:val="en-US"/>
        </w:rPr>
        <w:t>.</w:t>
      </w:r>
      <w:r>
        <w:rPr>
          <w:lang w:val="en-US"/>
        </w:rPr>
        <w:t xml:space="preserve"> </w:t>
      </w:r>
      <w:r w:rsidR="00224DD6">
        <w:rPr>
          <w:lang w:val="en-US"/>
        </w:rPr>
        <w:t>I</w:t>
      </w:r>
      <w:r>
        <w:rPr>
          <w:lang w:val="en-US"/>
        </w:rPr>
        <w:t>n</w:t>
      </w:r>
      <w:r w:rsidR="00D32CE7" w:rsidRPr="00D32CE7">
        <w:rPr>
          <w:lang w:val="en-US"/>
        </w:rPr>
        <w:t xml:space="preserve"> </w:t>
      </w:r>
      <w:r w:rsidR="00D32CE7">
        <w:rPr>
          <w:lang w:val="en-US"/>
        </w:rPr>
        <w:t>B. Silverstone, A. Bollard, &amp; R. Lattimore (Eds.),</w:t>
      </w:r>
      <w:r>
        <w:rPr>
          <w:lang w:val="en-US"/>
        </w:rPr>
        <w:t xml:space="preserve"> </w:t>
      </w:r>
      <w:r>
        <w:rPr>
          <w:i/>
          <w:lang w:val="en-US"/>
        </w:rPr>
        <w:t xml:space="preserve">A </w:t>
      </w:r>
      <w:r w:rsidR="00A8648C">
        <w:rPr>
          <w:i/>
          <w:lang w:val="en-US"/>
        </w:rPr>
        <w:t>s</w:t>
      </w:r>
      <w:r>
        <w:rPr>
          <w:i/>
          <w:lang w:val="en-US"/>
        </w:rPr>
        <w:t xml:space="preserve">tudy of </w:t>
      </w:r>
      <w:r w:rsidR="00A8648C">
        <w:rPr>
          <w:i/>
          <w:lang w:val="en-US"/>
        </w:rPr>
        <w:t>e</w:t>
      </w:r>
      <w:r>
        <w:rPr>
          <w:i/>
          <w:lang w:val="en-US"/>
        </w:rPr>
        <w:t xml:space="preserve">conomic </w:t>
      </w:r>
      <w:r w:rsidR="00A8648C">
        <w:rPr>
          <w:i/>
          <w:lang w:val="en-US"/>
        </w:rPr>
        <w:t>r</w:t>
      </w:r>
      <w:r>
        <w:rPr>
          <w:i/>
          <w:lang w:val="en-US"/>
        </w:rPr>
        <w:t xml:space="preserve">eform: </w:t>
      </w:r>
      <w:r w:rsidR="00A8648C">
        <w:rPr>
          <w:i/>
          <w:lang w:val="en-US"/>
        </w:rPr>
        <w:t>t</w:t>
      </w:r>
      <w:r>
        <w:rPr>
          <w:i/>
          <w:lang w:val="en-US"/>
        </w:rPr>
        <w:t xml:space="preserve">he </w:t>
      </w:r>
      <w:r w:rsidR="00A8648C">
        <w:rPr>
          <w:i/>
          <w:lang w:val="en-US"/>
        </w:rPr>
        <w:t>c</w:t>
      </w:r>
      <w:r>
        <w:rPr>
          <w:i/>
          <w:lang w:val="en-US"/>
        </w:rPr>
        <w:t xml:space="preserve">ase of </w:t>
      </w:r>
      <w:smartTag w:uri="urn:schemas-microsoft-com:office:smarttags" w:element="country-region">
        <w:r>
          <w:rPr>
            <w:i/>
            <w:lang w:val="en-US"/>
          </w:rPr>
          <w:t>New Zealand</w:t>
        </w:r>
      </w:smartTag>
      <w:r>
        <w:rPr>
          <w:lang w:val="en-US"/>
        </w:rPr>
        <w:t xml:space="preserve">, </w:t>
      </w:r>
      <w:smartTag w:uri="urn:schemas-microsoft-com:office:smarttags" w:element="place">
        <w:smartTag w:uri="urn:schemas-microsoft-com:office:smarttags" w:element="City">
          <w:r>
            <w:rPr>
              <w:lang w:val="en-US"/>
            </w:rPr>
            <w:t>Amsterdam</w:t>
          </w:r>
        </w:smartTag>
      </w:smartTag>
      <w:r w:rsidR="00A8648C">
        <w:rPr>
          <w:lang w:val="en-US"/>
        </w:rPr>
        <w:t xml:space="preserve"> (The Netherlands)</w:t>
      </w:r>
      <w:r>
        <w:rPr>
          <w:lang w:val="en-US"/>
        </w:rPr>
        <w:t>: Elsevier.</w:t>
      </w:r>
    </w:p>
    <w:p w:rsidR="00BE60B6" w:rsidRDefault="00BE60B6">
      <w:pPr>
        <w:spacing w:after="120"/>
        <w:jc w:val="both"/>
        <w:rPr>
          <w:lang w:val="en-US"/>
        </w:rPr>
      </w:pPr>
      <w:r>
        <w:rPr>
          <w:lang w:val="en-US"/>
        </w:rPr>
        <w:t>Bourassa, S.</w:t>
      </w:r>
      <w:r w:rsidR="00BE13C3">
        <w:rPr>
          <w:lang w:val="en-US"/>
        </w:rPr>
        <w:t>,</w:t>
      </w:r>
      <w:r>
        <w:rPr>
          <w:lang w:val="en-US"/>
        </w:rPr>
        <w:t xml:space="preserve"> </w:t>
      </w:r>
      <w:r w:rsidR="00BE13C3">
        <w:rPr>
          <w:lang w:val="en-US"/>
        </w:rPr>
        <w:t xml:space="preserve">&amp; </w:t>
      </w:r>
      <w:r>
        <w:rPr>
          <w:lang w:val="en-US"/>
        </w:rPr>
        <w:t>Hendershott</w:t>
      </w:r>
      <w:r w:rsidR="00BE13C3">
        <w:rPr>
          <w:lang w:val="en-US"/>
        </w:rPr>
        <w:t>, P.</w:t>
      </w:r>
      <w:r>
        <w:rPr>
          <w:lang w:val="en-US"/>
        </w:rPr>
        <w:t xml:space="preserve"> (1995)</w:t>
      </w:r>
      <w:r w:rsidR="00BE13C3">
        <w:rPr>
          <w:lang w:val="en-US"/>
        </w:rPr>
        <w:t>.</w:t>
      </w:r>
      <w:r>
        <w:rPr>
          <w:lang w:val="en-US"/>
        </w:rPr>
        <w:t xml:space="preserve"> Australian </w:t>
      </w:r>
      <w:r w:rsidR="00BE13C3">
        <w:rPr>
          <w:lang w:val="en-US"/>
        </w:rPr>
        <w:t>c</w:t>
      </w:r>
      <w:r>
        <w:rPr>
          <w:lang w:val="en-US"/>
        </w:rPr>
        <w:t xml:space="preserve">apital </w:t>
      </w:r>
      <w:r w:rsidR="00BE13C3">
        <w:rPr>
          <w:lang w:val="en-US"/>
        </w:rPr>
        <w:t>c</w:t>
      </w:r>
      <w:r>
        <w:rPr>
          <w:lang w:val="en-US"/>
        </w:rPr>
        <w:t xml:space="preserve">ity </w:t>
      </w:r>
      <w:r w:rsidR="00BE13C3">
        <w:rPr>
          <w:lang w:val="en-US"/>
        </w:rPr>
        <w:t>r</w:t>
      </w:r>
      <w:r>
        <w:rPr>
          <w:lang w:val="en-US"/>
        </w:rPr>
        <w:t xml:space="preserve">eal </w:t>
      </w:r>
      <w:r w:rsidR="00BE13C3">
        <w:rPr>
          <w:lang w:val="en-US"/>
        </w:rPr>
        <w:t>h</w:t>
      </w:r>
      <w:r>
        <w:rPr>
          <w:lang w:val="en-US"/>
        </w:rPr>
        <w:t xml:space="preserve">ouse </w:t>
      </w:r>
      <w:r w:rsidR="00BE13C3">
        <w:rPr>
          <w:lang w:val="en-US"/>
        </w:rPr>
        <w:t>p</w:t>
      </w:r>
      <w:r>
        <w:rPr>
          <w:lang w:val="en-US"/>
        </w:rPr>
        <w:t>rices, 1979-1993</w:t>
      </w:r>
      <w:r w:rsidR="00BE13C3">
        <w:rPr>
          <w:lang w:val="en-US"/>
        </w:rPr>
        <w:t>.</w:t>
      </w:r>
      <w:r>
        <w:rPr>
          <w:lang w:val="en-US"/>
        </w:rPr>
        <w:t xml:space="preserve"> </w:t>
      </w:r>
      <w:r>
        <w:rPr>
          <w:i/>
          <w:lang w:val="en-US"/>
        </w:rPr>
        <w:t>Australian Economic Review</w:t>
      </w:r>
      <w:r>
        <w:rPr>
          <w:lang w:val="en-US"/>
        </w:rPr>
        <w:t>, 111, 16-26.</w:t>
      </w:r>
    </w:p>
    <w:p w:rsidR="00BE60B6" w:rsidRDefault="00BE60B6">
      <w:pPr>
        <w:spacing w:after="120"/>
        <w:jc w:val="both"/>
        <w:rPr>
          <w:lang w:val="en-US"/>
        </w:rPr>
      </w:pPr>
      <w:r>
        <w:rPr>
          <w:lang w:val="en-US"/>
        </w:rPr>
        <w:t>Bourassa, S. C., Hendershott</w:t>
      </w:r>
      <w:r w:rsidR="00BE13C3">
        <w:rPr>
          <w:lang w:val="en-US"/>
        </w:rPr>
        <w:t>, P. H.,</w:t>
      </w:r>
      <w:r>
        <w:rPr>
          <w:lang w:val="en-US"/>
        </w:rPr>
        <w:t xml:space="preserve"> </w:t>
      </w:r>
      <w:r w:rsidR="00BE13C3">
        <w:rPr>
          <w:lang w:val="en-US"/>
        </w:rPr>
        <w:t>&amp;</w:t>
      </w:r>
      <w:r>
        <w:rPr>
          <w:lang w:val="en-US"/>
        </w:rPr>
        <w:t xml:space="preserve"> Murphy</w:t>
      </w:r>
      <w:r w:rsidR="00BE13C3">
        <w:rPr>
          <w:lang w:val="en-US"/>
        </w:rPr>
        <w:t>, J.</w:t>
      </w:r>
      <w:r>
        <w:rPr>
          <w:lang w:val="en-US"/>
        </w:rPr>
        <w:t xml:space="preserve"> (2001)</w:t>
      </w:r>
      <w:r w:rsidR="00BE13C3">
        <w:rPr>
          <w:lang w:val="en-US"/>
        </w:rPr>
        <w:t>.</w:t>
      </w:r>
      <w:r>
        <w:rPr>
          <w:lang w:val="en-US"/>
        </w:rPr>
        <w:t xml:space="preserve"> Further </w:t>
      </w:r>
      <w:r w:rsidR="00BE13C3">
        <w:rPr>
          <w:lang w:val="en-US"/>
        </w:rPr>
        <w:t>e</w:t>
      </w:r>
      <w:r>
        <w:rPr>
          <w:lang w:val="en-US"/>
        </w:rPr>
        <w:t xml:space="preserve">vidence on the </w:t>
      </w:r>
      <w:r w:rsidR="00BE13C3">
        <w:rPr>
          <w:lang w:val="en-US"/>
        </w:rPr>
        <w:t>e</w:t>
      </w:r>
      <w:r>
        <w:rPr>
          <w:lang w:val="en-US"/>
        </w:rPr>
        <w:t xml:space="preserve">xistence of </w:t>
      </w:r>
      <w:r w:rsidR="00BE13C3">
        <w:rPr>
          <w:lang w:val="en-US"/>
        </w:rPr>
        <w:t>h</w:t>
      </w:r>
      <w:r>
        <w:rPr>
          <w:lang w:val="en-US"/>
        </w:rPr>
        <w:t xml:space="preserve">ousing </w:t>
      </w:r>
      <w:r w:rsidR="00BE13C3">
        <w:rPr>
          <w:lang w:val="en-US"/>
        </w:rPr>
        <w:t>m</w:t>
      </w:r>
      <w:r>
        <w:rPr>
          <w:lang w:val="en-US"/>
        </w:rPr>
        <w:t xml:space="preserve">arket </w:t>
      </w:r>
      <w:r w:rsidR="00BE13C3">
        <w:rPr>
          <w:lang w:val="en-US"/>
        </w:rPr>
        <w:t>b</w:t>
      </w:r>
      <w:r>
        <w:rPr>
          <w:lang w:val="en-US"/>
        </w:rPr>
        <w:t>ubbles</w:t>
      </w:r>
      <w:r w:rsidR="00BE13C3">
        <w:rPr>
          <w:lang w:val="en-US"/>
        </w:rPr>
        <w:t>.</w:t>
      </w:r>
      <w:r>
        <w:rPr>
          <w:lang w:val="en-US"/>
        </w:rPr>
        <w:t xml:space="preserve"> </w:t>
      </w:r>
      <w:r>
        <w:rPr>
          <w:i/>
          <w:lang w:val="en-US"/>
        </w:rPr>
        <w:t>Journal of Property Research</w:t>
      </w:r>
      <w:r>
        <w:rPr>
          <w:lang w:val="en-US"/>
        </w:rPr>
        <w:t xml:space="preserve">, </w:t>
      </w:r>
      <w:r w:rsidRPr="00BE13C3">
        <w:rPr>
          <w:i/>
          <w:lang w:val="en-US"/>
        </w:rPr>
        <w:t>18</w:t>
      </w:r>
      <w:r w:rsidR="00BE13C3">
        <w:rPr>
          <w:lang w:val="en-US"/>
        </w:rPr>
        <w:t>(1)</w:t>
      </w:r>
      <w:r>
        <w:rPr>
          <w:lang w:val="en-US"/>
        </w:rPr>
        <w:t xml:space="preserve">, 1-19. </w:t>
      </w:r>
    </w:p>
    <w:p w:rsidR="00BE13C3" w:rsidRDefault="00BE60B6" w:rsidP="00BE13C3">
      <w:pPr>
        <w:spacing w:after="120"/>
        <w:jc w:val="both"/>
        <w:rPr>
          <w:lang w:val="en-US"/>
        </w:rPr>
      </w:pPr>
      <w:r>
        <w:t>Boyle, G. W. (2005)</w:t>
      </w:r>
      <w:r w:rsidR="00BE13C3">
        <w:t>.</w:t>
      </w:r>
      <w:r>
        <w:t xml:space="preserve"> Risk, </w:t>
      </w:r>
      <w:r w:rsidR="00BE13C3">
        <w:t>e</w:t>
      </w:r>
      <w:r>
        <w:t xml:space="preserve">xpected </w:t>
      </w:r>
      <w:r w:rsidR="00BE13C3">
        <w:t>r</w:t>
      </w:r>
      <w:r>
        <w:t xml:space="preserve">eturn, and the </w:t>
      </w:r>
      <w:r w:rsidR="00BE13C3">
        <w:t>c</w:t>
      </w:r>
      <w:r>
        <w:t xml:space="preserve">ost of </w:t>
      </w:r>
      <w:r w:rsidR="00BE13C3">
        <w:t>e</w:t>
      </w:r>
      <w:r>
        <w:t xml:space="preserve">quity </w:t>
      </w:r>
      <w:r w:rsidR="00BE13C3">
        <w:t>c</w:t>
      </w:r>
      <w:r>
        <w:t>apital</w:t>
      </w:r>
      <w:r w:rsidR="00BE13C3">
        <w:t>.</w:t>
      </w:r>
      <w:r>
        <w:t xml:space="preserve"> </w:t>
      </w:r>
      <w:smartTag w:uri="urn:schemas-microsoft-com:office:smarttags" w:element="country-region">
        <w:smartTag w:uri="urn:schemas-microsoft-com:office:smarttags" w:element="place">
          <w:r>
            <w:rPr>
              <w:i/>
            </w:rPr>
            <w:t>New Zealand</w:t>
          </w:r>
        </w:smartTag>
      </w:smartTag>
      <w:r>
        <w:rPr>
          <w:i/>
        </w:rPr>
        <w:t xml:space="preserve"> Economic Papers</w:t>
      </w:r>
      <w:r>
        <w:t xml:space="preserve">, </w:t>
      </w:r>
      <w:r w:rsidRPr="00BE13C3">
        <w:rPr>
          <w:i/>
        </w:rPr>
        <w:t>39</w:t>
      </w:r>
      <w:r w:rsidR="00655C5B">
        <w:t>(2)</w:t>
      </w:r>
      <w:r>
        <w:t>, 181-194.</w:t>
      </w:r>
    </w:p>
    <w:p w:rsidR="00BE60B6" w:rsidRDefault="00BE60B6">
      <w:pPr>
        <w:spacing w:after="120"/>
        <w:jc w:val="both"/>
        <w:rPr>
          <w:lang w:val="en-US"/>
        </w:rPr>
      </w:pPr>
      <w:r>
        <w:rPr>
          <w:lang w:val="en-US"/>
        </w:rPr>
        <w:t xml:space="preserve">Campbell, J. Y., Lo, </w:t>
      </w:r>
      <w:r w:rsidR="00BE13C3">
        <w:rPr>
          <w:lang w:val="en-US"/>
        </w:rPr>
        <w:t xml:space="preserve">A. W., &amp; </w:t>
      </w:r>
      <w:r>
        <w:rPr>
          <w:lang w:val="en-US"/>
        </w:rPr>
        <w:t>MacKinlay</w:t>
      </w:r>
      <w:r w:rsidR="00BE13C3">
        <w:rPr>
          <w:lang w:val="en-US"/>
        </w:rPr>
        <w:t>, C.</w:t>
      </w:r>
      <w:r>
        <w:rPr>
          <w:lang w:val="en-US"/>
        </w:rPr>
        <w:t xml:space="preserve"> (1997)</w:t>
      </w:r>
      <w:r w:rsidR="00BE13C3">
        <w:rPr>
          <w:lang w:val="en-US"/>
        </w:rPr>
        <w:t>.</w:t>
      </w:r>
      <w:r>
        <w:rPr>
          <w:lang w:val="en-US"/>
        </w:rPr>
        <w:t xml:space="preserve"> </w:t>
      </w:r>
      <w:r>
        <w:rPr>
          <w:i/>
          <w:lang w:val="en-US"/>
        </w:rPr>
        <w:t xml:space="preserve">The </w:t>
      </w:r>
      <w:r w:rsidR="00BE13C3">
        <w:rPr>
          <w:i/>
          <w:lang w:val="en-US"/>
        </w:rPr>
        <w:t>e</w:t>
      </w:r>
      <w:r>
        <w:rPr>
          <w:i/>
          <w:lang w:val="en-US"/>
        </w:rPr>
        <w:t xml:space="preserve">conometrics of </w:t>
      </w:r>
      <w:r w:rsidR="00BE13C3">
        <w:rPr>
          <w:i/>
          <w:lang w:val="en-US"/>
        </w:rPr>
        <w:t>f</w:t>
      </w:r>
      <w:r>
        <w:rPr>
          <w:i/>
          <w:lang w:val="en-US"/>
        </w:rPr>
        <w:t xml:space="preserve">inancial </w:t>
      </w:r>
      <w:r w:rsidR="00BE13C3">
        <w:rPr>
          <w:i/>
          <w:lang w:val="en-US"/>
        </w:rPr>
        <w:t>m</w:t>
      </w:r>
      <w:r>
        <w:rPr>
          <w:i/>
          <w:lang w:val="en-US"/>
        </w:rPr>
        <w:t>arkets</w:t>
      </w:r>
      <w:r>
        <w:rPr>
          <w:lang w:val="en-US"/>
        </w:rPr>
        <w:t>,</w:t>
      </w:r>
      <w:r>
        <w:rPr>
          <w:i/>
          <w:lang w:val="en-US"/>
        </w:rPr>
        <w:t xml:space="preserve"> </w:t>
      </w:r>
      <w:smartTag w:uri="urn:schemas-microsoft-com:office:smarttags" w:element="place">
        <w:r>
          <w:rPr>
            <w:lang w:val="en-US"/>
          </w:rPr>
          <w:t>Princeton</w:t>
        </w:r>
      </w:smartTag>
      <w:r>
        <w:rPr>
          <w:lang w:val="en-US"/>
        </w:rPr>
        <w:t xml:space="preserve">: Princeton University Press. </w:t>
      </w:r>
    </w:p>
    <w:p w:rsidR="00BE60B6" w:rsidRDefault="00BE60B6">
      <w:pPr>
        <w:spacing w:after="120"/>
        <w:jc w:val="both"/>
        <w:rPr>
          <w:lang w:val="en-US"/>
        </w:rPr>
      </w:pPr>
      <w:smartTag w:uri="urn:schemas-microsoft-com:office:smarttags" w:element="place">
        <w:smartTag w:uri="urn:schemas-microsoft-com:office:smarttags" w:element="City">
          <w:r>
            <w:rPr>
              <w:lang w:val="en-US"/>
            </w:rPr>
            <w:t>Campbell</w:t>
          </w:r>
        </w:smartTag>
      </w:smartTag>
      <w:r>
        <w:rPr>
          <w:lang w:val="en-US"/>
        </w:rPr>
        <w:t>, J. Y.</w:t>
      </w:r>
      <w:r w:rsidR="00BE13C3">
        <w:rPr>
          <w:lang w:val="en-US"/>
        </w:rPr>
        <w:t>,</w:t>
      </w:r>
      <w:r>
        <w:rPr>
          <w:lang w:val="en-US"/>
        </w:rPr>
        <w:t xml:space="preserve"> </w:t>
      </w:r>
      <w:r w:rsidR="00BE13C3">
        <w:rPr>
          <w:lang w:val="en-US"/>
        </w:rPr>
        <w:t>&amp;</w:t>
      </w:r>
      <w:r>
        <w:rPr>
          <w:lang w:val="en-US"/>
        </w:rPr>
        <w:t xml:space="preserve"> Shiller</w:t>
      </w:r>
      <w:r w:rsidR="00BE13C3">
        <w:rPr>
          <w:lang w:val="en-US"/>
        </w:rPr>
        <w:t>,</w:t>
      </w:r>
      <w:r>
        <w:rPr>
          <w:lang w:val="en-US"/>
        </w:rPr>
        <w:t xml:space="preserve"> </w:t>
      </w:r>
      <w:r w:rsidR="00BE13C3">
        <w:rPr>
          <w:lang w:val="en-US"/>
        </w:rPr>
        <w:t xml:space="preserve">R. J. </w:t>
      </w:r>
      <w:r>
        <w:rPr>
          <w:lang w:val="en-US"/>
        </w:rPr>
        <w:t>(1987)</w:t>
      </w:r>
      <w:r w:rsidR="00BE13C3">
        <w:rPr>
          <w:lang w:val="en-US"/>
        </w:rPr>
        <w:t>.</w:t>
      </w:r>
      <w:r>
        <w:rPr>
          <w:lang w:val="en-US"/>
        </w:rPr>
        <w:t xml:space="preserve"> Cointegration and </w:t>
      </w:r>
      <w:r w:rsidR="00BE13C3">
        <w:rPr>
          <w:lang w:val="en-US"/>
        </w:rPr>
        <w:t>t</w:t>
      </w:r>
      <w:r>
        <w:rPr>
          <w:lang w:val="en-US"/>
        </w:rPr>
        <w:t xml:space="preserve">ests of </w:t>
      </w:r>
      <w:r w:rsidR="00BE13C3">
        <w:rPr>
          <w:lang w:val="en-US"/>
        </w:rPr>
        <w:t>p</w:t>
      </w:r>
      <w:r>
        <w:rPr>
          <w:lang w:val="en-US"/>
        </w:rPr>
        <w:t xml:space="preserve">resent </w:t>
      </w:r>
      <w:r w:rsidR="00BE13C3">
        <w:rPr>
          <w:lang w:val="en-US"/>
        </w:rPr>
        <w:t>v</w:t>
      </w:r>
      <w:r>
        <w:rPr>
          <w:lang w:val="en-US"/>
        </w:rPr>
        <w:t xml:space="preserve">alue </w:t>
      </w:r>
      <w:r w:rsidR="00BE13C3">
        <w:rPr>
          <w:lang w:val="en-US"/>
        </w:rPr>
        <w:t>m</w:t>
      </w:r>
      <w:r>
        <w:rPr>
          <w:lang w:val="en-US"/>
        </w:rPr>
        <w:t>odels</w:t>
      </w:r>
      <w:r w:rsidR="00BE13C3">
        <w:rPr>
          <w:lang w:val="en-US"/>
        </w:rPr>
        <w:t>.</w:t>
      </w:r>
      <w:r>
        <w:rPr>
          <w:lang w:val="en-US"/>
        </w:rPr>
        <w:t xml:space="preserve"> </w:t>
      </w:r>
      <w:r>
        <w:rPr>
          <w:i/>
          <w:lang w:val="en-US"/>
        </w:rPr>
        <w:t>Journal of Political Economy</w:t>
      </w:r>
      <w:r>
        <w:rPr>
          <w:lang w:val="en-US"/>
        </w:rPr>
        <w:t xml:space="preserve">, </w:t>
      </w:r>
      <w:r w:rsidRPr="00BE13C3">
        <w:rPr>
          <w:i/>
          <w:lang w:val="en-US"/>
        </w:rPr>
        <w:t>95</w:t>
      </w:r>
      <w:r w:rsidR="00BE13C3">
        <w:rPr>
          <w:lang w:val="en-US"/>
        </w:rPr>
        <w:t>(5)</w:t>
      </w:r>
      <w:r>
        <w:rPr>
          <w:lang w:val="en-US"/>
        </w:rPr>
        <w:t>, 1062-1088.</w:t>
      </w:r>
    </w:p>
    <w:p w:rsidR="00BE60B6" w:rsidRDefault="00BE60B6">
      <w:pPr>
        <w:spacing w:after="120"/>
        <w:jc w:val="both"/>
        <w:rPr>
          <w:lang w:val="en-US"/>
        </w:rPr>
      </w:pPr>
      <w:r>
        <w:rPr>
          <w:lang w:val="en-US"/>
        </w:rPr>
        <w:t>Campbell, J. Y.</w:t>
      </w:r>
      <w:r w:rsidR="00BE13C3">
        <w:rPr>
          <w:lang w:val="en-US"/>
        </w:rPr>
        <w:t>,</w:t>
      </w:r>
      <w:r>
        <w:rPr>
          <w:lang w:val="en-US"/>
        </w:rPr>
        <w:t xml:space="preserve"> </w:t>
      </w:r>
      <w:r w:rsidR="00BE13C3">
        <w:rPr>
          <w:lang w:val="en-US"/>
        </w:rPr>
        <w:t xml:space="preserve">&amp; </w:t>
      </w:r>
      <w:r>
        <w:rPr>
          <w:lang w:val="en-US"/>
        </w:rPr>
        <w:t>Shiller</w:t>
      </w:r>
      <w:r w:rsidR="00BE13C3">
        <w:rPr>
          <w:lang w:val="en-US"/>
        </w:rPr>
        <w:t>,</w:t>
      </w:r>
      <w:r>
        <w:rPr>
          <w:lang w:val="en-US"/>
        </w:rPr>
        <w:t xml:space="preserve"> </w:t>
      </w:r>
      <w:r w:rsidR="00BE13C3">
        <w:rPr>
          <w:lang w:val="en-US"/>
        </w:rPr>
        <w:t xml:space="preserve">R. J. </w:t>
      </w:r>
      <w:r>
        <w:rPr>
          <w:lang w:val="en-US"/>
        </w:rPr>
        <w:t xml:space="preserve">(1988a). The </w:t>
      </w:r>
      <w:r w:rsidR="00BE13C3">
        <w:rPr>
          <w:lang w:val="en-US"/>
        </w:rPr>
        <w:t>d</w:t>
      </w:r>
      <w:r>
        <w:rPr>
          <w:lang w:val="en-US"/>
        </w:rPr>
        <w:t>ividend-</w:t>
      </w:r>
      <w:r w:rsidR="00BE13C3">
        <w:rPr>
          <w:lang w:val="en-US"/>
        </w:rPr>
        <w:t>p</w:t>
      </w:r>
      <w:r>
        <w:rPr>
          <w:lang w:val="en-US"/>
        </w:rPr>
        <w:t xml:space="preserve">rice </w:t>
      </w:r>
      <w:r w:rsidR="00BE13C3">
        <w:rPr>
          <w:lang w:val="en-US"/>
        </w:rPr>
        <w:t>r</w:t>
      </w:r>
      <w:r>
        <w:rPr>
          <w:lang w:val="en-US"/>
        </w:rPr>
        <w:t xml:space="preserve">atio and </w:t>
      </w:r>
      <w:r w:rsidR="00BE13C3">
        <w:rPr>
          <w:lang w:val="en-US"/>
        </w:rPr>
        <w:t>e</w:t>
      </w:r>
      <w:r>
        <w:rPr>
          <w:lang w:val="en-US"/>
        </w:rPr>
        <w:t xml:space="preserve">xpectations of </w:t>
      </w:r>
      <w:r w:rsidR="00BE13C3">
        <w:rPr>
          <w:lang w:val="en-US"/>
        </w:rPr>
        <w:t>f</w:t>
      </w:r>
      <w:r>
        <w:rPr>
          <w:lang w:val="en-US"/>
        </w:rPr>
        <w:t xml:space="preserve">uture </w:t>
      </w:r>
      <w:r w:rsidR="00BE13C3">
        <w:rPr>
          <w:lang w:val="en-US"/>
        </w:rPr>
        <w:t>d</w:t>
      </w:r>
      <w:r>
        <w:rPr>
          <w:lang w:val="en-US"/>
        </w:rPr>
        <w:t xml:space="preserve">ividends and </w:t>
      </w:r>
      <w:r w:rsidR="00BE13C3">
        <w:rPr>
          <w:lang w:val="en-US"/>
        </w:rPr>
        <w:t>d</w:t>
      </w:r>
      <w:r>
        <w:rPr>
          <w:lang w:val="en-US"/>
        </w:rPr>
        <w:t xml:space="preserve">iscount </w:t>
      </w:r>
      <w:r w:rsidR="00BE13C3">
        <w:rPr>
          <w:lang w:val="en-US"/>
        </w:rPr>
        <w:t>f</w:t>
      </w:r>
      <w:r>
        <w:rPr>
          <w:lang w:val="en-US"/>
        </w:rPr>
        <w:t>actors</w:t>
      </w:r>
      <w:r w:rsidR="00BE13C3">
        <w:rPr>
          <w:lang w:val="en-US"/>
        </w:rPr>
        <w:t>.</w:t>
      </w:r>
      <w:r>
        <w:rPr>
          <w:lang w:val="en-US"/>
        </w:rPr>
        <w:t xml:space="preserve"> </w:t>
      </w:r>
      <w:r>
        <w:rPr>
          <w:i/>
          <w:lang w:val="en-US"/>
        </w:rPr>
        <w:t>Review of Financial Studies</w:t>
      </w:r>
      <w:r>
        <w:rPr>
          <w:lang w:val="en-US"/>
        </w:rPr>
        <w:t xml:space="preserve">, </w:t>
      </w:r>
      <w:r w:rsidRPr="00BE13C3">
        <w:rPr>
          <w:i/>
          <w:lang w:val="en-US"/>
        </w:rPr>
        <w:t>1</w:t>
      </w:r>
      <w:r w:rsidR="00BE13C3">
        <w:rPr>
          <w:lang w:val="en-US"/>
        </w:rPr>
        <w:t>(3)</w:t>
      </w:r>
      <w:r>
        <w:rPr>
          <w:lang w:val="en-US"/>
        </w:rPr>
        <w:t>, 195-227.</w:t>
      </w:r>
    </w:p>
    <w:p w:rsidR="00BE60B6" w:rsidRDefault="00BE60B6">
      <w:pPr>
        <w:spacing w:after="120"/>
        <w:jc w:val="both"/>
        <w:rPr>
          <w:lang w:val="en-US"/>
        </w:rPr>
      </w:pPr>
      <w:r>
        <w:rPr>
          <w:lang w:val="en-US"/>
        </w:rPr>
        <w:t>Campbell, J. Y.</w:t>
      </w:r>
      <w:r w:rsidR="00183B85">
        <w:rPr>
          <w:lang w:val="en-US"/>
        </w:rPr>
        <w:t>,</w:t>
      </w:r>
      <w:r>
        <w:rPr>
          <w:lang w:val="en-US"/>
        </w:rPr>
        <w:t xml:space="preserve"> </w:t>
      </w:r>
      <w:r w:rsidR="00183B85">
        <w:rPr>
          <w:lang w:val="en-US"/>
        </w:rPr>
        <w:t xml:space="preserve">&amp; </w:t>
      </w:r>
      <w:r>
        <w:rPr>
          <w:lang w:val="en-US"/>
        </w:rPr>
        <w:t>Shiller</w:t>
      </w:r>
      <w:r w:rsidR="00183B85">
        <w:rPr>
          <w:lang w:val="en-US"/>
        </w:rPr>
        <w:t>,</w:t>
      </w:r>
      <w:r>
        <w:rPr>
          <w:lang w:val="en-US"/>
        </w:rPr>
        <w:t xml:space="preserve"> </w:t>
      </w:r>
      <w:r w:rsidR="00183B85">
        <w:rPr>
          <w:lang w:val="en-US"/>
        </w:rPr>
        <w:t xml:space="preserve">R. J. </w:t>
      </w:r>
      <w:r>
        <w:rPr>
          <w:lang w:val="en-US"/>
        </w:rPr>
        <w:t xml:space="preserve">(1988b). Stock </w:t>
      </w:r>
      <w:r w:rsidR="00183B85">
        <w:rPr>
          <w:lang w:val="en-US"/>
        </w:rPr>
        <w:t>p</w:t>
      </w:r>
      <w:r>
        <w:rPr>
          <w:lang w:val="en-US"/>
        </w:rPr>
        <w:t xml:space="preserve">rices, </w:t>
      </w:r>
      <w:r w:rsidR="00183B85">
        <w:rPr>
          <w:lang w:val="en-US"/>
        </w:rPr>
        <w:t>e</w:t>
      </w:r>
      <w:r>
        <w:rPr>
          <w:lang w:val="en-US"/>
        </w:rPr>
        <w:t xml:space="preserve">arnings and </w:t>
      </w:r>
      <w:r w:rsidR="00183B85">
        <w:rPr>
          <w:lang w:val="en-US"/>
        </w:rPr>
        <w:t>e</w:t>
      </w:r>
      <w:r>
        <w:rPr>
          <w:lang w:val="en-US"/>
        </w:rPr>
        <w:t xml:space="preserve">xpected </w:t>
      </w:r>
      <w:r w:rsidR="00183B85">
        <w:rPr>
          <w:lang w:val="en-US"/>
        </w:rPr>
        <w:t>d</w:t>
      </w:r>
      <w:r>
        <w:rPr>
          <w:lang w:val="en-US"/>
        </w:rPr>
        <w:t>ividends</w:t>
      </w:r>
      <w:r w:rsidR="00183B85">
        <w:rPr>
          <w:lang w:val="en-US"/>
        </w:rPr>
        <w:t>.</w:t>
      </w:r>
      <w:r>
        <w:rPr>
          <w:lang w:val="en-US"/>
        </w:rPr>
        <w:t xml:space="preserve"> </w:t>
      </w:r>
      <w:r>
        <w:rPr>
          <w:i/>
          <w:lang w:val="en-US"/>
        </w:rPr>
        <w:t>Journal of Finance</w:t>
      </w:r>
      <w:r>
        <w:rPr>
          <w:lang w:val="en-US"/>
        </w:rPr>
        <w:t xml:space="preserve">, </w:t>
      </w:r>
      <w:r w:rsidRPr="000446E1">
        <w:rPr>
          <w:i/>
          <w:lang w:val="en-US"/>
        </w:rPr>
        <w:t>43</w:t>
      </w:r>
      <w:r w:rsidR="000446E1">
        <w:rPr>
          <w:lang w:val="en-US"/>
        </w:rPr>
        <w:t>(3)</w:t>
      </w:r>
      <w:r>
        <w:rPr>
          <w:lang w:val="en-US"/>
        </w:rPr>
        <w:t>, 661-676.</w:t>
      </w:r>
    </w:p>
    <w:p w:rsidR="00BE60B6" w:rsidRDefault="00BE60B6">
      <w:pPr>
        <w:spacing w:after="120"/>
        <w:jc w:val="both"/>
        <w:rPr>
          <w:lang w:val="en-US"/>
        </w:rPr>
      </w:pPr>
      <w:r>
        <w:rPr>
          <w:lang w:val="en-US"/>
        </w:rPr>
        <w:lastRenderedPageBreak/>
        <w:t>Capozza, D. R., Hendershott</w:t>
      </w:r>
      <w:r w:rsidR="000446E1">
        <w:rPr>
          <w:lang w:val="en-US"/>
        </w:rPr>
        <w:t>,</w:t>
      </w:r>
      <w:r>
        <w:rPr>
          <w:lang w:val="en-US"/>
        </w:rPr>
        <w:t xml:space="preserve"> </w:t>
      </w:r>
      <w:r w:rsidR="000446E1">
        <w:rPr>
          <w:lang w:val="en-US"/>
        </w:rPr>
        <w:t xml:space="preserve">P. H., &amp; </w:t>
      </w:r>
      <w:r>
        <w:rPr>
          <w:lang w:val="en-US"/>
        </w:rPr>
        <w:t>Mack</w:t>
      </w:r>
      <w:r w:rsidR="000446E1">
        <w:rPr>
          <w:lang w:val="en-US"/>
        </w:rPr>
        <w:t>, C.</w:t>
      </w:r>
      <w:r>
        <w:rPr>
          <w:lang w:val="en-US"/>
        </w:rPr>
        <w:t xml:space="preserve"> (2004)</w:t>
      </w:r>
      <w:r w:rsidR="000446E1">
        <w:rPr>
          <w:lang w:val="en-US"/>
        </w:rPr>
        <w:t>.</w:t>
      </w:r>
      <w:r>
        <w:rPr>
          <w:lang w:val="en-US"/>
        </w:rPr>
        <w:t xml:space="preserve"> An </w:t>
      </w:r>
      <w:r w:rsidR="000446E1">
        <w:rPr>
          <w:lang w:val="en-US"/>
        </w:rPr>
        <w:t>a</w:t>
      </w:r>
      <w:r>
        <w:rPr>
          <w:lang w:val="en-US"/>
        </w:rPr>
        <w:t xml:space="preserve">natomy of </w:t>
      </w:r>
      <w:r w:rsidR="000446E1">
        <w:rPr>
          <w:lang w:val="en-US"/>
        </w:rPr>
        <w:t>p</w:t>
      </w:r>
      <w:r>
        <w:rPr>
          <w:lang w:val="en-US"/>
        </w:rPr>
        <w:t xml:space="preserve">rice </w:t>
      </w:r>
      <w:r w:rsidR="000446E1">
        <w:rPr>
          <w:lang w:val="en-US"/>
        </w:rPr>
        <w:t>d</w:t>
      </w:r>
      <w:r>
        <w:rPr>
          <w:lang w:val="en-US"/>
        </w:rPr>
        <w:t xml:space="preserve">ynamics in </w:t>
      </w:r>
      <w:r w:rsidR="000446E1">
        <w:rPr>
          <w:lang w:val="en-US"/>
        </w:rPr>
        <w:t>i</w:t>
      </w:r>
      <w:r>
        <w:rPr>
          <w:lang w:val="en-US"/>
        </w:rPr>
        <w:t xml:space="preserve">lliquid </w:t>
      </w:r>
      <w:r w:rsidR="000446E1">
        <w:rPr>
          <w:lang w:val="en-US"/>
        </w:rPr>
        <w:t>m</w:t>
      </w:r>
      <w:r>
        <w:rPr>
          <w:lang w:val="en-US"/>
        </w:rPr>
        <w:t xml:space="preserve">arkets: </w:t>
      </w:r>
      <w:r w:rsidR="000446E1">
        <w:rPr>
          <w:lang w:val="en-US"/>
        </w:rPr>
        <w:t>a</w:t>
      </w:r>
      <w:r>
        <w:rPr>
          <w:lang w:val="en-US"/>
        </w:rPr>
        <w:t xml:space="preserve">nalysis and </w:t>
      </w:r>
      <w:r w:rsidR="000446E1">
        <w:rPr>
          <w:lang w:val="en-US"/>
        </w:rPr>
        <w:t>e</w:t>
      </w:r>
      <w:r>
        <w:rPr>
          <w:lang w:val="en-US"/>
        </w:rPr>
        <w:t xml:space="preserve">vidence from </w:t>
      </w:r>
      <w:r w:rsidR="000446E1">
        <w:rPr>
          <w:lang w:val="en-US"/>
        </w:rPr>
        <w:t>l</w:t>
      </w:r>
      <w:r>
        <w:rPr>
          <w:lang w:val="en-US"/>
        </w:rPr>
        <w:t xml:space="preserve">ocal </w:t>
      </w:r>
      <w:r w:rsidR="000446E1">
        <w:rPr>
          <w:lang w:val="en-US"/>
        </w:rPr>
        <w:t>h</w:t>
      </w:r>
      <w:r>
        <w:rPr>
          <w:lang w:val="en-US"/>
        </w:rPr>
        <w:t xml:space="preserve">ousing </w:t>
      </w:r>
      <w:r w:rsidR="000446E1">
        <w:rPr>
          <w:lang w:val="en-US"/>
        </w:rPr>
        <w:t>m</w:t>
      </w:r>
      <w:r>
        <w:rPr>
          <w:lang w:val="en-US"/>
        </w:rPr>
        <w:t>arkets</w:t>
      </w:r>
      <w:r w:rsidR="000446E1">
        <w:rPr>
          <w:lang w:val="en-US"/>
        </w:rPr>
        <w:t>.</w:t>
      </w:r>
      <w:r>
        <w:rPr>
          <w:lang w:val="en-US"/>
        </w:rPr>
        <w:t xml:space="preserve"> </w:t>
      </w:r>
      <w:r>
        <w:rPr>
          <w:i/>
          <w:lang w:val="en-US"/>
        </w:rPr>
        <w:t>Real Estate Economics</w:t>
      </w:r>
      <w:r>
        <w:rPr>
          <w:lang w:val="en-US"/>
        </w:rPr>
        <w:t xml:space="preserve">, </w:t>
      </w:r>
      <w:r w:rsidRPr="000446E1">
        <w:rPr>
          <w:i/>
          <w:lang w:val="en-US"/>
        </w:rPr>
        <w:t>32</w:t>
      </w:r>
      <w:r w:rsidR="000446E1">
        <w:rPr>
          <w:lang w:val="en-US"/>
        </w:rPr>
        <w:t>(1)</w:t>
      </w:r>
      <w:r>
        <w:rPr>
          <w:lang w:val="en-US"/>
        </w:rPr>
        <w:t>, 1-32.</w:t>
      </w:r>
    </w:p>
    <w:p w:rsidR="00BE60B6" w:rsidRDefault="00BE60B6">
      <w:pPr>
        <w:spacing w:after="120"/>
        <w:jc w:val="both"/>
        <w:rPr>
          <w:lang w:val="en-US"/>
        </w:rPr>
      </w:pPr>
      <w:r>
        <w:rPr>
          <w:lang w:val="en-US"/>
        </w:rPr>
        <w:t>Case, K. E., Quigley</w:t>
      </w:r>
      <w:r w:rsidR="000446E1">
        <w:rPr>
          <w:lang w:val="en-US"/>
        </w:rPr>
        <w:t>,</w:t>
      </w:r>
      <w:r>
        <w:rPr>
          <w:lang w:val="en-US"/>
        </w:rPr>
        <w:t xml:space="preserve"> </w:t>
      </w:r>
      <w:r w:rsidR="000446E1">
        <w:rPr>
          <w:lang w:val="en-US"/>
        </w:rPr>
        <w:t xml:space="preserve">J. M., &amp; </w:t>
      </w:r>
      <w:r>
        <w:rPr>
          <w:lang w:val="en-US"/>
        </w:rPr>
        <w:t>Shiller</w:t>
      </w:r>
      <w:r w:rsidR="000446E1">
        <w:rPr>
          <w:lang w:val="en-US"/>
        </w:rPr>
        <w:t>,</w:t>
      </w:r>
      <w:r>
        <w:rPr>
          <w:lang w:val="en-US"/>
        </w:rPr>
        <w:t xml:space="preserve"> </w:t>
      </w:r>
      <w:r w:rsidR="000446E1">
        <w:rPr>
          <w:lang w:val="en-US"/>
        </w:rPr>
        <w:t xml:space="preserve">R. J. </w:t>
      </w:r>
      <w:r>
        <w:rPr>
          <w:lang w:val="en-US"/>
        </w:rPr>
        <w:t>(2005)</w:t>
      </w:r>
      <w:r w:rsidR="000446E1">
        <w:rPr>
          <w:lang w:val="en-US"/>
        </w:rPr>
        <w:t>.</w:t>
      </w:r>
      <w:r>
        <w:rPr>
          <w:lang w:val="en-US"/>
        </w:rPr>
        <w:t xml:space="preserve"> Comparing </w:t>
      </w:r>
      <w:r w:rsidR="000446E1">
        <w:rPr>
          <w:lang w:val="en-US"/>
        </w:rPr>
        <w:t>w</w:t>
      </w:r>
      <w:r>
        <w:rPr>
          <w:lang w:val="en-US"/>
        </w:rPr>
        <w:t xml:space="preserve">ealth </w:t>
      </w:r>
      <w:r w:rsidR="000446E1">
        <w:rPr>
          <w:lang w:val="en-US"/>
        </w:rPr>
        <w:t>e</w:t>
      </w:r>
      <w:r>
        <w:rPr>
          <w:lang w:val="en-US"/>
        </w:rPr>
        <w:t xml:space="preserve">ffects: </w:t>
      </w:r>
      <w:r w:rsidR="000446E1">
        <w:rPr>
          <w:lang w:val="en-US"/>
        </w:rPr>
        <w:t>t</w:t>
      </w:r>
      <w:r>
        <w:rPr>
          <w:lang w:val="en-US"/>
        </w:rPr>
        <w:t xml:space="preserve">he </w:t>
      </w:r>
      <w:r w:rsidR="000446E1">
        <w:rPr>
          <w:lang w:val="en-US"/>
        </w:rPr>
        <w:t>s</w:t>
      </w:r>
      <w:r>
        <w:rPr>
          <w:lang w:val="en-US"/>
        </w:rPr>
        <w:t xml:space="preserve">tock </w:t>
      </w:r>
      <w:r w:rsidR="000446E1">
        <w:rPr>
          <w:lang w:val="en-US"/>
        </w:rPr>
        <w:t>m</w:t>
      </w:r>
      <w:r>
        <w:rPr>
          <w:lang w:val="en-US"/>
        </w:rPr>
        <w:t xml:space="preserve">arket versus the </w:t>
      </w:r>
      <w:r w:rsidR="000446E1">
        <w:rPr>
          <w:lang w:val="en-US"/>
        </w:rPr>
        <w:t>h</w:t>
      </w:r>
      <w:r>
        <w:rPr>
          <w:lang w:val="en-US"/>
        </w:rPr>
        <w:t xml:space="preserve">ousing </w:t>
      </w:r>
      <w:r w:rsidR="000446E1">
        <w:rPr>
          <w:lang w:val="en-US"/>
        </w:rPr>
        <w:t>m</w:t>
      </w:r>
      <w:r>
        <w:rPr>
          <w:lang w:val="en-US"/>
        </w:rPr>
        <w:t>arket</w:t>
      </w:r>
      <w:r w:rsidR="000446E1">
        <w:rPr>
          <w:lang w:val="en-US"/>
        </w:rPr>
        <w:t>.</w:t>
      </w:r>
      <w:r>
        <w:rPr>
          <w:lang w:val="en-US"/>
        </w:rPr>
        <w:t xml:space="preserve"> </w:t>
      </w:r>
      <w:r>
        <w:rPr>
          <w:i/>
          <w:lang w:val="en-US"/>
        </w:rPr>
        <w:t>Advances in Macroeconomics</w:t>
      </w:r>
      <w:r>
        <w:rPr>
          <w:lang w:val="en-US"/>
        </w:rPr>
        <w:t xml:space="preserve">, </w:t>
      </w:r>
      <w:r w:rsidRPr="000446E1">
        <w:rPr>
          <w:i/>
          <w:lang w:val="en-US"/>
        </w:rPr>
        <w:t>5</w:t>
      </w:r>
      <w:r w:rsidR="000446E1">
        <w:rPr>
          <w:lang w:val="en-US"/>
        </w:rPr>
        <w:t>(1)</w:t>
      </w:r>
      <w:r>
        <w:rPr>
          <w:lang w:val="en-US"/>
        </w:rPr>
        <w:t>, 1-32.</w:t>
      </w:r>
    </w:p>
    <w:p w:rsidR="00BE60B6" w:rsidRDefault="00BE60B6">
      <w:pPr>
        <w:spacing w:after="120"/>
        <w:jc w:val="both"/>
        <w:rPr>
          <w:lang w:val="en-US"/>
        </w:rPr>
      </w:pPr>
      <w:r>
        <w:rPr>
          <w:lang w:val="en-US"/>
        </w:rPr>
        <w:t>Case, K. E.</w:t>
      </w:r>
      <w:r w:rsidR="000446E1">
        <w:rPr>
          <w:lang w:val="en-US"/>
        </w:rPr>
        <w:t>,</w:t>
      </w:r>
      <w:r>
        <w:rPr>
          <w:lang w:val="en-US"/>
        </w:rPr>
        <w:t xml:space="preserve"> </w:t>
      </w:r>
      <w:r w:rsidR="000446E1">
        <w:rPr>
          <w:lang w:val="en-US"/>
        </w:rPr>
        <w:t xml:space="preserve">&amp; </w:t>
      </w:r>
      <w:r>
        <w:rPr>
          <w:lang w:val="en-US"/>
        </w:rPr>
        <w:t>Shiller</w:t>
      </w:r>
      <w:r w:rsidR="000446E1">
        <w:rPr>
          <w:lang w:val="en-US"/>
        </w:rPr>
        <w:t>,</w:t>
      </w:r>
      <w:r>
        <w:rPr>
          <w:lang w:val="en-US"/>
        </w:rPr>
        <w:t xml:space="preserve"> </w:t>
      </w:r>
      <w:r w:rsidR="000446E1">
        <w:rPr>
          <w:lang w:val="en-US"/>
        </w:rPr>
        <w:t xml:space="preserve">R. J. </w:t>
      </w:r>
      <w:r>
        <w:rPr>
          <w:lang w:val="en-US"/>
        </w:rPr>
        <w:t>(2003)</w:t>
      </w:r>
      <w:r w:rsidR="000446E1">
        <w:rPr>
          <w:lang w:val="en-US"/>
        </w:rPr>
        <w:t>.</w:t>
      </w:r>
      <w:r>
        <w:rPr>
          <w:lang w:val="en-US"/>
        </w:rPr>
        <w:t xml:space="preserve"> Is </w:t>
      </w:r>
      <w:r w:rsidR="000446E1">
        <w:rPr>
          <w:lang w:val="en-US"/>
        </w:rPr>
        <w:t>t</w:t>
      </w:r>
      <w:r>
        <w:rPr>
          <w:lang w:val="en-US"/>
        </w:rPr>
        <w:t xml:space="preserve">here a </w:t>
      </w:r>
      <w:r w:rsidR="000446E1">
        <w:rPr>
          <w:lang w:val="en-US"/>
        </w:rPr>
        <w:t>b</w:t>
      </w:r>
      <w:r>
        <w:rPr>
          <w:lang w:val="en-US"/>
        </w:rPr>
        <w:t xml:space="preserve">ubble in the </w:t>
      </w:r>
      <w:r w:rsidR="000446E1">
        <w:rPr>
          <w:lang w:val="en-US"/>
        </w:rPr>
        <w:t>h</w:t>
      </w:r>
      <w:r>
        <w:rPr>
          <w:lang w:val="en-US"/>
        </w:rPr>
        <w:t xml:space="preserve">ousing </w:t>
      </w:r>
      <w:r w:rsidR="000446E1">
        <w:rPr>
          <w:lang w:val="en-US"/>
        </w:rPr>
        <w:t>m</w:t>
      </w:r>
      <w:r>
        <w:rPr>
          <w:lang w:val="en-US"/>
        </w:rPr>
        <w:t>arket? An Analysis</w:t>
      </w:r>
      <w:r w:rsidR="000446E1">
        <w:rPr>
          <w:lang w:val="en-US"/>
        </w:rPr>
        <w:t>.</w:t>
      </w:r>
      <w:r>
        <w:rPr>
          <w:lang w:val="en-US"/>
        </w:rPr>
        <w:t xml:space="preserve"> </w:t>
      </w:r>
      <w:r w:rsidR="000446E1">
        <w:rPr>
          <w:lang w:val="en-US"/>
        </w:rPr>
        <w:t>P</w:t>
      </w:r>
      <w:r>
        <w:rPr>
          <w:lang w:val="en-US"/>
        </w:rPr>
        <w:t xml:space="preserve">aper prepared for the Brookings Panel on Economic Activity, September 4-5, 2003. </w:t>
      </w:r>
    </w:p>
    <w:p w:rsidR="00BE60B6" w:rsidRDefault="00BE60B6">
      <w:pPr>
        <w:spacing w:after="120"/>
        <w:jc w:val="both"/>
        <w:rPr>
          <w:lang w:val="en-US"/>
        </w:rPr>
      </w:pPr>
      <w:r>
        <w:rPr>
          <w:lang w:val="en-US"/>
        </w:rPr>
        <w:t>Chan, H. L., Lee</w:t>
      </w:r>
      <w:r w:rsidR="000446E1">
        <w:rPr>
          <w:lang w:val="en-US"/>
        </w:rPr>
        <w:t>,</w:t>
      </w:r>
      <w:r>
        <w:rPr>
          <w:lang w:val="en-US"/>
        </w:rPr>
        <w:t xml:space="preserve"> </w:t>
      </w:r>
      <w:r w:rsidR="000446E1">
        <w:rPr>
          <w:lang w:val="en-US"/>
        </w:rPr>
        <w:t xml:space="preserve">S. K., &amp; </w:t>
      </w:r>
      <w:r>
        <w:rPr>
          <w:lang w:val="en-US"/>
        </w:rPr>
        <w:t>Woo</w:t>
      </w:r>
      <w:r w:rsidR="000446E1">
        <w:rPr>
          <w:lang w:val="en-US"/>
        </w:rPr>
        <w:t>,</w:t>
      </w:r>
      <w:r>
        <w:rPr>
          <w:lang w:val="en-US"/>
        </w:rPr>
        <w:t xml:space="preserve"> </w:t>
      </w:r>
      <w:r w:rsidR="000446E1">
        <w:rPr>
          <w:lang w:val="en-US"/>
        </w:rPr>
        <w:t xml:space="preserve">K. Y. </w:t>
      </w:r>
      <w:r>
        <w:rPr>
          <w:lang w:val="en-US"/>
        </w:rPr>
        <w:t>(2001)</w:t>
      </w:r>
      <w:r w:rsidR="000446E1">
        <w:rPr>
          <w:lang w:val="en-US"/>
        </w:rPr>
        <w:t>.</w:t>
      </w:r>
      <w:r>
        <w:rPr>
          <w:lang w:val="en-US"/>
        </w:rPr>
        <w:t xml:space="preserve"> Detecting </w:t>
      </w:r>
      <w:r w:rsidR="000446E1">
        <w:rPr>
          <w:lang w:val="en-US"/>
        </w:rPr>
        <w:t>r</w:t>
      </w:r>
      <w:r>
        <w:rPr>
          <w:lang w:val="en-US"/>
        </w:rPr>
        <w:t xml:space="preserve">ational </w:t>
      </w:r>
      <w:r w:rsidR="000446E1">
        <w:rPr>
          <w:lang w:val="en-US"/>
        </w:rPr>
        <w:t>b</w:t>
      </w:r>
      <w:r>
        <w:rPr>
          <w:lang w:val="en-US"/>
        </w:rPr>
        <w:t xml:space="preserve">ubbles in the </w:t>
      </w:r>
      <w:r w:rsidR="000446E1">
        <w:rPr>
          <w:lang w:val="en-US"/>
        </w:rPr>
        <w:t>r</w:t>
      </w:r>
      <w:r>
        <w:rPr>
          <w:lang w:val="en-US"/>
        </w:rPr>
        <w:t xml:space="preserve">esidential </w:t>
      </w:r>
      <w:r w:rsidR="000446E1">
        <w:rPr>
          <w:lang w:val="en-US"/>
        </w:rPr>
        <w:t>h</w:t>
      </w:r>
      <w:r>
        <w:rPr>
          <w:lang w:val="en-US"/>
        </w:rPr>
        <w:t xml:space="preserve">ousing </w:t>
      </w:r>
      <w:r w:rsidR="000446E1">
        <w:rPr>
          <w:lang w:val="en-US"/>
        </w:rPr>
        <w:t>m</w:t>
      </w:r>
      <w:r>
        <w:rPr>
          <w:lang w:val="en-US"/>
        </w:rPr>
        <w:t xml:space="preserve">arkets of </w:t>
      </w:r>
      <w:smartTag w:uri="urn:schemas-microsoft-com:office:smarttags" w:element="place">
        <w:r>
          <w:rPr>
            <w:lang w:val="en-US"/>
          </w:rPr>
          <w:t>Hong Kong</w:t>
        </w:r>
      </w:smartTag>
      <w:r w:rsidR="000446E1">
        <w:rPr>
          <w:lang w:val="en-US"/>
        </w:rPr>
        <w:t>.</w:t>
      </w:r>
      <w:r>
        <w:rPr>
          <w:lang w:val="en-US"/>
        </w:rPr>
        <w:t xml:space="preserve"> </w:t>
      </w:r>
      <w:r>
        <w:rPr>
          <w:i/>
          <w:lang w:val="en-US"/>
        </w:rPr>
        <w:t>Economic Modelling</w:t>
      </w:r>
      <w:r>
        <w:rPr>
          <w:lang w:val="en-US"/>
        </w:rPr>
        <w:t xml:space="preserve">, </w:t>
      </w:r>
      <w:r w:rsidRPr="000446E1">
        <w:rPr>
          <w:i/>
          <w:lang w:val="en-US"/>
        </w:rPr>
        <w:t>18</w:t>
      </w:r>
      <w:r w:rsidR="000446E1">
        <w:rPr>
          <w:lang w:val="en-US"/>
        </w:rPr>
        <w:t>(1)</w:t>
      </w:r>
      <w:r>
        <w:rPr>
          <w:lang w:val="en-US"/>
        </w:rPr>
        <w:t>, 61-73.</w:t>
      </w:r>
    </w:p>
    <w:p w:rsidR="00BE60B6" w:rsidRDefault="00BE60B6">
      <w:pPr>
        <w:spacing w:after="120"/>
        <w:jc w:val="both"/>
        <w:rPr>
          <w:lang w:val="en-US"/>
        </w:rPr>
      </w:pPr>
      <w:r w:rsidRPr="00ED5889">
        <w:t>Chen, C. R.</w:t>
      </w:r>
      <w:r w:rsidR="006C2C95" w:rsidRPr="00ED5889">
        <w:t>,</w:t>
      </w:r>
      <w:r w:rsidRPr="00ED5889">
        <w:t xml:space="preserve"> </w:t>
      </w:r>
      <w:r w:rsidR="006C2C95" w:rsidRPr="00ED5889">
        <w:t xml:space="preserve">&amp; </w:t>
      </w:r>
      <w:r w:rsidRPr="00ED5889">
        <w:t>Sauer</w:t>
      </w:r>
      <w:r w:rsidR="006C2C95" w:rsidRPr="00ED5889">
        <w:t>,</w:t>
      </w:r>
      <w:r w:rsidRPr="00ED5889">
        <w:t xml:space="preserve"> </w:t>
      </w:r>
      <w:r w:rsidR="006C2C95" w:rsidRPr="00ED5889">
        <w:t xml:space="preserve">D. A. </w:t>
      </w:r>
      <w:r w:rsidRPr="00ED5889">
        <w:t>(1997)</w:t>
      </w:r>
      <w:r w:rsidR="006C2C95" w:rsidRPr="00ED5889">
        <w:t>.</w:t>
      </w:r>
      <w:r w:rsidRPr="00ED5889">
        <w:t xml:space="preserve"> </w:t>
      </w:r>
      <w:r>
        <w:rPr>
          <w:lang w:val="en-US"/>
        </w:rPr>
        <w:t xml:space="preserve">Is </w:t>
      </w:r>
      <w:r w:rsidR="006C2C95">
        <w:rPr>
          <w:lang w:val="en-US"/>
        </w:rPr>
        <w:t>s</w:t>
      </w:r>
      <w:r>
        <w:rPr>
          <w:lang w:val="en-US"/>
        </w:rPr>
        <w:t xml:space="preserve">tock </w:t>
      </w:r>
      <w:r w:rsidR="006C2C95">
        <w:rPr>
          <w:lang w:val="en-US"/>
        </w:rPr>
        <w:t>m</w:t>
      </w:r>
      <w:r>
        <w:rPr>
          <w:lang w:val="en-US"/>
        </w:rPr>
        <w:t xml:space="preserve">arket </w:t>
      </w:r>
      <w:r w:rsidR="006C2C95">
        <w:rPr>
          <w:lang w:val="en-US"/>
        </w:rPr>
        <w:t>o</w:t>
      </w:r>
      <w:r>
        <w:rPr>
          <w:lang w:val="en-US"/>
        </w:rPr>
        <w:t xml:space="preserve">vervaluation </w:t>
      </w:r>
      <w:r w:rsidR="006C2C95">
        <w:rPr>
          <w:lang w:val="en-US"/>
        </w:rPr>
        <w:t>p</w:t>
      </w:r>
      <w:r>
        <w:rPr>
          <w:lang w:val="en-US"/>
        </w:rPr>
        <w:t xml:space="preserve">ersistent over </w:t>
      </w:r>
      <w:r w:rsidR="006C2C95">
        <w:rPr>
          <w:lang w:val="en-US"/>
        </w:rPr>
        <w:t>t</w:t>
      </w:r>
      <w:r>
        <w:rPr>
          <w:lang w:val="en-US"/>
        </w:rPr>
        <w:t xml:space="preserve">ime? </w:t>
      </w:r>
      <w:r>
        <w:rPr>
          <w:i/>
          <w:lang w:val="en-US"/>
        </w:rPr>
        <w:t>Journal of Business Finance and Accounting</w:t>
      </w:r>
      <w:r>
        <w:rPr>
          <w:lang w:val="en-US"/>
        </w:rPr>
        <w:t xml:space="preserve">, </w:t>
      </w:r>
      <w:r w:rsidRPr="006C2C95">
        <w:rPr>
          <w:i/>
          <w:lang w:val="en-US"/>
        </w:rPr>
        <w:t>24</w:t>
      </w:r>
      <w:r w:rsidR="006C2C95">
        <w:rPr>
          <w:lang w:val="en-US"/>
        </w:rPr>
        <w:t>(1)</w:t>
      </w:r>
      <w:r>
        <w:rPr>
          <w:lang w:val="en-US"/>
        </w:rPr>
        <w:t>, 51-66.</w:t>
      </w:r>
    </w:p>
    <w:p w:rsidR="00BE60B6" w:rsidRDefault="00BE60B6">
      <w:pPr>
        <w:spacing w:after="120"/>
        <w:jc w:val="both"/>
        <w:rPr>
          <w:lang w:val="en-US"/>
        </w:rPr>
      </w:pPr>
      <w:r>
        <w:rPr>
          <w:lang w:val="en-US"/>
        </w:rPr>
        <w:t xml:space="preserve">Claus, </w:t>
      </w:r>
      <w:smartTag w:uri="urn:schemas-microsoft-com:office:smarttags" w:element="place">
        <w:r>
          <w:rPr>
            <w:lang w:val="en-US"/>
          </w:rPr>
          <w:t>I.</w:t>
        </w:r>
      </w:smartTag>
      <w:r w:rsidR="006C2C95">
        <w:rPr>
          <w:lang w:val="en-US"/>
        </w:rPr>
        <w:t>,</w:t>
      </w:r>
      <w:r>
        <w:rPr>
          <w:lang w:val="en-US"/>
        </w:rPr>
        <w:t xml:space="preserve"> </w:t>
      </w:r>
      <w:r w:rsidR="006C2C95">
        <w:rPr>
          <w:lang w:val="en-US"/>
        </w:rPr>
        <w:t xml:space="preserve">&amp; </w:t>
      </w:r>
      <w:r>
        <w:rPr>
          <w:lang w:val="en-US"/>
        </w:rPr>
        <w:t>Scobie</w:t>
      </w:r>
      <w:r w:rsidR="006C2C95">
        <w:rPr>
          <w:lang w:val="en-US"/>
        </w:rPr>
        <w:t>, G.</w:t>
      </w:r>
      <w:r>
        <w:rPr>
          <w:lang w:val="en-US"/>
        </w:rPr>
        <w:t xml:space="preserve"> (2001)</w:t>
      </w:r>
      <w:r w:rsidR="006C2C95">
        <w:rPr>
          <w:lang w:val="en-US"/>
        </w:rPr>
        <w:t>.</w:t>
      </w:r>
      <w:r>
        <w:rPr>
          <w:lang w:val="en-US"/>
        </w:rPr>
        <w:t xml:space="preserve"> Household </w:t>
      </w:r>
      <w:r w:rsidR="006C2C95">
        <w:rPr>
          <w:lang w:val="en-US"/>
        </w:rPr>
        <w:t>n</w:t>
      </w:r>
      <w:r>
        <w:rPr>
          <w:lang w:val="en-US"/>
        </w:rPr>
        <w:t xml:space="preserve">et </w:t>
      </w:r>
      <w:r w:rsidR="006C2C95">
        <w:rPr>
          <w:lang w:val="en-US"/>
        </w:rPr>
        <w:t>w</w:t>
      </w:r>
      <w:r>
        <w:rPr>
          <w:lang w:val="en-US"/>
        </w:rPr>
        <w:t xml:space="preserve">ealth: </w:t>
      </w:r>
      <w:r w:rsidR="006C2C95">
        <w:rPr>
          <w:lang w:val="en-US"/>
        </w:rPr>
        <w:t>a</w:t>
      </w:r>
      <w:r>
        <w:rPr>
          <w:lang w:val="en-US"/>
        </w:rPr>
        <w:t xml:space="preserve">n </w:t>
      </w:r>
      <w:r w:rsidR="006C2C95">
        <w:rPr>
          <w:lang w:val="en-US"/>
        </w:rPr>
        <w:t>i</w:t>
      </w:r>
      <w:r>
        <w:rPr>
          <w:lang w:val="en-US"/>
        </w:rPr>
        <w:t xml:space="preserve">nternational </w:t>
      </w:r>
      <w:r w:rsidR="006C2C95">
        <w:rPr>
          <w:lang w:val="en-US"/>
        </w:rPr>
        <w:t>c</w:t>
      </w:r>
      <w:r>
        <w:rPr>
          <w:lang w:val="en-US"/>
        </w:rPr>
        <w:t>omparison</w:t>
      </w:r>
      <w:r w:rsidR="006C2C95">
        <w:rPr>
          <w:lang w:val="en-US"/>
        </w:rPr>
        <w:t>.</w:t>
      </w:r>
      <w:r>
        <w:rPr>
          <w:lang w:val="en-US"/>
        </w:rPr>
        <w:t xml:space="preserve"> </w:t>
      </w:r>
      <w:r w:rsidR="005D5DE9" w:rsidRPr="005D5DE9">
        <w:rPr>
          <w:lang w:val="en-US"/>
        </w:rPr>
        <w:t xml:space="preserve">Working </w:t>
      </w:r>
      <w:r w:rsidR="00A53B97">
        <w:rPr>
          <w:lang w:val="en-US"/>
        </w:rPr>
        <w:t>p</w:t>
      </w:r>
      <w:r w:rsidR="005D5DE9" w:rsidRPr="005D5DE9">
        <w:rPr>
          <w:lang w:val="en-US"/>
        </w:rPr>
        <w:t>aper 01/</w:t>
      </w:r>
      <w:r w:rsidR="005D5DE9">
        <w:rPr>
          <w:lang w:val="en-US"/>
        </w:rPr>
        <w:t xml:space="preserve">19, </w:t>
      </w:r>
      <w:smartTag w:uri="urn:schemas-microsoft-com:office:smarttags" w:element="City">
        <w:r w:rsidR="005D5DE9">
          <w:rPr>
            <w:lang w:val="en-US"/>
          </w:rPr>
          <w:t>Wellington</w:t>
        </w:r>
      </w:smartTag>
      <w:r w:rsidR="005D5DE9">
        <w:rPr>
          <w:lang w:val="en-US"/>
        </w:rPr>
        <w:t xml:space="preserve"> (</w:t>
      </w:r>
      <w:smartTag w:uri="urn:schemas-microsoft-com:office:smarttags" w:element="place">
        <w:smartTag w:uri="urn:schemas-microsoft-com:office:smarttags" w:element="country-region">
          <w:r w:rsidR="005D5DE9">
            <w:rPr>
              <w:lang w:val="en-US"/>
            </w:rPr>
            <w:t>New Zealand</w:t>
          </w:r>
        </w:smartTag>
      </w:smartTag>
      <w:r w:rsidR="005D5DE9">
        <w:rPr>
          <w:lang w:val="en-US"/>
        </w:rPr>
        <w:t xml:space="preserve">): </w:t>
      </w:r>
      <w:smartTag w:uri="urn:schemas-microsoft-com:office:smarttags" w:element="country-region">
        <w:r w:rsidRPr="005D5DE9">
          <w:rPr>
            <w:lang w:val="en-US"/>
          </w:rPr>
          <w:t>New Zealand</w:t>
        </w:r>
      </w:smartTag>
      <w:r w:rsidRPr="005D5DE9">
        <w:rPr>
          <w:lang w:val="en-US"/>
        </w:rPr>
        <w:t xml:space="preserve"> Treasury</w:t>
      </w:r>
      <w:r>
        <w:rPr>
          <w:lang w:val="en-US"/>
        </w:rPr>
        <w:t>.</w:t>
      </w:r>
    </w:p>
    <w:p w:rsidR="00BE60B6" w:rsidRDefault="00BE60B6">
      <w:pPr>
        <w:spacing w:after="120"/>
        <w:jc w:val="both"/>
        <w:rPr>
          <w:lang w:val="en-US"/>
        </w:rPr>
      </w:pPr>
      <w:r>
        <w:rPr>
          <w:lang w:val="en-US"/>
        </w:rPr>
        <w:t>Cuthbertson, K. (1996)</w:t>
      </w:r>
      <w:r w:rsidR="006C2C95">
        <w:rPr>
          <w:lang w:val="en-US"/>
        </w:rPr>
        <w:t>.</w:t>
      </w:r>
      <w:r>
        <w:rPr>
          <w:lang w:val="en-US"/>
        </w:rPr>
        <w:t xml:space="preserve"> </w:t>
      </w:r>
      <w:r>
        <w:rPr>
          <w:i/>
          <w:lang w:val="en-US"/>
        </w:rPr>
        <w:t xml:space="preserve">Quantitative </w:t>
      </w:r>
      <w:r w:rsidR="006C2C95">
        <w:rPr>
          <w:i/>
          <w:lang w:val="en-US"/>
        </w:rPr>
        <w:t>f</w:t>
      </w:r>
      <w:r>
        <w:rPr>
          <w:i/>
          <w:lang w:val="en-US"/>
        </w:rPr>
        <w:t xml:space="preserve">inancial </w:t>
      </w:r>
      <w:r w:rsidR="006C2C95">
        <w:rPr>
          <w:i/>
          <w:lang w:val="en-US"/>
        </w:rPr>
        <w:t>e</w:t>
      </w:r>
      <w:r>
        <w:rPr>
          <w:i/>
          <w:lang w:val="en-US"/>
        </w:rPr>
        <w:t>conomics</w:t>
      </w:r>
      <w:r>
        <w:rPr>
          <w:lang w:val="en-US"/>
        </w:rPr>
        <w:t xml:space="preserve">, </w:t>
      </w:r>
      <w:smartTag w:uri="urn:schemas-microsoft-com:office:smarttags" w:element="place">
        <w:smartTag w:uri="urn:schemas-microsoft-com:office:smarttags" w:element="State">
          <w:r w:rsidR="006C2C95">
            <w:rPr>
              <w:lang w:val="en-US"/>
            </w:rPr>
            <w:t>New York</w:t>
          </w:r>
        </w:smartTag>
      </w:smartTag>
      <w:r w:rsidR="006C2C95">
        <w:rPr>
          <w:lang w:val="en-US"/>
        </w:rPr>
        <w:t xml:space="preserve">: </w:t>
      </w:r>
      <w:r>
        <w:rPr>
          <w:lang w:val="en-US"/>
        </w:rPr>
        <w:t>John Wiley &amp; Sons.</w:t>
      </w:r>
    </w:p>
    <w:p w:rsidR="00BE60B6" w:rsidRDefault="00BE60B6">
      <w:pPr>
        <w:spacing w:after="120"/>
        <w:jc w:val="both"/>
        <w:rPr>
          <w:lang w:val="en-US"/>
        </w:rPr>
      </w:pPr>
      <w:r>
        <w:rPr>
          <w:lang w:val="en-US"/>
        </w:rPr>
        <w:t>Dalziel, P.</w:t>
      </w:r>
      <w:r w:rsidR="006C2C95">
        <w:rPr>
          <w:lang w:val="en-US"/>
        </w:rPr>
        <w:t>,</w:t>
      </w:r>
      <w:r>
        <w:rPr>
          <w:lang w:val="en-US"/>
        </w:rPr>
        <w:t xml:space="preserve"> </w:t>
      </w:r>
      <w:r w:rsidR="006C2C95">
        <w:rPr>
          <w:lang w:val="en-US"/>
        </w:rPr>
        <w:t xml:space="preserve">&amp; </w:t>
      </w:r>
      <w:r>
        <w:rPr>
          <w:lang w:val="en-US"/>
        </w:rPr>
        <w:t>Lattimore</w:t>
      </w:r>
      <w:r w:rsidR="006C2C95">
        <w:rPr>
          <w:lang w:val="en-US"/>
        </w:rPr>
        <w:t>, R.</w:t>
      </w:r>
      <w:r>
        <w:rPr>
          <w:lang w:val="en-US"/>
        </w:rPr>
        <w:t xml:space="preserve"> (2001</w:t>
      </w:r>
      <w:r>
        <w:rPr>
          <w:i/>
          <w:lang w:val="en-US"/>
        </w:rPr>
        <w:t>)</w:t>
      </w:r>
      <w:r w:rsidR="006C2C95">
        <w:rPr>
          <w:lang w:val="en-US"/>
        </w:rPr>
        <w:t>.</w:t>
      </w:r>
      <w:r>
        <w:rPr>
          <w:i/>
          <w:lang w:val="en-US"/>
        </w:rPr>
        <w:t xml:space="preserve"> The </w:t>
      </w:r>
      <w:smartTag w:uri="urn:schemas-microsoft-com:office:smarttags" w:element="country-region">
        <w:r>
          <w:rPr>
            <w:i/>
            <w:lang w:val="en-US"/>
          </w:rPr>
          <w:t>New Zealand</w:t>
        </w:r>
      </w:smartTag>
      <w:r>
        <w:rPr>
          <w:i/>
          <w:lang w:val="en-US"/>
        </w:rPr>
        <w:t xml:space="preserve"> </w:t>
      </w:r>
      <w:r w:rsidR="00E16D8B">
        <w:rPr>
          <w:i/>
          <w:lang w:val="en-US"/>
        </w:rPr>
        <w:t>m</w:t>
      </w:r>
      <w:r>
        <w:rPr>
          <w:i/>
          <w:lang w:val="en-US"/>
        </w:rPr>
        <w:t xml:space="preserve">acroeconomy: </w:t>
      </w:r>
      <w:r w:rsidR="00E16D8B">
        <w:rPr>
          <w:i/>
          <w:lang w:val="en-US"/>
        </w:rPr>
        <w:t>a</w:t>
      </w:r>
      <w:r>
        <w:rPr>
          <w:i/>
          <w:lang w:val="en-US"/>
        </w:rPr>
        <w:t xml:space="preserve"> </w:t>
      </w:r>
      <w:r w:rsidR="00E16D8B">
        <w:rPr>
          <w:i/>
          <w:lang w:val="en-US"/>
        </w:rPr>
        <w:t>b</w:t>
      </w:r>
      <w:r>
        <w:rPr>
          <w:i/>
          <w:lang w:val="en-US"/>
        </w:rPr>
        <w:t xml:space="preserve">riefing on the </w:t>
      </w:r>
      <w:r w:rsidR="00E16D8B">
        <w:rPr>
          <w:i/>
          <w:lang w:val="en-US"/>
        </w:rPr>
        <w:t>r</w:t>
      </w:r>
      <w:r>
        <w:rPr>
          <w:i/>
          <w:lang w:val="en-US"/>
        </w:rPr>
        <w:t xml:space="preserve">eforms and their </w:t>
      </w:r>
      <w:r w:rsidR="00E16D8B">
        <w:rPr>
          <w:i/>
          <w:lang w:val="en-US"/>
        </w:rPr>
        <w:t>l</w:t>
      </w:r>
      <w:r>
        <w:rPr>
          <w:i/>
          <w:lang w:val="en-US"/>
        </w:rPr>
        <w:t>egacy</w:t>
      </w:r>
      <w:r>
        <w:rPr>
          <w:lang w:val="en-US"/>
        </w:rPr>
        <w:t xml:space="preserve">, </w:t>
      </w:r>
      <w:smartTag w:uri="urn:schemas-microsoft-com:office:smarttags" w:element="City">
        <w:r w:rsidR="00E16D8B">
          <w:rPr>
            <w:lang w:val="en-US"/>
          </w:rPr>
          <w:t>Melbourne</w:t>
        </w:r>
      </w:smartTag>
      <w:r w:rsidR="00E16D8B">
        <w:rPr>
          <w:lang w:val="en-US"/>
        </w:rPr>
        <w:t xml:space="preserve"> (</w:t>
      </w:r>
      <w:smartTag w:uri="urn:schemas-microsoft-com:office:smarttags" w:element="place">
        <w:smartTag w:uri="urn:schemas-microsoft-com:office:smarttags" w:element="country-region">
          <w:r w:rsidR="00E16D8B">
            <w:rPr>
              <w:lang w:val="en-US"/>
            </w:rPr>
            <w:t>Australia</w:t>
          </w:r>
        </w:smartTag>
      </w:smartTag>
      <w:r w:rsidR="00E16D8B">
        <w:rPr>
          <w:lang w:val="en-US"/>
        </w:rPr>
        <w:t xml:space="preserve">): </w:t>
      </w:r>
      <w:smartTag w:uri="urn:schemas-microsoft-com:office:smarttags" w:element="City">
        <w:r>
          <w:rPr>
            <w:lang w:val="en-US"/>
          </w:rPr>
          <w:t>Oxford</w:t>
        </w:r>
      </w:smartTag>
      <w:r>
        <w:rPr>
          <w:lang w:val="en-US"/>
        </w:rPr>
        <w:t xml:space="preserve"> University Press.</w:t>
      </w:r>
    </w:p>
    <w:p w:rsidR="00BE60B6" w:rsidRDefault="00BE60B6">
      <w:pPr>
        <w:spacing w:after="120"/>
        <w:jc w:val="both"/>
        <w:rPr>
          <w:lang w:val="en-US"/>
        </w:rPr>
      </w:pPr>
      <w:r>
        <w:rPr>
          <w:lang w:val="en-US"/>
        </w:rPr>
        <w:t>Daniel, K., Hirshleifer</w:t>
      </w:r>
      <w:r w:rsidR="00E16D8B">
        <w:rPr>
          <w:lang w:val="en-US"/>
        </w:rPr>
        <w:t>, D.,</w:t>
      </w:r>
      <w:r>
        <w:rPr>
          <w:lang w:val="en-US"/>
        </w:rPr>
        <w:t xml:space="preserve"> </w:t>
      </w:r>
      <w:r w:rsidR="00E16D8B">
        <w:rPr>
          <w:lang w:val="en-US"/>
        </w:rPr>
        <w:t xml:space="preserve">&amp; </w:t>
      </w:r>
      <w:r>
        <w:rPr>
          <w:lang w:val="en-US"/>
        </w:rPr>
        <w:t>Subrahmanyam</w:t>
      </w:r>
      <w:r w:rsidR="00E16D8B">
        <w:rPr>
          <w:lang w:val="en-US"/>
        </w:rPr>
        <w:t>, A.</w:t>
      </w:r>
      <w:r>
        <w:rPr>
          <w:lang w:val="en-US"/>
        </w:rPr>
        <w:t xml:space="preserve"> (1998)</w:t>
      </w:r>
      <w:r w:rsidR="00E16D8B">
        <w:rPr>
          <w:lang w:val="en-US"/>
        </w:rPr>
        <w:t>.</w:t>
      </w:r>
      <w:r>
        <w:rPr>
          <w:lang w:val="en-US"/>
        </w:rPr>
        <w:t xml:space="preserve"> Investor </w:t>
      </w:r>
      <w:r w:rsidR="00E16D8B">
        <w:rPr>
          <w:lang w:val="en-US"/>
        </w:rPr>
        <w:t>p</w:t>
      </w:r>
      <w:r>
        <w:rPr>
          <w:lang w:val="en-US"/>
        </w:rPr>
        <w:t xml:space="preserve">sychology and </w:t>
      </w:r>
      <w:r w:rsidR="00E16D8B">
        <w:rPr>
          <w:lang w:val="en-US"/>
        </w:rPr>
        <w:t>s</w:t>
      </w:r>
      <w:r>
        <w:rPr>
          <w:lang w:val="en-US"/>
        </w:rPr>
        <w:t xml:space="preserve">ecurity </w:t>
      </w:r>
      <w:r w:rsidR="00E16D8B">
        <w:rPr>
          <w:lang w:val="en-US"/>
        </w:rPr>
        <w:t>m</w:t>
      </w:r>
      <w:r>
        <w:rPr>
          <w:lang w:val="en-US"/>
        </w:rPr>
        <w:t xml:space="preserve">arket </w:t>
      </w:r>
      <w:r w:rsidR="00E16D8B">
        <w:rPr>
          <w:lang w:val="en-US"/>
        </w:rPr>
        <w:t>u</w:t>
      </w:r>
      <w:r>
        <w:rPr>
          <w:lang w:val="en-US"/>
        </w:rPr>
        <w:t>nder-and-</w:t>
      </w:r>
      <w:r w:rsidR="00E16D8B">
        <w:rPr>
          <w:lang w:val="en-US"/>
        </w:rPr>
        <w:t>o</w:t>
      </w:r>
      <w:r>
        <w:rPr>
          <w:lang w:val="en-US"/>
        </w:rPr>
        <w:t>verreactions</w:t>
      </w:r>
      <w:r w:rsidR="00E16D8B">
        <w:rPr>
          <w:lang w:val="en-US"/>
        </w:rPr>
        <w:t>.</w:t>
      </w:r>
      <w:r>
        <w:rPr>
          <w:lang w:val="en-US"/>
        </w:rPr>
        <w:t xml:space="preserve"> </w:t>
      </w:r>
      <w:r>
        <w:rPr>
          <w:i/>
          <w:lang w:val="en-US"/>
        </w:rPr>
        <w:t>Journal of Finance</w:t>
      </w:r>
      <w:r>
        <w:rPr>
          <w:lang w:val="en-US"/>
        </w:rPr>
        <w:t xml:space="preserve">, </w:t>
      </w:r>
      <w:r w:rsidRPr="00E16D8B">
        <w:rPr>
          <w:i/>
          <w:lang w:val="en-US"/>
        </w:rPr>
        <w:t>53</w:t>
      </w:r>
      <w:r w:rsidR="00E16D8B">
        <w:rPr>
          <w:lang w:val="en-US"/>
        </w:rPr>
        <w:t>(6)</w:t>
      </w:r>
      <w:r>
        <w:rPr>
          <w:lang w:val="en-US"/>
        </w:rPr>
        <w:t>, 2143-2184.</w:t>
      </w:r>
    </w:p>
    <w:p w:rsidR="00BE60B6" w:rsidRDefault="00BE60B6">
      <w:pPr>
        <w:spacing w:after="120"/>
        <w:jc w:val="both"/>
        <w:rPr>
          <w:lang w:val="en-US"/>
        </w:rPr>
      </w:pPr>
      <w:r w:rsidRPr="00ED5889">
        <w:t xml:space="preserve">DeLong, J. B., Schleifer, </w:t>
      </w:r>
      <w:r w:rsidR="00E16D8B" w:rsidRPr="00ED5889">
        <w:t xml:space="preserve">A., </w:t>
      </w:r>
      <w:r w:rsidRPr="00ED5889">
        <w:t>Summers</w:t>
      </w:r>
      <w:r w:rsidR="00E16D8B" w:rsidRPr="00ED5889">
        <w:t>,</w:t>
      </w:r>
      <w:r w:rsidRPr="00ED5889">
        <w:t xml:space="preserve"> </w:t>
      </w:r>
      <w:r w:rsidR="00E16D8B" w:rsidRPr="00ED5889">
        <w:t xml:space="preserve">L. H., &amp; </w:t>
      </w:r>
      <w:r w:rsidRPr="00ED5889">
        <w:t>Waldmann</w:t>
      </w:r>
      <w:r w:rsidR="00E16D8B" w:rsidRPr="00ED5889">
        <w:t>,</w:t>
      </w:r>
      <w:r w:rsidRPr="00ED5889">
        <w:t xml:space="preserve"> </w:t>
      </w:r>
      <w:r w:rsidR="00E16D8B" w:rsidRPr="00ED5889">
        <w:t xml:space="preserve">R. J. </w:t>
      </w:r>
      <w:r w:rsidRPr="00ED5889">
        <w:t>(1990)</w:t>
      </w:r>
      <w:r w:rsidR="00E16D8B" w:rsidRPr="00ED5889">
        <w:t>.</w:t>
      </w:r>
      <w:r w:rsidRPr="00ED5889">
        <w:t xml:space="preserve"> </w:t>
      </w:r>
      <w:r>
        <w:rPr>
          <w:lang w:val="en-US"/>
        </w:rPr>
        <w:t xml:space="preserve">The </w:t>
      </w:r>
      <w:r w:rsidR="00E16D8B">
        <w:rPr>
          <w:lang w:val="en-US"/>
        </w:rPr>
        <w:t>e</w:t>
      </w:r>
      <w:r>
        <w:rPr>
          <w:lang w:val="en-US"/>
        </w:rPr>
        <w:t xml:space="preserve">conomic </w:t>
      </w:r>
      <w:r w:rsidR="00E16D8B">
        <w:rPr>
          <w:lang w:val="en-US"/>
        </w:rPr>
        <w:t>c</w:t>
      </w:r>
      <w:r>
        <w:rPr>
          <w:lang w:val="en-US"/>
        </w:rPr>
        <w:t xml:space="preserve">onsequences of </w:t>
      </w:r>
      <w:r w:rsidR="00E16D8B">
        <w:rPr>
          <w:lang w:val="en-US"/>
        </w:rPr>
        <w:t>n</w:t>
      </w:r>
      <w:r>
        <w:rPr>
          <w:lang w:val="en-US"/>
        </w:rPr>
        <w:t xml:space="preserve">oise </w:t>
      </w:r>
      <w:r w:rsidR="00E16D8B">
        <w:rPr>
          <w:lang w:val="en-US"/>
        </w:rPr>
        <w:t>t</w:t>
      </w:r>
      <w:r>
        <w:rPr>
          <w:lang w:val="en-US"/>
        </w:rPr>
        <w:t>raders</w:t>
      </w:r>
      <w:r w:rsidR="00E16D8B">
        <w:rPr>
          <w:lang w:val="en-US"/>
        </w:rPr>
        <w:t>.</w:t>
      </w:r>
      <w:r>
        <w:rPr>
          <w:lang w:val="en-US"/>
        </w:rPr>
        <w:t xml:space="preserve"> </w:t>
      </w:r>
      <w:r>
        <w:rPr>
          <w:i/>
          <w:lang w:val="en-US"/>
        </w:rPr>
        <w:t>Journal of Political Economy</w:t>
      </w:r>
      <w:r>
        <w:rPr>
          <w:lang w:val="en-US"/>
        </w:rPr>
        <w:t xml:space="preserve">, </w:t>
      </w:r>
      <w:r w:rsidRPr="00E16D8B">
        <w:rPr>
          <w:i/>
          <w:lang w:val="en-US"/>
        </w:rPr>
        <w:t>98</w:t>
      </w:r>
      <w:r w:rsidR="00E16D8B">
        <w:rPr>
          <w:lang w:val="en-US"/>
        </w:rPr>
        <w:t>(4)</w:t>
      </w:r>
      <w:r>
        <w:rPr>
          <w:lang w:val="en-US"/>
        </w:rPr>
        <w:t>, 703-738.</w:t>
      </w:r>
    </w:p>
    <w:p w:rsidR="00BE60B6" w:rsidRDefault="00BE60B6">
      <w:pPr>
        <w:spacing w:after="120"/>
        <w:jc w:val="both"/>
        <w:rPr>
          <w:lang w:val="en-US"/>
        </w:rPr>
      </w:pPr>
      <w:r>
        <w:rPr>
          <w:lang w:val="en-US"/>
        </w:rPr>
        <w:t>Diba, B. T.</w:t>
      </w:r>
      <w:r w:rsidR="00E16D8B">
        <w:rPr>
          <w:lang w:val="en-US"/>
        </w:rPr>
        <w:t>,</w:t>
      </w:r>
      <w:r>
        <w:rPr>
          <w:lang w:val="en-US"/>
        </w:rPr>
        <w:t xml:space="preserve"> </w:t>
      </w:r>
      <w:r w:rsidR="00E16D8B">
        <w:rPr>
          <w:lang w:val="en-US"/>
        </w:rPr>
        <w:t xml:space="preserve">&amp; </w:t>
      </w:r>
      <w:r>
        <w:rPr>
          <w:lang w:val="en-US"/>
        </w:rPr>
        <w:t>Grossman</w:t>
      </w:r>
      <w:r w:rsidR="00E16D8B">
        <w:rPr>
          <w:lang w:val="en-US"/>
        </w:rPr>
        <w:t>,</w:t>
      </w:r>
      <w:r>
        <w:rPr>
          <w:lang w:val="en-US"/>
        </w:rPr>
        <w:t xml:space="preserve"> </w:t>
      </w:r>
      <w:r w:rsidR="00E16D8B">
        <w:rPr>
          <w:lang w:val="en-US"/>
        </w:rPr>
        <w:t xml:space="preserve">H. L. </w:t>
      </w:r>
      <w:r>
        <w:rPr>
          <w:lang w:val="en-US"/>
        </w:rPr>
        <w:t>(1988)</w:t>
      </w:r>
      <w:r w:rsidR="00E16D8B">
        <w:rPr>
          <w:lang w:val="en-US"/>
        </w:rPr>
        <w:t>.</w:t>
      </w:r>
      <w:r>
        <w:rPr>
          <w:lang w:val="en-US"/>
        </w:rPr>
        <w:t xml:space="preserve"> Explosive </w:t>
      </w:r>
      <w:r w:rsidR="00E16D8B">
        <w:rPr>
          <w:lang w:val="en-US"/>
        </w:rPr>
        <w:t>r</w:t>
      </w:r>
      <w:r>
        <w:rPr>
          <w:lang w:val="en-US"/>
        </w:rPr>
        <w:t xml:space="preserve">ational </w:t>
      </w:r>
      <w:r w:rsidR="00E16D8B">
        <w:rPr>
          <w:lang w:val="en-US"/>
        </w:rPr>
        <w:t>b</w:t>
      </w:r>
      <w:r>
        <w:rPr>
          <w:lang w:val="en-US"/>
        </w:rPr>
        <w:t xml:space="preserve">ubbles in </w:t>
      </w:r>
      <w:r w:rsidR="00E16D8B">
        <w:rPr>
          <w:lang w:val="en-US"/>
        </w:rPr>
        <w:t>s</w:t>
      </w:r>
      <w:r>
        <w:rPr>
          <w:lang w:val="en-US"/>
        </w:rPr>
        <w:t xml:space="preserve">tock </w:t>
      </w:r>
      <w:r w:rsidR="00E16D8B">
        <w:rPr>
          <w:lang w:val="en-US"/>
        </w:rPr>
        <w:t>p</w:t>
      </w:r>
      <w:r>
        <w:rPr>
          <w:lang w:val="en-US"/>
        </w:rPr>
        <w:t xml:space="preserve">rices? </w:t>
      </w:r>
      <w:r>
        <w:rPr>
          <w:i/>
          <w:lang w:val="en-US"/>
        </w:rPr>
        <w:t>American Economic Review</w:t>
      </w:r>
      <w:r>
        <w:rPr>
          <w:lang w:val="en-US"/>
        </w:rPr>
        <w:t xml:space="preserve">, </w:t>
      </w:r>
      <w:r w:rsidRPr="00E16D8B">
        <w:rPr>
          <w:i/>
          <w:lang w:val="en-US"/>
        </w:rPr>
        <w:t>78</w:t>
      </w:r>
      <w:r w:rsidR="00E16D8B">
        <w:rPr>
          <w:lang w:val="en-US"/>
        </w:rPr>
        <w:t>(3)</w:t>
      </w:r>
      <w:r>
        <w:rPr>
          <w:lang w:val="en-US"/>
        </w:rPr>
        <w:t>, 520-530.</w:t>
      </w:r>
    </w:p>
    <w:p w:rsidR="00BE60B6" w:rsidRDefault="00BE60B6">
      <w:pPr>
        <w:spacing w:after="120"/>
        <w:jc w:val="both"/>
        <w:rPr>
          <w:lang w:val="en-US"/>
        </w:rPr>
      </w:pPr>
      <w:r>
        <w:rPr>
          <w:lang w:val="en-US"/>
        </w:rPr>
        <w:t>Dissanaike, G. (1997)</w:t>
      </w:r>
      <w:r w:rsidR="00E16D8B">
        <w:rPr>
          <w:lang w:val="en-US"/>
        </w:rPr>
        <w:t>.</w:t>
      </w:r>
      <w:r>
        <w:rPr>
          <w:lang w:val="en-US"/>
        </w:rPr>
        <w:t xml:space="preserve"> Do </w:t>
      </w:r>
      <w:r w:rsidR="00E16D8B">
        <w:rPr>
          <w:lang w:val="en-US"/>
        </w:rPr>
        <w:t>s</w:t>
      </w:r>
      <w:r>
        <w:rPr>
          <w:lang w:val="en-US"/>
        </w:rPr>
        <w:t xml:space="preserve">tock </w:t>
      </w:r>
      <w:r w:rsidR="00E16D8B">
        <w:rPr>
          <w:lang w:val="en-US"/>
        </w:rPr>
        <w:t>m</w:t>
      </w:r>
      <w:r>
        <w:rPr>
          <w:lang w:val="en-US"/>
        </w:rPr>
        <w:t xml:space="preserve">arket </w:t>
      </w:r>
      <w:r w:rsidR="00E16D8B">
        <w:rPr>
          <w:lang w:val="en-US"/>
        </w:rPr>
        <w:t>i</w:t>
      </w:r>
      <w:r>
        <w:rPr>
          <w:lang w:val="en-US"/>
        </w:rPr>
        <w:t xml:space="preserve">nvestors </w:t>
      </w:r>
      <w:r w:rsidR="00E16D8B">
        <w:rPr>
          <w:lang w:val="en-US"/>
        </w:rPr>
        <w:t>o</w:t>
      </w:r>
      <w:r>
        <w:rPr>
          <w:lang w:val="en-US"/>
        </w:rPr>
        <w:t xml:space="preserve">verreact? </w:t>
      </w:r>
      <w:r>
        <w:rPr>
          <w:i/>
          <w:lang w:val="en-US"/>
        </w:rPr>
        <w:t>Journal of Business Finance and Accounting</w:t>
      </w:r>
      <w:r>
        <w:rPr>
          <w:lang w:val="en-US"/>
        </w:rPr>
        <w:t xml:space="preserve">, </w:t>
      </w:r>
      <w:r w:rsidRPr="00E16D8B">
        <w:rPr>
          <w:i/>
          <w:lang w:val="en-US"/>
        </w:rPr>
        <w:t>24</w:t>
      </w:r>
      <w:r w:rsidR="00E16D8B">
        <w:rPr>
          <w:lang w:val="en-US"/>
        </w:rPr>
        <w:t>(1)</w:t>
      </w:r>
      <w:r>
        <w:rPr>
          <w:lang w:val="en-US"/>
        </w:rPr>
        <w:t>, 27-50.</w:t>
      </w:r>
    </w:p>
    <w:p w:rsidR="00BE60B6" w:rsidRDefault="00E16D8B">
      <w:pPr>
        <w:spacing w:after="120"/>
        <w:jc w:val="both"/>
        <w:rPr>
          <w:lang w:val="en-US"/>
        </w:rPr>
      </w:pPr>
      <w:r>
        <w:rPr>
          <w:lang w:val="en-US"/>
        </w:rPr>
        <w:t xml:space="preserve">(The) </w:t>
      </w:r>
      <w:r w:rsidR="00BE60B6">
        <w:rPr>
          <w:lang w:val="en-US"/>
        </w:rPr>
        <w:t>Economist</w:t>
      </w:r>
      <w:r>
        <w:rPr>
          <w:lang w:val="en-US"/>
        </w:rPr>
        <w:t>.</w:t>
      </w:r>
      <w:r w:rsidR="00BE60B6">
        <w:rPr>
          <w:lang w:val="en-US"/>
        </w:rPr>
        <w:t xml:space="preserve"> (2006a)</w:t>
      </w:r>
      <w:r>
        <w:rPr>
          <w:lang w:val="en-US"/>
        </w:rPr>
        <w:t>.</w:t>
      </w:r>
      <w:r w:rsidR="00BE60B6">
        <w:rPr>
          <w:lang w:val="en-US"/>
        </w:rPr>
        <w:t xml:space="preserve"> </w:t>
      </w:r>
      <w:r w:rsidR="00BE60B6" w:rsidRPr="00E16D8B">
        <w:rPr>
          <w:i/>
          <w:lang w:val="en-US"/>
        </w:rPr>
        <w:t xml:space="preserve">Global house </w:t>
      </w:r>
      <w:r w:rsidRPr="00E16D8B">
        <w:rPr>
          <w:i/>
          <w:lang w:val="en-US"/>
        </w:rPr>
        <w:t>p</w:t>
      </w:r>
      <w:r w:rsidR="00BE60B6" w:rsidRPr="00E16D8B">
        <w:rPr>
          <w:i/>
          <w:lang w:val="en-US"/>
        </w:rPr>
        <w:t xml:space="preserve">rices: </w:t>
      </w:r>
      <w:r w:rsidRPr="00E16D8B">
        <w:rPr>
          <w:i/>
          <w:lang w:val="en-US"/>
        </w:rPr>
        <w:t>s</w:t>
      </w:r>
      <w:r w:rsidR="00BE60B6" w:rsidRPr="00E16D8B">
        <w:rPr>
          <w:i/>
          <w:lang w:val="en-US"/>
        </w:rPr>
        <w:t>oft isn’t safe</w:t>
      </w:r>
      <w:r w:rsidR="00BE60B6">
        <w:rPr>
          <w:lang w:val="en-US"/>
        </w:rPr>
        <w:t>, March 4.</w:t>
      </w:r>
    </w:p>
    <w:p w:rsidR="00BE60B6" w:rsidRDefault="00E16D8B">
      <w:pPr>
        <w:spacing w:after="120"/>
        <w:jc w:val="both"/>
        <w:rPr>
          <w:lang w:val="en-US"/>
        </w:rPr>
      </w:pPr>
      <w:r>
        <w:rPr>
          <w:lang w:val="en-US"/>
        </w:rPr>
        <w:t xml:space="preserve">(The) </w:t>
      </w:r>
      <w:r w:rsidR="00BE60B6">
        <w:rPr>
          <w:lang w:val="en-US"/>
        </w:rPr>
        <w:t>Economist</w:t>
      </w:r>
      <w:r>
        <w:rPr>
          <w:lang w:val="en-US"/>
        </w:rPr>
        <w:t>.</w:t>
      </w:r>
      <w:r w:rsidR="00BE60B6">
        <w:rPr>
          <w:lang w:val="en-US"/>
        </w:rPr>
        <w:t xml:space="preserve"> (2006b)</w:t>
      </w:r>
      <w:r>
        <w:rPr>
          <w:lang w:val="en-US"/>
        </w:rPr>
        <w:t>.</w:t>
      </w:r>
      <w:r w:rsidR="00BE60B6">
        <w:rPr>
          <w:lang w:val="en-US"/>
        </w:rPr>
        <w:t xml:space="preserve"> </w:t>
      </w:r>
      <w:r w:rsidR="00BE60B6" w:rsidRPr="00E16D8B">
        <w:rPr>
          <w:i/>
          <w:lang w:val="en-US"/>
        </w:rPr>
        <w:t xml:space="preserve">Economic </w:t>
      </w:r>
      <w:r w:rsidRPr="00E16D8B">
        <w:rPr>
          <w:i/>
          <w:lang w:val="en-US"/>
        </w:rPr>
        <w:t>f</w:t>
      </w:r>
      <w:r w:rsidR="00BE60B6" w:rsidRPr="00E16D8B">
        <w:rPr>
          <w:i/>
          <w:lang w:val="en-US"/>
        </w:rPr>
        <w:t xml:space="preserve">ocus: </w:t>
      </w:r>
      <w:r w:rsidRPr="00E16D8B">
        <w:rPr>
          <w:i/>
          <w:lang w:val="en-US"/>
        </w:rPr>
        <w:t>n</w:t>
      </w:r>
      <w:r w:rsidR="00BE60B6" w:rsidRPr="00E16D8B">
        <w:rPr>
          <w:i/>
          <w:lang w:val="en-US"/>
        </w:rPr>
        <w:t>ews from the home front</w:t>
      </w:r>
      <w:r w:rsidR="00BE60B6">
        <w:rPr>
          <w:lang w:val="en-US"/>
        </w:rPr>
        <w:t>, June 10.</w:t>
      </w:r>
    </w:p>
    <w:p w:rsidR="00BE60B6" w:rsidRDefault="00BE60B6">
      <w:pPr>
        <w:spacing w:after="120"/>
        <w:jc w:val="both"/>
        <w:rPr>
          <w:lang w:val="en-US"/>
        </w:rPr>
      </w:pPr>
      <w:r w:rsidRPr="00E16D8B">
        <w:rPr>
          <w:lang w:val="de-CH"/>
        </w:rPr>
        <w:t>Englund, P., Hwang</w:t>
      </w:r>
      <w:r w:rsidR="00E16D8B" w:rsidRPr="00E16D8B">
        <w:rPr>
          <w:lang w:val="de-CH"/>
        </w:rPr>
        <w:t>,</w:t>
      </w:r>
      <w:r w:rsidRPr="00E16D8B">
        <w:rPr>
          <w:lang w:val="de-CH"/>
        </w:rPr>
        <w:t xml:space="preserve"> </w:t>
      </w:r>
      <w:r w:rsidR="00E16D8B" w:rsidRPr="00E16D8B">
        <w:rPr>
          <w:lang w:val="de-CH"/>
        </w:rPr>
        <w:t xml:space="preserve">M., &amp; </w:t>
      </w:r>
      <w:r w:rsidRPr="00E16D8B">
        <w:rPr>
          <w:lang w:val="de-CH"/>
        </w:rPr>
        <w:t>Quigley</w:t>
      </w:r>
      <w:r w:rsidR="00E16D8B" w:rsidRPr="00E16D8B">
        <w:rPr>
          <w:lang w:val="de-CH"/>
        </w:rPr>
        <w:t>,</w:t>
      </w:r>
      <w:r w:rsidRPr="00E16D8B">
        <w:rPr>
          <w:lang w:val="de-CH"/>
        </w:rPr>
        <w:t xml:space="preserve"> </w:t>
      </w:r>
      <w:r w:rsidR="00E16D8B" w:rsidRPr="00E16D8B">
        <w:rPr>
          <w:lang w:val="de-CH"/>
        </w:rPr>
        <w:t xml:space="preserve">J. M. </w:t>
      </w:r>
      <w:r w:rsidRPr="00E16D8B">
        <w:rPr>
          <w:lang w:val="de-CH"/>
        </w:rPr>
        <w:t>(2002)</w:t>
      </w:r>
      <w:r w:rsidR="00E16D8B" w:rsidRPr="00E16D8B">
        <w:rPr>
          <w:lang w:val="de-CH"/>
        </w:rPr>
        <w:t>.</w:t>
      </w:r>
      <w:r w:rsidRPr="00E16D8B">
        <w:rPr>
          <w:lang w:val="de-CH"/>
        </w:rPr>
        <w:t xml:space="preserve"> </w:t>
      </w:r>
      <w:r>
        <w:rPr>
          <w:lang w:val="en-US"/>
        </w:rPr>
        <w:t xml:space="preserve">Hedging </w:t>
      </w:r>
      <w:r w:rsidR="00E16D8B">
        <w:rPr>
          <w:lang w:val="en-US"/>
        </w:rPr>
        <w:t>h</w:t>
      </w:r>
      <w:r>
        <w:rPr>
          <w:lang w:val="en-US"/>
        </w:rPr>
        <w:t xml:space="preserve">ousing </w:t>
      </w:r>
      <w:r w:rsidR="00E16D8B">
        <w:rPr>
          <w:lang w:val="en-US"/>
        </w:rPr>
        <w:t>r</w:t>
      </w:r>
      <w:r>
        <w:rPr>
          <w:lang w:val="en-US"/>
        </w:rPr>
        <w:t>isk</w:t>
      </w:r>
      <w:r w:rsidR="00E16D8B">
        <w:rPr>
          <w:lang w:val="en-US"/>
        </w:rPr>
        <w:t>.</w:t>
      </w:r>
      <w:r>
        <w:rPr>
          <w:lang w:val="en-US"/>
        </w:rPr>
        <w:t xml:space="preserve"> </w:t>
      </w:r>
      <w:r>
        <w:rPr>
          <w:i/>
          <w:lang w:val="en-US"/>
        </w:rPr>
        <w:t>Journal of Real Estate Finance and Economics</w:t>
      </w:r>
      <w:r>
        <w:rPr>
          <w:lang w:val="en-US"/>
        </w:rPr>
        <w:t xml:space="preserve">, </w:t>
      </w:r>
      <w:r w:rsidRPr="00E16D8B">
        <w:rPr>
          <w:i/>
          <w:lang w:val="en-US"/>
        </w:rPr>
        <w:t>24</w:t>
      </w:r>
      <w:r w:rsidR="00E16D8B">
        <w:rPr>
          <w:lang w:val="en-US"/>
        </w:rPr>
        <w:t>(1/2)</w:t>
      </w:r>
      <w:r>
        <w:rPr>
          <w:lang w:val="en-US"/>
        </w:rPr>
        <w:t>, 167-200.</w:t>
      </w:r>
    </w:p>
    <w:p w:rsidR="00BE60B6" w:rsidRDefault="00BE60B6">
      <w:pPr>
        <w:spacing w:after="120"/>
        <w:jc w:val="both"/>
        <w:rPr>
          <w:lang w:val="en-US"/>
        </w:rPr>
      </w:pPr>
      <w:r>
        <w:rPr>
          <w:lang w:val="en-US"/>
        </w:rPr>
        <w:t>Farlow, A. (2004)</w:t>
      </w:r>
      <w:r w:rsidR="00E16D8B">
        <w:rPr>
          <w:lang w:val="en-US"/>
        </w:rPr>
        <w:t>.</w:t>
      </w:r>
      <w:r>
        <w:rPr>
          <w:lang w:val="en-US"/>
        </w:rPr>
        <w:t xml:space="preserve"> </w:t>
      </w:r>
      <w:smartTag w:uri="urn:schemas-microsoft-com:office:smarttags" w:element="place">
        <w:smartTag w:uri="urn:schemas-microsoft-com:office:smarttags" w:element="country-region">
          <w:r w:rsidRPr="00E16D8B">
            <w:rPr>
              <w:i/>
              <w:lang w:val="en-US"/>
            </w:rPr>
            <w:t>UK</w:t>
          </w:r>
        </w:smartTag>
      </w:smartTag>
      <w:r w:rsidRPr="00E16D8B">
        <w:rPr>
          <w:i/>
          <w:lang w:val="en-US"/>
        </w:rPr>
        <w:t xml:space="preserve"> </w:t>
      </w:r>
      <w:r w:rsidR="00E16D8B">
        <w:rPr>
          <w:i/>
          <w:lang w:val="en-US"/>
        </w:rPr>
        <w:t>h</w:t>
      </w:r>
      <w:r w:rsidRPr="00E16D8B">
        <w:rPr>
          <w:i/>
          <w:lang w:val="en-US"/>
        </w:rPr>
        <w:t xml:space="preserve">ouse </w:t>
      </w:r>
      <w:r w:rsidR="00E16D8B">
        <w:rPr>
          <w:i/>
          <w:lang w:val="en-US"/>
        </w:rPr>
        <w:t>p</w:t>
      </w:r>
      <w:r w:rsidRPr="00E16D8B">
        <w:rPr>
          <w:i/>
          <w:lang w:val="en-US"/>
        </w:rPr>
        <w:t xml:space="preserve">rices: </w:t>
      </w:r>
      <w:r w:rsidR="00E16D8B">
        <w:rPr>
          <w:i/>
          <w:lang w:val="en-US"/>
        </w:rPr>
        <w:t>a</w:t>
      </w:r>
      <w:r w:rsidRPr="00E16D8B">
        <w:rPr>
          <w:i/>
          <w:lang w:val="en-US"/>
        </w:rPr>
        <w:t xml:space="preserve"> </w:t>
      </w:r>
      <w:r w:rsidR="00E16D8B">
        <w:rPr>
          <w:i/>
          <w:lang w:val="en-US"/>
        </w:rPr>
        <w:t>c</w:t>
      </w:r>
      <w:r w:rsidRPr="00E16D8B">
        <w:rPr>
          <w:i/>
          <w:lang w:val="en-US"/>
        </w:rPr>
        <w:t xml:space="preserve">ritical </w:t>
      </w:r>
      <w:r w:rsidR="00E16D8B">
        <w:rPr>
          <w:i/>
          <w:lang w:val="en-US"/>
        </w:rPr>
        <w:t>a</w:t>
      </w:r>
      <w:r w:rsidRPr="00E16D8B">
        <w:rPr>
          <w:i/>
          <w:lang w:val="en-US"/>
        </w:rPr>
        <w:t>ssessment</w:t>
      </w:r>
      <w:r>
        <w:rPr>
          <w:lang w:val="en-US"/>
        </w:rPr>
        <w:t xml:space="preserve">. Part One of a report prepared for the Credit Suisse First Boston Housing Market Conference in May 2003, </w:t>
      </w:r>
      <w:smartTag w:uri="urn:schemas-microsoft-com:office:smarttags" w:element="place">
        <w:smartTag w:uri="urn:schemas-microsoft-com:office:smarttags" w:element="City">
          <w:r>
            <w:rPr>
              <w:lang w:val="en-US"/>
            </w:rPr>
            <w:t>London</w:t>
          </w:r>
        </w:smartTag>
      </w:smartTag>
      <w:r>
        <w:rPr>
          <w:lang w:val="en-US"/>
        </w:rPr>
        <w:t xml:space="preserve">: Credit Suisse First Boston (CSFB), January, </w:t>
      </w:r>
      <w:r w:rsidR="000466D6">
        <w:t xml:space="preserve">Available for download at </w:t>
      </w:r>
      <w:hyperlink r:id="rId73" w:history="1">
        <w:r>
          <w:rPr>
            <w:rStyle w:val="Hyperlink"/>
            <w:lang w:val="en-US"/>
          </w:rPr>
          <w:t>http://www.economics.ox.ac.uk/members/andrew.farlow/Part1UKHousing.pdf</w:t>
        </w:r>
      </w:hyperlink>
    </w:p>
    <w:p w:rsidR="00BE60B6" w:rsidRDefault="00BE60B6">
      <w:pPr>
        <w:spacing w:after="120"/>
        <w:jc w:val="both"/>
        <w:rPr>
          <w:lang w:val="en-US"/>
        </w:rPr>
      </w:pPr>
      <w:r>
        <w:rPr>
          <w:lang w:val="en-US"/>
        </w:rPr>
        <w:t>Flavin, M.</w:t>
      </w:r>
      <w:r w:rsidR="00E16D8B">
        <w:rPr>
          <w:lang w:val="en-US"/>
        </w:rPr>
        <w:t>,</w:t>
      </w:r>
      <w:r>
        <w:rPr>
          <w:lang w:val="en-US"/>
        </w:rPr>
        <w:t xml:space="preserve"> </w:t>
      </w:r>
      <w:r w:rsidR="00E16D8B">
        <w:rPr>
          <w:lang w:val="en-US"/>
        </w:rPr>
        <w:t xml:space="preserve">&amp; </w:t>
      </w:r>
      <w:r>
        <w:rPr>
          <w:lang w:val="en-US"/>
        </w:rPr>
        <w:t>Yamashita</w:t>
      </w:r>
      <w:r w:rsidR="00E16D8B">
        <w:rPr>
          <w:lang w:val="en-US"/>
        </w:rPr>
        <w:t>, T.</w:t>
      </w:r>
      <w:r>
        <w:rPr>
          <w:lang w:val="en-US"/>
        </w:rPr>
        <w:t xml:space="preserve"> (2002)</w:t>
      </w:r>
      <w:r w:rsidR="00E16D8B">
        <w:rPr>
          <w:lang w:val="en-US"/>
        </w:rPr>
        <w:t>.</w:t>
      </w:r>
      <w:r>
        <w:rPr>
          <w:lang w:val="en-US"/>
        </w:rPr>
        <w:t xml:space="preserve"> Owner-</w:t>
      </w:r>
      <w:r w:rsidR="00E16D8B">
        <w:rPr>
          <w:lang w:val="en-US"/>
        </w:rPr>
        <w:t>o</w:t>
      </w:r>
      <w:r>
        <w:rPr>
          <w:lang w:val="en-US"/>
        </w:rPr>
        <w:t xml:space="preserve">ccupied </w:t>
      </w:r>
      <w:r w:rsidR="00E16D8B">
        <w:rPr>
          <w:lang w:val="en-US"/>
        </w:rPr>
        <w:t>h</w:t>
      </w:r>
      <w:r>
        <w:rPr>
          <w:lang w:val="en-US"/>
        </w:rPr>
        <w:t xml:space="preserve">ousing and the </w:t>
      </w:r>
      <w:r w:rsidR="00E16D8B">
        <w:rPr>
          <w:lang w:val="en-US"/>
        </w:rPr>
        <w:t>c</w:t>
      </w:r>
      <w:r>
        <w:rPr>
          <w:lang w:val="en-US"/>
        </w:rPr>
        <w:t xml:space="preserve">omposition of the </w:t>
      </w:r>
      <w:r w:rsidR="00E16D8B">
        <w:rPr>
          <w:lang w:val="en-US"/>
        </w:rPr>
        <w:t>h</w:t>
      </w:r>
      <w:r>
        <w:rPr>
          <w:lang w:val="en-US"/>
        </w:rPr>
        <w:t xml:space="preserve">ousehold </w:t>
      </w:r>
      <w:r w:rsidR="00E16D8B">
        <w:rPr>
          <w:lang w:val="en-US"/>
        </w:rPr>
        <w:t>p</w:t>
      </w:r>
      <w:r>
        <w:rPr>
          <w:lang w:val="en-US"/>
        </w:rPr>
        <w:t>ortfolio</w:t>
      </w:r>
      <w:r w:rsidR="00E16D8B">
        <w:rPr>
          <w:lang w:val="en-US"/>
        </w:rPr>
        <w:t>.</w:t>
      </w:r>
      <w:r>
        <w:rPr>
          <w:lang w:val="en-US"/>
        </w:rPr>
        <w:t xml:space="preserve"> </w:t>
      </w:r>
      <w:r>
        <w:rPr>
          <w:i/>
          <w:lang w:val="en-US"/>
        </w:rPr>
        <w:t>American Economic Review</w:t>
      </w:r>
      <w:r>
        <w:rPr>
          <w:lang w:val="en-US"/>
        </w:rPr>
        <w:t xml:space="preserve">, </w:t>
      </w:r>
      <w:r w:rsidRPr="00E16D8B">
        <w:rPr>
          <w:i/>
          <w:lang w:val="en-US"/>
        </w:rPr>
        <w:t>92</w:t>
      </w:r>
      <w:r w:rsidR="00E16D8B">
        <w:rPr>
          <w:lang w:val="en-US"/>
        </w:rPr>
        <w:t>(1)</w:t>
      </w:r>
      <w:r>
        <w:rPr>
          <w:lang w:val="en-US"/>
        </w:rPr>
        <w:t xml:space="preserve">, 345-362. </w:t>
      </w:r>
    </w:p>
    <w:p w:rsidR="00BE60B6" w:rsidRDefault="00BE60B6">
      <w:pPr>
        <w:spacing w:after="120"/>
        <w:jc w:val="both"/>
        <w:rPr>
          <w:lang w:val="en-US"/>
        </w:rPr>
      </w:pPr>
      <w:r>
        <w:rPr>
          <w:lang w:val="en-US"/>
        </w:rPr>
        <w:t>Froot, K. A.</w:t>
      </w:r>
      <w:r w:rsidR="00E16D8B">
        <w:rPr>
          <w:lang w:val="en-US"/>
        </w:rPr>
        <w:t>,</w:t>
      </w:r>
      <w:r>
        <w:rPr>
          <w:lang w:val="en-US"/>
        </w:rPr>
        <w:t xml:space="preserve"> </w:t>
      </w:r>
      <w:r w:rsidR="00E16D8B">
        <w:rPr>
          <w:lang w:val="en-US"/>
        </w:rPr>
        <w:t xml:space="preserve">&amp; </w:t>
      </w:r>
      <w:r>
        <w:rPr>
          <w:lang w:val="en-US"/>
        </w:rPr>
        <w:t>Obstfeld</w:t>
      </w:r>
      <w:r w:rsidR="00E16D8B">
        <w:rPr>
          <w:lang w:val="en-US"/>
        </w:rPr>
        <w:t>, M.</w:t>
      </w:r>
      <w:r>
        <w:rPr>
          <w:lang w:val="en-US"/>
        </w:rPr>
        <w:t xml:space="preserve"> (1991)</w:t>
      </w:r>
      <w:r w:rsidR="00E16D8B">
        <w:rPr>
          <w:lang w:val="en-US"/>
        </w:rPr>
        <w:t>.</w:t>
      </w:r>
      <w:r>
        <w:rPr>
          <w:lang w:val="en-US"/>
        </w:rPr>
        <w:t xml:space="preserve"> Intrinsic </w:t>
      </w:r>
      <w:r w:rsidR="00E16D8B">
        <w:rPr>
          <w:lang w:val="en-US"/>
        </w:rPr>
        <w:t>bubbles</w:t>
      </w:r>
      <w:r>
        <w:rPr>
          <w:lang w:val="en-US"/>
        </w:rPr>
        <w:t xml:space="preserve">: </w:t>
      </w:r>
      <w:r w:rsidR="00E16D8B">
        <w:rPr>
          <w:lang w:val="en-US"/>
        </w:rPr>
        <w:t>the c</w:t>
      </w:r>
      <w:r>
        <w:rPr>
          <w:lang w:val="en-US"/>
        </w:rPr>
        <w:t xml:space="preserve">ase of </w:t>
      </w:r>
      <w:r w:rsidR="00E16D8B">
        <w:rPr>
          <w:lang w:val="en-US"/>
        </w:rPr>
        <w:t>s</w:t>
      </w:r>
      <w:r>
        <w:rPr>
          <w:lang w:val="en-US"/>
        </w:rPr>
        <w:t xml:space="preserve">tock </w:t>
      </w:r>
      <w:r w:rsidR="00E16D8B">
        <w:rPr>
          <w:lang w:val="en-US"/>
        </w:rPr>
        <w:t>p</w:t>
      </w:r>
      <w:r>
        <w:rPr>
          <w:lang w:val="en-US"/>
        </w:rPr>
        <w:t>rices</w:t>
      </w:r>
      <w:r w:rsidR="00E16D8B">
        <w:rPr>
          <w:lang w:val="en-US"/>
        </w:rPr>
        <w:t>.</w:t>
      </w:r>
      <w:r>
        <w:rPr>
          <w:lang w:val="en-US"/>
        </w:rPr>
        <w:t xml:space="preserve"> </w:t>
      </w:r>
      <w:r>
        <w:rPr>
          <w:i/>
          <w:lang w:val="en-US"/>
        </w:rPr>
        <w:t>The American Economic Review</w:t>
      </w:r>
      <w:r>
        <w:rPr>
          <w:lang w:val="en-US"/>
        </w:rPr>
        <w:t xml:space="preserve">, </w:t>
      </w:r>
      <w:r w:rsidRPr="00E16D8B">
        <w:rPr>
          <w:i/>
          <w:lang w:val="en-US"/>
        </w:rPr>
        <w:t>81</w:t>
      </w:r>
      <w:r w:rsidR="00E16D8B">
        <w:rPr>
          <w:lang w:val="en-US"/>
        </w:rPr>
        <w:t>(5)</w:t>
      </w:r>
      <w:r>
        <w:rPr>
          <w:lang w:val="en-US"/>
        </w:rPr>
        <w:t xml:space="preserve">, 1189-1214. </w:t>
      </w:r>
    </w:p>
    <w:p w:rsidR="00BE60B6" w:rsidRDefault="00BE60B6">
      <w:pPr>
        <w:spacing w:after="120"/>
        <w:jc w:val="both"/>
        <w:rPr>
          <w:lang w:val="en-US"/>
        </w:rPr>
      </w:pPr>
      <w:r w:rsidRPr="00ED5889">
        <w:t>Goetzmann, W. N.</w:t>
      </w:r>
      <w:r w:rsidR="00E16D8B" w:rsidRPr="00ED5889">
        <w:t>,</w:t>
      </w:r>
      <w:r w:rsidRPr="00ED5889">
        <w:t xml:space="preserve"> </w:t>
      </w:r>
      <w:r w:rsidR="00E16D8B" w:rsidRPr="00ED5889">
        <w:t xml:space="preserve">&amp; </w:t>
      </w:r>
      <w:r w:rsidRPr="00ED5889">
        <w:t>Ibbotson</w:t>
      </w:r>
      <w:r w:rsidR="00E16D8B" w:rsidRPr="00ED5889">
        <w:t>,</w:t>
      </w:r>
      <w:r w:rsidRPr="00ED5889">
        <w:t xml:space="preserve"> </w:t>
      </w:r>
      <w:r w:rsidR="00E16D8B" w:rsidRPr="00ED5889">
        <w:t xml:space="preserve">R. G. </w:t>
      </w:r>
      <w:r w:rsidRPr="00ED5889">
        <w:t>(1990)</w:t>
      </w:r>
      <w:r w:rsidR="00E16D8B" w:rsidRPr="00ED5889">
        <w:t>.</w:t>
      </w:r>
      <w:r w:rsidRPr="00ED5889">
        <w:t xml:space="preserve"> </w:t>
      </w:r>
      <w:r>
        <w:rPr>
          <w:lang w:val="en-US"/>
        </w:rPr>
        <w:t xml:space="preserve">The </w:t>
      </w:r>
      <w:r w:rsidR="00E16D8B">
        <w:rPr>
          <w:lang w:val="en-US"/>
        </w:rPr>
        <w:t>p</w:t>
      </w:r>
      <w:r>
        <w:rPr>
          <w:lang w:val="en-US"/>
        </w:rPr>
        <w:t xml:space="preserve">erformance of </w:t>
      </w:r>
      <w:r w:rsidR="00E16D8B">
        <w:rPr>
          <w:lang w:val="en-US"/>
        </w:rPr>
        <w:t>r</w:t>
      </w:r>
      <w:r>
        <w:rPr>
          <w:lang w:val="en-US"/>
        </w:rPr>
        <w:t xml:space="preserve">eal </w:t>
      </w:r>
      <w:r w:rsidR="00E16D8B">
        <w:rPr>
          <w:lang w:val="en-US"/>
        </w:rPr>
        <w:t>e</w:t>
      </w:r>
      <w:r>
        <w:rPr>
          <w:lang w:val="en-US"/>
        </w:rPr>
        <w:t xml:space="preserve">state as an </w:t>
      </w:r>
      <w:r w:rsidR="00E16D8B">
        <w:rPr>
          <w:lang w:val="en-US"/>
        </w:rPr>
        <w:t>a</w:t>
      </w:r>
      <w:r>
        <w:rPr>
          <w:lang w:val="en-US"/>
        </w:rPr>
        <w:t xml:space="preserve">sset </w:t>
      </w:r>
      <w:r w:rsidR="00E16D8B">
        <w:rPr>
          <w:lang w:val="en-US"/>
        </w:rPr>
        <w:t>c</w:t>
      </w:r>
      <w:r>
        <w:rPr>
          <w:lang w:val="en-US"/>
        </w:rPr>
        <w:t xml:space="preserve">lass. </w:t>
      </w:r>
      <w:r>
        <w:rPr>
          <w:i/>
          <w:lang w:val="en-US"/>
        </w:rPr>
        <w:t>Journal of Applied Corporate Finance</w:t>
      </w:r>
      <w:r>
        <w:rPr>
          <w:lang w:val="en-US"/>
        </w:rPr>
        <w:t xml:space="preserve">, </w:t>
      </w:r>
      <w:r w:rsidRPr="00E16D8B">
        <w:rPr>
          <w:i/>
          <w:lang w:val="en-US"/>
        </w:rPr>
        <w:t>3</w:t>
      </w:r>
      <w:r w:rsidR="00E16D8B">
        <w:rPr>
          <w:lang w:val="en-US"/>
        </w:rPr>
        <w:t>(1)</w:t>
      </w:r>
      <w:r>
        <w:rPr>
          <w:lang w:val="en-US"/>
        </w:rPr>
        <w:t>,</w:t>
      </w:r>
      <w:r w:rsidR="00E16D8B">
        <w:rPr>
          <w:lang w:val="en-US"/>
        </w:rPr>
        <w:t xml:space="preserve"> </w:t>
      </w:r>
      <w:r>
        <w:rPr>
          <w:lang w:val="en-US"/>
        </w:rPr>
        <w:t xml:space="preserve">65-76. </w:t>
      </w:r>
    </w:p>
    <w:p w:rsidR="00BE60B6" w:rsidRDefault="00BE60B6">
      <w:pPr>
        <w:spacing w:after="120"/>
        <w:jc w:val="both"/>
      </w:pPr>
      <w:r>
        <w:lastRenderedPageBreak/>
        <w:t>Hawksworth, J. (2004)</w:t>
      </w:r>
      <w:r w:rsidR="00A61675">
        <w:t>.</w:t>
      </w:r>
      <w:r>
        <w:t xml:space="preserve"> </w:t>
      </w:r>
      <w:r w:rsidRPr="00DC2E26">
        <w:t xml:space="preserve">Outlook </w:t>
      </w:r>
      <w:r w:rsidR="00E16D8B" w:rsidRPr="00DC2E26">
        <w:t>f</w:t>
      </w:r>
      <w:r w:rsidRPr="00DC2E26">
        <w:t xml:space="preserve">or </w:t>
      </w:r>
      <w:smartTag w:uri="urn:schemas-microsoft-com:office:smarttags" w:element="place">
        <w:smartTag w:uri="urn:schemas-microsoft-com:office:smarttags" w:element="country-region">
          <w:r w:rsidRPr="00DC2E26">
            <w:t>UK</w:t>
          </w:r>
        </w:smartTag>
      </w:smartTag>
      <w:r w:rsidRPr="00DC2E26">
        <w:t xml:space="preserve"> </w:t>
      </w:r>
      <w:r w:rsidR="00E16D8B" w:rsidRPr="00DC2E26">
        <w:t>h</w:t>
      </w:r>
      <w:r w:rsidRPr="00DC2E26">
        <w:t xml:space="preserve">ouse </w:t>
      </w:r>
      <w:r w:rsidR="00E16D8B" w:rsidRPr="00DC2E26">
        <w:t>p</w:t>
      </w:r>
      <w:r w:rsidRPr="00DC2E26">
        <w:t xml:space="preserve">rices – July </w:t>
      </w:r>
      <w:smartTag w:uri="urn:schemas-microsoft-com:office:smarttags" w:element="metricconverter">
        <w:smartTagPr>
          <w:attr w:name="ProductID" w:val="2004. In"/>
        </w:smartTagPr>
        <w:r w:rsidRPr="00DC2E26">
          <w:t>2004</w:t>
        </w:r>
        <w:r>
          <w:t xml:space="preserve">. </w:t>
        </w:r>
        <w:r w:rsidR="00E16D8B">
          <w:t>I</w:t>
        </w:r>
        <w:r>
          <w:t>n</w:t>
        </w:r>
      </w:smartTag>
      <w:r>
        <w:t xml:space="preserve"> </w:t>
      </w:r>
      <w:smartTag w:uri="urn:schemas-microsoft-com:office:smarttags" w:element="country-region">
        <w:r>
          <w:rPr>
            <w:i/>
          </w:rPr>
          <w:t>UK</w:t>
        </w:r>
      </w:smartTag>
      <w:r>
        <w:rPr>
          <w:i/>
        </w:rPr>
        <w:t xml:space="preserve"> </w:t>
      </w:r>
      <w:r w:rsidR="00DC2E26">
        <w:rPr>
          <w:i/>
        </w:rPr>
        <w:t>e</w:t>
      </w:r>
      <w:r>
        <w:rPr>
          <w:i/>
        </w:rPr>
        <w:t xml:space="preserve">conomic </w:t>
      </w:r>
      <w:r w:rsidR="00DC2E26">
        <w:rPr>
          <w:i/>
        </w:rPr>
        <w:t>o</w:t>
      </w:r>
      <w:r>
        <w:rPr>
          <w:i/>
        </w:rPr>
        <w:t>utlook</w:t>
      </w:r>
      <w:r>
        <w:t xml:space="preserve"> </w:t>
      </w:r>
      <w:r w:rsidR="00A53B97">
        <w:t>(</w:t>
      </w:r>
      <w:r>
        <w:t xml:space="preserve">Chapter III, </w:t>
      </w:r>
      <w:r w:rsidR="00A53B97">
        <w:t xml:space="preserve">pp. </w:t>
      </w:r>
      <w:r>
        <w:t>19-28</w:t>
      </w:r>
      <w:r w:rsidR="00A53B97">
        <w:t>)</w:t>
      </w:r>
      <w:r>
        <w:t xml:space="preserve">, </w:t>
      </w:r>
      <w:smartTag w:uri="urn:schemas-microsoft-com:office:smarttags" w:element="place">
        <w:smartTag w:uri="urn:schemas-microsoft-com:office:smarttags" w:element="City">
          <w:r>
            <w:t>London</w:t>
          </w:r>
        </w:smartTag>
      </w:smartTag>
      <w:r>
        <w:t xml:space="preserve">: PricewaterhouseCoopers, </w:t>
      </w:r>
      <w:r w:rsidR="000466D6">
        <w:t xml:space="preserve">Available for download at </w:t>
      </w:r>
      <w:hyperlink r:id="rId74" w:history="1">
        <w:r>
          <w:rPr>
            <w:rStyle w:val="Hyperlink"/>
          </w:rPr>
          <w:t>http://www.pwc.com/uk/eng/ins-sol/publ/ukoutlook/pwc_July04.pdf</w:t>
        </w:r>
      </w:hyperlink>
    </w:p>
    <w:p w:rsidR="00BE60B6" w:rsidRDefault="00BE60B6">
      <w:pPr>
        <w:spacing w:after="120"/>
        <w:jc w:val="both"/>
        <w:rPr>
          <w:lang w:val="en-US"/>
        </w:rPr>
      </w:pPr>
      <w:r>
        <w:rPr>
          <w:lang w:val="en-US"/>
        </w:rPr>
        <w:t>Helbling, T.</w:t>
      </w:r>
      <w:r w:rsidR="00DC2E26">
        <w:rPr>
          <w:lang w:val="en-US"/>
        </w:rPr>
        <w:t>,</w:t>
      </w:r>
      <w:r>
        <w:rPr>
          <w:lang w:val="en-US"/>
        </w:rPr>
        <w:t xml:space="preserve"> </w:t>
      </w:r>
      <w:r w:rsidR="00DC2E26">
        <w:rPr>
          <w:lang w:val="en-US"/>
        </w:rPr>
        <w:t xml:space="preserve">&amp; </w:t>
      </w:r>
      <w:r>
        <w:rPr>
          <w:lang w:val="en-US"/>
        </w:rPr>
        <w:t>Terrones</w:t>
      </w:r>
      <w:r w:rsidR="00DC2E26">
        <w:rPr>
          <w:lang w:val="en-US"/>
        </w:rPr>
        <w:t>, M.</w:t>
      </w:r>
      <w:r>
        <w:rPr>
          <w:lang w:val="en-US"/>
        </w:rPr>
        <w:t xml:space="preserve"> (2003)</w:t>
      </w:r>
      <w:r w:rsidR="00DC2E26">
        <w:rPr>
          <w:lang w:val="en-US"/>
        </w:rPr>
        <w:t>.</w:t>
      </w:r>
      <w:r>
        <w:rPr>
          <w:lang w:val="en-US"/>
        </w:rPr>
        <w:t xml:space="preserve"> When </w:t>
      </w:r>
      <w:r w:rsidR="00DC2E26">
        <w:rPr>
          <w:lang w:val="en-US"/>
        </w:rPr>
        <w:t>b</w:t>
      </w:r>
      <w:r>
        <w:rPr>
          <w:lang w:val="en-US"/>
        </w:rPr>
        <w:t xml:space="preserve">ubbles </w:t>
      </w:r>
      <w:r w:rsidR="00DC2E26">
        <w:rPr>
          <w:lang w:val="en-US"/>
        </w:rPr>
        <w:t>b</w:t>
      </w:r>
      <w:r>
        <w:rPr>
          <w:lang w:val="en-US"/>
        </w:rPr>
        <w:t>urst</w:t>
      </w:r>
      <w:r w:rsidR="00DC2E26">
        <w:rPr>
          <w:lang w:val="en-US"/>
        </w:rPr>
        <w:t>.</w:t>
      </w:r>
      <w:r>
        <w:rPr>
          <w:lang w:val="en-US"/>
        </w:rPr>
        <w:t xml:space="preserve"> </w:t>
      </w:r>
      <w:r w:rsidR="00DC2E26">
        <w:rPr>
          <w:lang w:val="en-US"/>
        </w:rPr>
        <w:t>I</w:t>
      </w:r>
      <w:r>
        <w:rPr>
          <w:lang w:val="en-US"/>
        </w:rPr>
        <w:t xml:space="preserve">n </w:t>
      </w:r>
      <w:r>
        <w:rPr>
          <w:i/>
          <w:lang w:val="en-US"/>
        </w:rPr>
        <w:t>Wor</w:t>
      </w:r>
      <w:r w:rsidR="00DC2E26">
        <w:rPr>
          <w:i/>
          <w:lang w:val="en-US"/>
        </w:rPr>
        <w:t>l</w:t>
      </w:r>
      <w:r>
        <w:rPr>
          <w:i/>
          <w:lang w:val="en-US"/>
        </w:rPr>
        <w:t xml:space="preserve">d </w:t>
      </w:r>
      <w:r w:rsidR="00DC2E26">
        <w:rPr>
          <w:i/>
          <w:lang w:val="en-US"/>
        </w:rPr>
        <w:t>e</w:t>
      </w:r>
      <w:r>
        <w:rPr>
          <w:i/>
          <w:lang w:val="en-US"/>
        </w:rPr>
        <w:t xml:space="preserve">conomy </w:t>
      </w:r>
      <w:r w:rsidR="00DC2E26">
        <w:rPr>
          <w:i/>
          <w:lang w:val="en-US"/>
        </w:rPr>
        <w:t>o</w:t>
      </w:r>
      <w:r>
        <w:rPr>
          <w:i/>
          <w:lang w:val="en-US"/>
        </w:rPr>
        <w:t>utlook</w:t>
      </w:r>
      <w:r>
        <w:rPr>
          <w:lang w:val="en-US"/>
        </w:rPr>
        <w:t xml:space="preserve"> </w:t>
      </w:r>
      <w:r w:rsidR="00A53B97">
        <w:rPr>
          <w:lang w:val="en-US"/>
        </w:rPr>
        <w:t>(</w:t>
      </w:r>
      <w:r>
        <w:rPr>
          <w:lang w:val="en-US"/>
        </w:rPr>
        <w:t xml:space="preserve">Chapter II, </w:t>
      </w:r>
      <w:r w:rsidR="00A53B97">
        <w:rPr>
          <w:lang w:val="en-US"/>
        </w:rPr>
        <w:t xml:space="preserve">pp. </w:t>
      </w:r>
      <w:r>
        <w:rPr>
          <w:lang w:val="en-US"/>
        </w:rPr>
        <w:t>61-94</w:t>
      </w:r>
      <w:r w:rsidR="00A53B97">
        <w:rPr>
          <w:lang w:val="en-US"/>
        </w:rPr>
        <w:t>)</w:t>
      </w:r>
      <w:r>
        <w:rPr>
          <w:lang w:val="en-US"/>
        </w:rPr>
        <w:t xml:space="preserve">, </w:t>
      </w:r>
      <w:smartTag w:uri="urn:schemas-microsoft-com:office:smarttags" w:element="place">
        <w:smartTag w:uri="urn:schemas-microsoft-com:office:smarttags" w:element="City">
          <w:r>
            <w:rPr>
              <w:lang w:val="en-US"/>
            </w:rPr>
            <w:t>Washington</w:t>
          </w:r>
        </w:smartTag>
        <w:r>
          <w:rPr>
            <w:lang w:val="en-US"/>
          </w:rPr>
          <w:t xml:space="preserve">, </w:t>
        </w:r>
        <w:smartTag w:uri="urn:schemas-microsoft-com:office:smarttags" w:element="State">
          <w:r>
            <w:rPr>
              <w:lang w:val="en-US"/>
            </w:rPr>
            <w:t>DC</w:t>
          </w:r>
        </w:smartTag>
      </w:smartTag>
      <w:r>
        <w:rPr>
          <w:lang w:val="en-US"/>
        </w:rPr>
        <w:t xml:space="preserve">: International Monetary Fund, </w:t>
      </w:r>
      <w:r w:rsidR="000466D6">
        <w:t xml:space="preserve">Available for download at </w:t>
      </w:r>
      <w:hyperlink r:id="rId75" w:history="1">
        <w:r>
          <w:rPr>
            <w:rStyle w:val="Hyperlink"/>
            <w:lang w:val="en-US"/>
          </w:rPr>
          <w:t>http://www.imf.org/external/pubs/ft/weo/2003/01/pdf/chapter2.pdf</w:t>
        </w:r>
      </w:hyperlink>
    </w:p>
    <w:p w:rsidR="00BE60B6" w:rsidRPr="00C81208" w:rsidRDefault="00BE60B6">
      <w:pPr>
        <w:spacing w:after="120"/>
        <w:jc w:val="both"/>
        <w:rPr>
          <w:lang w:val="en-US"/>
        </w:rPr>
      </w:pPr>
      <w:r w:rsidRPr="00C81208">
        <w:rPr>
          <w:lang w:val="de-CH"/>
        </w:rPr>
        <w:t>Himmelberg, C., Mayer</w:t>
      </w:r>
      <w:r w:rsidR="00DC2E26" w:rsidRPr="00C81208">
        <w:rPr>
          <w:lang w:val="de-CH"/>
        </w:rPr>
        <w:t>,</w:t>
      </w:r>
      <w:r w:rsidRPr="00C81208">
        <w:rPr>
          <w:lang w:val="de-CH"/>
        </w:rPr>
        <w:t xml:space="preserve"> </w:t>
      </w:r>
      <w:r w:rsidR="00DC2E26" w:rsidRPr="00C81208">
        <w:rPr>
          <w:lang w:val="de-CH"/>
        </w:rPr>
        <w:t xml:space="preserve">C., &amp; </w:t>
      </w:r>
      <w:r w:rsidRPr="00C81208">
        <w:rPr>
          <w:lang w:val="de-CH"/>
        </w:rPr>
        <w:t>Sinai</w:t>
      </w:r>
      <w:r w:rsidR="00DC2E26" w:rsidRPr="00C81208">
        <w:rPr>
          <w:lang w:val="de-CH"/>
        </w:rPr>
        <w:t>, T.</w:t>
      </w:r>
      <w:r w:rsidRPr="00C81208">
        <w:rPr>
          <w:lang w:val="de-CH"/>
        </w:rPr>
        <w:t xml:space="preserve"> (2005)</w:t>
      </w:r>
      <w:r w:rsidR="00DC2E26" w:rsidRPr="00C81208">
        <w:rPr>
          <w:lang w:val="de-CH"/>
        </w:rPr>
        <w:t>.</w:t>
      </w:r>
      <w:r w:rsidRPr="00C81208">
        <w:rPr>
          <w:lang w:val="de-CH"/>
        </w:rPr>
        <w:t xml:space="preserve"> </w:t>
      </w:r>
      <w:r w:rsidRPr="00C81208">
        <w:rPr>
          <w:lang w:val="en-US"/>
        </w:rPr>
        <w:t xml:space="preserve">Assessing </w:t>
      </w:r>
      <w:r w:rsidR="00DC2E26" w:rsidRPr="00C81208">
        <w:rPr>
          <w:lang w:val="en-US"/>
        </w:rPr>
        <w:t>h</w:t>
      </w:r>
      <w:r w:rsidRPr="00C81208">
        <w:rPr>
          <w:lang w:val="en-US"/>
        </w:rPr>
        <w:t xml:space="preserve">igh </w:t>
      </w:r>
      <w:r w:rsidR="00DC2E26" w:rsidRPr="00C81208">
        <w:rPr>
          <w:lang w:val="en-US"/>
        </w:rPr>
        <w:t>h</w:t>
      </w:r>
      <w:r w:rsidRPr="00C81208">
        <w:rPr>
          <w:lang w:val="en-US"/>
        </w:rPr>
        <w:t xml:space="preserve">ouse </w:t>
      </w:r>
      <w:r w:rsidR="00DC2E26" w:rsidRPr="00C81208">
        <w:rPr>
          <w:lang w:val="en-US"/>
        </w:rPr>
        <w:t>p</w:t>
      </w:r>
      <w:r w:rsidRPr="00C81208">
        <w:rPr>
          <w:lang w:val="en-US"/>
        </w:rPr>
        <w:t xml:space="preserve">rices: </w:t>
      </w:r>
      <w:r w:rsidR="00DC2E26" w:rsidRPr="00C81208">
        <w:rPr>
          <w:lang w:val="en-US"/>
        </w:rPr>
        <w:t>b</w:t>
      </w:r>
      <w:r w:rsidRPr="00C81208">
        <w:rPr>
          <w:lang w:val="en-US"/>
        </w:rPr>
        <w:t xml:space="preserve">ubbles, </w:t>
      </w:r>
      <w:r w:rsidR="00DC2E26" w:rsidRPr="00C81208">
        <w:rPr>
          <w:lang w:val="en-US"/>
        </w:rPr>
        <w:t>f</w:t>
      </w:r>
      <w:r w:rsidRPr="00C81208">
        <w:rPr>
          <w:lang w:val="en-US"/>
        </w:rPr>
        <w:t xml:space="preserve">undamentals, and </w:t>
      </w:r>
      <w:r w:rsidR="00DC2E26" w:rsidRPr="00C81208">
        <w:rPr>
          <w:lang w:val="en-US"/>
        </w:rPr>
        <w:t>m</w:t>
      </w:r>
      <w:r w:rsidRPr="00C81208">
        <w:rPr>
          <w:lang w:val="en-US"/>
        </w:rPr>
        <w:t>isperceptions</w:t>
      </w:r>
      <w:r w:rsidR="00ED5889" w:rsidRPr="00C81208">
        <w:rPr>
          <w:lang w:val="en-US"/>
        </w:rPr>
        <w:t>.</w:t>
      </w:r>
      <w:r w:rsidRPr="00C81208">
        <w:rPr>
          <w:lang w:val="en-US"/>
        </w:rPr>
        <w:t xml:space="preserve"> </w:t>
      </w:r>
      <w:r w:rsidR="00C81208">
        <w:rPr>
          <w:lang w:val="en-US"/>
        </w:rPr>
        <w:t>Staff r</w:t>
      </w:r>
      <w:r w:rsidR="00C81208" w:rsidRPr="00C81208">
        <w:rPr>
          <w:lang w:val="en-US"/>
        </w:rPr>
        <w:t>eports No. 218</w:t>
      </w:r>
      <w:r w:rsidR="00C81208">
        <w:rPr>
          <w:lang w:val="en-US"/>
        </w:rPr>
        <w:t xml:space="preserve">, </w:t>
      </w:r>
      <w:smartTag w:uri="urn:schemas-microsoft-com:office:smarttags" w:element="State">
        <w:r w:rsidR="00ED5889" w:rsidRPr="00C81208">
          <w:rPr>
            <w:lang w:val="en-US"/>
          </w:rPr>
          <w:t>New York</w:t>
        </w:r>
      </w:smartTag>
      <w:r w:rsidR="00ED5889" w:rsidRPr="00C81208">
        <w:rPr>
          <w:lang w:val="en-US"/>
        </w:rPr>
        <w:t xml:space="preserve">: </w:t>
      </w:r>
      <w:r w:rsidRPr="00C81208">
        <w:rPr>
          <w:lang w:val="en-US"/>
        </w:rPr>
        <w:t xml:space="preserve">Federal Reserve Bank of </w:t>
      </w:r>
      <w:smartTag w:uri="urn:schemas-microsoft-com:office:smarttags" w:element="State">
        <w:smartTag w:uri="urn:schemas-microsoft-com:office:smarttags" w:element="place">
          <w:r w:rsidRPr="00C81208">
            <w:rPr>
              <w:lang w:val="en-US"/>
            </w:rPr>
            <w:t>New York</w:t>
          </w:r>
        </w:smartTag>
      </w:smartTag>
      <w:r w:rsidRPr="00C81208">
        <w:rPr>
          <w:lang w:val="en-US"/>
        </w:rPr>
        <w:t>.</w:t>
      </w:r>
    </w:p>
    <w:p w:rsidR="00BE60B6" w:rsidRDefault="00BE60B6">
      <w:pPr>
        <w:spacing w:after="120"/>
        <w:jc w:val="both"/>
        <w:rPr>
          <w:lang w:val="en-US"/>
        </w:rPr>
      </w:pPr>
      <w:r w:rsidRPr="00ED5889">
        <w:rPr>
          <w:lang w:val="de-CH"/>
        </w:rPr>
        <w:t>Hong, H.</w:t>
      </w:r>
      <w:r w:rsidR="00ED5889" w:rsidRPr="00ED5889">
        <w:rPr>
          <w:lang w:val="de-CH"/>
        </w:rPr>
        <w:t>,</w:t>
      </w:r>
      <w:r w:rsidRPr="00ED5889">
        <w:rPr>
          <w:lang w:val="de-CH"/>
        </w:rPr>
        <w:t xml:space="preserve"> </w:t>
      </w:r>
      <w:r w:rsidR="00ED5889" w:rsidRPr="00ED5889">
        <w:rPr>
          <w:lang w:val="de-CH"/>
        </w:rPr>
        <w:t xml:space="preserve">&amp; </w:t>
      </w:r>
      <w:r w:rsidRPr="00ED5889">
        <w:rPr>
          <w:lang w:val="de-CH"/>
        </w:rPr>
        <w:t>Stein</w:t>
      </w:r>
      <w:r w:rsidR="00ED5889" w:rsidRPr="00ED5889">
        <w:rPr>
          <w:lang w:val="de-CH"/>
        </w:rPr>
        <w:t>,</w:t>
      </w:r>
      <w:r w:rsidRPr="00ED5889">
        <w:rPr>
          <w:lang w:val="de-CH"/>
        </w:rPr>
        <w:t xml:space="preserve"> </w:t>
      </w:r>
      <w:r w:rsidR="00ED5889" w:rsidRPr="00ED5889">
        <w:rPr>
          <w:lang w:val="de-CH"/>
        </w:rPr>
        <w:t xml:space="preserve">J. C. </w:t>
      </w:r>
      <w:r w:rsidRPr="00ED5889">
        <w:rPr>
          <w:lang w:val="de-CH"/>
        </w:rPr>
        <w:t>(1999)</w:t>
      </w:r>
      <w:r w:rsidR="00ED5889" w:rsidRPr="00ED5889">
        <w:rPr>
          <w:lang w:val="de-CH"/>
        </w:rPr>
        <w:t>.</w:t>
      </w:r>
      <w:r w:rsidRPr="00ED5889">
        <w:rPr>
          <w:lang w:val="de-CH"/>
        </w:rPr>
        <w:t xml:space="preserve"> </w:t>
      </w:r>
      <w:r>
        <w:rPr>
          <w:lang w:val="en-US"/>
        </w:rPr>
        <w:t xml:space="preserve">A </w:t>
      </w:r>
      <w:r w:rsidR="00ED5889">
        <w:rPr>
          <w:lang w:val="en-US"/>
        </w:rPr>
        <w:t>u</w:t>
      </w:r>
      <w:r>
        <w:rPr>
          <w:lang w:val="en-US"/>
        </w:rPr>
        <w:t xml:space="preserve">nified </w:t>
      </w:r>
      <w:r w:rsidR="00ED5889">
        <w:rPr>
          <w:lang w:val="en-US"/>
        </w:rPr>
        <w:t>t</w:t>
      </w:r>
      <w:r>
        <w:rPr>
          <w:lang w:val="en-US"/>
        </w:rPr>
        <w:t xml:space="preserve">heory of </w:t>
      </w:r>
      <w:r w:rsidR="00ED5889">
        <w:rPr>
          <w:lang w:val="en-US"/>
        </w:rPr>
        <w:t>u</w:t>
      </w:r>
      <w:r>
        <w:rPr>
          <w:lang w:val="en-US"/>
        </w:rPr>
        <w:t xml:space="preserve">nderreaction, </w:t>
      </w:r>
      <w:r w:rsidR="00ED5889">
        <w:rPr>
          <w:lang w:val="en-US"/>
        </w:rPr>
        <w:t>m</w:t>
      </w:r>
      <w:r>
        <w:rPr>
          <w:lang w:val="en-US"/>
        </w:rPr>
        <w:t xml:space="preserve">omentum </w:t>
      </w:r>
      <w:r w:rsidR="00ED5889">
        <w:rPr>
          <w:lang w:val="en-US"/>
        </w:rPr>
        <w:t>t</w:t>
      </w:r>
      <w:r>
        <w:rPr>
          <w:lang w:val="en-US"/>
        </w:rPr>
        <w:t xml:space="preserve">rading, and </w:t>
      </w:r>
      <w:r w:rsidR="00ED5889">
        <w:rPr>
          <w:lang w:val="en-US"/>
        </w:rPr>
        <w:t>o</w:t>
      </w:r>
      <w:r>
        <w:rPr>
          <w:lang w:val="en-US"/>
        </w:rPr>
        <w:t xml:space="preserve">verreaction in </w:t>
      </w:r>
      <w:r w:rsidR="00ED5889">
        <w:rPr>
          <w:lang w:val="en-US"/>
        </w:rPr>
        <w:t>a</w:t>
      </w:r>
      <w:r>
        <w:rPr>
          <w:lang w:val="en-US"/>
        </w:rPr>
        <w:t xml:space="preserve">sset </w:t>
      </w:r>
      <w:r w:rsidR="00ED5889">
        <w:rPr>
          <w:lang w:val="en-US"/>
        </w:rPr>
        <w:t>m</w:t>
      </w:r>
      <w:r>
        <w:rPr>
          <w:lang w:val="en-US"/>
        </w:rPr>
        <w:t>arkets</w:t>
      </w:r>
      <w:r w:rsidR="00ED5889">
        <w:rPr>
          <w:lang w:val="en-US"/>
        </w:rPr>
        <w:t>.</w:t>
      </w:r>
      <w:r>
        <w:rPr>
          <w:lang w:val="en-US"/>
        </w:rPr>
        <w:t xml:space="preserve"> </w:t>
      </w:r>
      <w:r>
        <w:rPr>
          <w:i/>
          <w:lang w:val="en-US"/>
        </w:rPr>
        <w:t>Journal of Finance</w:t>
      </w:r>
      <w:r>
        <w:rPr>
          <w:lang w:val="en-US"/>
        </w:rPr>
        <w:t xml:space="preserve">, </w:t>
      </w:r>
      <w:r w:rsidRPr="00ED5889">
        <w:rPr>
          <w:i/>
          <w:lang w:val="en-US"/>
        </w:rPr>
        <w:t>54</w:t>
      </w:r>
      <w:r w:rsidR="00ED5889">
        <w:rPr>
          <w:lang w:val="en-US"/>
        </w:rPr>
        <w:t>(6)</w:t>
      </w:r>
      <w:r>
        <w:rPr>
          <w:lang w:val="en-US"/>
        </w:rPr>
        <w:t>,</w:t>
      </w:r>
      <w:r w:rsidR="00ED5889">
        <w:rPr>
          <w:lang w:val="en-US"/>
        </w:rPr>
        <w:t xml:space="preserve"> </w:t>
      </w:r>
      <w:r>
        <w:rPr>
          <w:lang w:val="en-US"/>
        </w:rPr>
        <w:t>1839-1885.</w:t>
      </w:r>
    </w:p>
    <w:p w:rsidR="00BE60B6" w:rsidRDefault="00BE60B6">
      <w:pPr>
        <w:spacing w:after="120"/>
        <w:jc w:val="both"/>
        <w:rPr>
          <w:lang w:val="en-US"/>
        </w:rPr>
      </w:pPr>
      <w:r>
        <w:rPr>
          <w:lang w:val="en-US"/>
        </w:rPr>
        <w:t>Hort, K. (1998)</w:t>
      </w:r>
      <w:r w:rsidR="00ED5889">
        <w:rPr>
          <w:lang w:val="en-US"/>
        </w:rPr>
        <w:t>.</w:t>
      </w:r>
      <w:r>
        <w:rPr>
          <w:lang w:val="en-US"/>
        </w:rPr>
        <w:t xml:space="preserve"> The </w:t>
      </w:r>
      <w:r w:rsidR="00ED5889">
        <w:rPr>
          <w:lang w:val="en-US"/>
        </w:rPr>
        <w:t>d</w:t>
      </w:r>
      <w:r>
        <w:rPr>
          <w:lang w:val="en-US"/>
        </w:rPr>
        <w:t xml:space="preserve">eterminants of </w:t>
      </w:r>
      <w:r w:rsidR="00ED5889">
        <w:rPr>
          <w:lang w:val="en-US"/>
        </w:rPr>
        <w:t>u</w:t>
      </w:r>
      <w:r>
        <w:rPr>
          <w:lang w:val="en-US"/>
        </w:rPr>
        <w:t xml:space="preserve">rban </w:t>
      </w:r>
      <w:r w:rsidR="00ED5889">
        <w:rPr>
          <w:lang w:val="en-US"/>
        </w:rPr>
        <w:t>h</w:t>
      </w:r>
      <w:r>
        <w:rPr>
          <w:lang w:val="en-US"/>
        </w:rPr>
        <w:t xml:space="preserve">ouse </w:t>
      </w:r>
      <w:r w:rsidR="00ED5889">
        <w:rPr>
          <w:lang w:val="en-US"/>
        </w:rPr>
        <w:t>p</w:t>
      </w:r>
      <w:r>
        <w:rPr>
          <w:lang w:val="en-US"/>
        </w:rPr>
        <w:t xml:space="preserve">rice </w:t>
      </w:r>
      <w:r w:rsidR="00ED5889">
        <w:rPr>
          <w:lang w:val="en-US"/>
        </w:rPr>
        <w:t>f</w:t>
      </w:r>
      <w:r>
        <w:rPr>
          <w:lang w:val="en-US"/>
        </w:rPr>
        <w:t xml:space="preserve">luctuations in </w:t>
      </w:r>
      <w:smartTag w:uri="urn:schemas-microsoft-com:office:smarttags" w:element="place">
        <w:smartTag w:uri="urn:schemas-microsoft-com:office:smarttags" w:element="country-region">
          <w:r>
            <w:rPr>
              <w:lang w:val="en-US"/>
            </w:rPr>
            <w:t>Sweden</w:t>
          </w:r>
        </w:smartTag>
      </w:smartTag>
      <w:r>
        <w:rPr>
          <w:lang w:val="en-US"/>
        </w:rPr>
        <w:t xml:space="preserve"> 1968-1994</w:t>
      </w:r>
      <w:r w:rsidR="00ED5889">
        <w:rPr>
          <w:lang w:val="en-US"/>
        </w:rPr>
        <w:t>.</w:t>
      </w:r>
      <w:r>
        <w:rPr>
          <w:lang w:val="en-US"/>
        </w:rPr>
        <w:t xml:space="preserve"> </w:t>
      </w:r>
      <w:r>
        <w:rPr>
          <w:i/>
          <w:lang w:val="en-US"/>
        </w:rPr>
        <w:t>Journal of Housing Economics</w:t>
      </w:r>
      <w:r>
        <w:rPr>
          <w:lang w:val="en-US"/>
        </w:rPr>
        <w:t xml:space="preserve">, </w:t>
      </w:r>
      <w:r w:rsidRPr="00ED5889">
        <w:rPr>
          <w:i/>
          <w:lang w:val="en-US"/>
        </w:rPr>
        <w:t>7</w:t>
      </w:r>
      <w:r w:rsidR="00ED5889">
        <w:rPr>
          <w:lang w:val="en-US"/>
        </w:rPr>
        <w:t>(2)</w:t>
      </w:r>
      <w:r>
        <w:rPr>
          <w:lang w:val="en-US"/>
        </w:rPr>
        <w:t xml:space="preserve">, 93-120. </w:t>
      </w:r>
    </w:p>
    <w:p w:rsidR="00BE60B6" w:rsidRDefault="00BE60B6">
      <w:pPr>
        <w:spacing w:after="120"/>
        <w:jc w:val="both"/>
        <w:rPr>
          <w:lang w:val="en-US"/>
        </w:rPr>
      </w:pPr>
      <w:r>
        <w:rPr>
          <w:lang w:val="en-US"/>
        </w:rPr>
        <w:t>Kyle, A. (1985)</w:t>
      </w:r>
      <w:r w:rsidR="00ED5889">
        <w:rPr>
          <w:lang w:val="en-US"/>
        </w:rPr>
        <w:t>.</w:t>
      </w:r>
      <w:r>
        <w:rPr>
          <w:lang w:val="en-US"/>
        </w:rPr>
        <w:t xml:space="preserve"> Continuous </w:t>
      </w:r>
      <w:r w:rsidR="00ED5889">
        <w:rPr>
          <w:lang w:val="en-US"/>
        </w:rPr>
        <w:t>a</w:t>
      </w:r>
      <w:r>
        <w:rPr>
          <w:lang w:val="en-US"/>
        </w:rPr>
        <w:t xml:space="preserve">uctions and </w:t>
      </w:r>
      <w:r w:rsidR="00ED5889">
        <w:rPr>
          <w:lang w:val="en-US"/>
        </w:rPr>
        <w:t>i</w:t>
      </w:r>
      <w:r>
        <w:rPr>
          <w:lang w:val="en-US"/>
        </w:rPr>
        <w:t xml:space="preserve">nsider </w:t>
      </w:r>
      <w:r w:rsidR="00ED5889">
        <w:rPr>
          <w:lang w:val="en-US"/>
        </w:rPr>
        <w:t>t</w:t>
      </w:r>
      <w:r>
        <w:rPr>
          <w:lang w:val="en-US"/>
        </w:rPr>
        <w:t>rading</w:t>
      </w:r>
      <w:r w:rsidR="00ED5889">
        <w:rPr>
          <w:lang w:val="en-US"/>
        </w:rPr>
        <w:t>.</w:t>
      </w:r>
      <w:r>
        <w:rPr>
          <w:lang w:val="en-US"/>
        </w:rPr>
        <w:t xml:space="preserve"> </w:t>
      </w:r>
      <w:r>
        <w:rPr>
          <w:i/>
          <w:lang w:val="en-US"/>
        </w:rPr>
        <w:t>Econometrica</w:t>
      </w:r>
      <w:r>
        <w:rPr>
          <w:lang w:val="en-US"/>
        </w:rPr>
        <w:t xml:space="preserve">, </w:t>
      </w:r>
      <w:r w:rsidRPr="00ED5889">
        <w:rPr>
          <w:i/>
          <w:lang w:val="en-US"/>
        </w:rPr>
        <w:t>53</w:t>
      </w:r>
      <w:r w:rsidR="00ED5889">
        <w:rPr>
          <w:lang w:val="en-US"/>
        </w:rPr>
        <w:t>(6)</w:t>
      </w:r>
      <w:r>
        <w:rPr>
          <w:lang w:val="en-US"/>
        </w:rPr>
        <w:t>, 1315-1335.</w:t>
      </w:r>
    </w:p>
    <w:p w:rsidR="00B77F14" w:rsidRDefault="00B77F14" w:rsidP="00B77F14">
      <w:pPr>
        <w:spacing w:after="120"/>
        <w:jc w:val="both"/>
        <w:rPr>
          <w:lang w:val="en-US"/>
        </w:rPr>
      </w:pPr>
      <w:r>
        <w:rPr>
          <w:lang w:val="en-US"/>
        </w:rPr>
        <w:t xml:space="preserve">Lai, R. N., &amp; Van Order, R. (2006). A regime shift model of the recent housing bubble in the </w:t>
      </w:r>
      <w:smartTag w:uri="urn:schemas-microsoft-com:office:smarttags" w:element="place">
        <w:smartTag w:uri="urn:schemas-microsoft-com:office:smarttags" w:element="country-region">
          <w:r>
            <w:rPr>
              <w:lang w:val="en-US"/>
            </w:rPr>
            <w:t>United States</w:t>
          </w:r>
        </w:smartTag>
      </w:smartTag>
      <w:r>
        <w:rPr>
          <w:lang w:val="en-US"/>
        </w:rPr>
        <w:t xml:space="preserve">. Working Paper, </w:t>
      </w:r>
      <w:smartTag w:uri="urn:schemas-microsoft-com:office:smarttags" w:element="City">
        <w:r>
          <w:rPr>
            <w:lang w:val="en-US"/>
          </w:rPr>
          <w:t>Aberdeen</w:t>
        </w:r>
      </w:smartTag>
      <w:r>
        <w:rPr>
          <w:lang w:val="en-US"/>
        </w:rPr>
        <w:t xml:space="preserve"> (</w:t>
      </w:r>
      <w:smartTag w:uri="urn:schemas-microsoft-com:office:smarttags" w:element="country-region">
        <w:r>
          <w:rPr>
            <w:lang w:val="en-US"/>
          </w:rPr>
          <w:t>Scotland</w:t>
        </w:r>
      </w:smartTag>
      <w:r>
        <w:rPr>
          <w:lang w:val="en-US"/>
        </w:rPr>
        <w:t xml:space="preserve">): University of </w:t>
      </w:r>
      <w:smartTag w:uri="urn:schemas-microsoft-com:office:smarttags" w:element="place">
        <w:smartTag w:uri="urn:schemas-microsoft-com:office:smarttags" w:element="PlaceName">
          <w:r>
            <w:rPr>
              <w:lang w:val="en-US"/>
            </w:rPr>
            <w:t>Aberdeen</w:t>
          </w:r>
        </w:smartTag>
        <w:r>
          <w:rPr>
            <w:lang w:val="en-US"/>
          </w:rPr>
          <w:t xml:space="preserve"> </w:t>
        </w:r>
        <w:smartTag w:uri="urn:schemas-microsoft-com:office:smarttags" w:element="PlaceName">
          <w:r>
            <w:rPr>
              <w:lang w:val="en-US"/>
            </w:rPr>
            <w:t>Business</w:t>
          </w:r>
        </w:smartTag>
        <w:r>
          <w:rPr>
            <w:lang w:val="en-US"/>
          </w:rPr>
          <w:t xml:space="preserve"> </w:t>
        </w:r>
        <w:smartTag w:uri="urn:schemas-microsoft-com:office:smarttags" w:element="PlaceType">
          <w:r>
            <w:rPr>
              <w:lang w:val="en-US"/>
            </w:rPr>
            <w:t>School</w:t>
          </w:r>
        </w:smartTag>
      </w:smartTag>
      <w:r>
        <w:rPr>
          <w:lang w:val="en-US"/>
        </w:rPr>
        <w:t>.</w:t>
      </w:r>
    </w:p>
    <w:p w:rsidR="00BE60B6" w:rsidRDefault="00BE60B6">
      <w:pPr>
        <w:spacing w:after="120"/>
        <w:jc w:val="both"/>
        <w:rPr>
          <w:lang w:val="en-US"/>
        </w:rPr>
      </w:pPr>
      <w:r>
        <w:rPr>
          <w:lang w:val="en-US"/>
        </w:rPr>
        <w:t>Levin, E. J.</w:t>
      </w:r>
      <w:r w:rsidR="00ED5889">
        <w:rPr>
          <w:lang w:val="en-US"/>
        </w:rPr>
        <w:t>,</w:t>
      </w:r>
      <w:r>
        <w:rPr>
          <w:lang w:val="en-US"/>
        </w:rPr>
        <w:t xml:space="preserve"> </w:t>
      </w:r>
      <w:r w:rsidR="00ED5889">
        <w:rPr>
          <w:lang w:val="en-US"/>
        </w:rPr>
        <w:t xml:space="preserve">&amp; </w:t>
      </w:r>
      <w:r>
        <w:rPr>
          <w:lang w:val="en-US"/>
        </w:rPr>
        <w:t>Wright</w:t>
      </w:r>
      <w:r w:rsidR="00ED5889">
        <w:rPr>
          <w:lang w:val="en-US"/>
        </w:rPr>
        <w:t>,</w:t>
      </w:r>
      <w:r>
        <w:rPr>
          <w:lang w:val="en-US"/>
        </w:rPr>
        <w:t xml:space="preserve"> </w:t>
      </w:r>
      <w:r w:rsidR="00ED5889">
        <w:rPr>
          <w:lang w:val="en-US"/>
        </w:rPr>
        <w:t xml:space="preserve">R. E. </w:t>
      </w:r>
      <w:r>
        <w:rPr>
          <w:lang w:val="en-US"/>
        </w:rPr>
        <w:t>(1997)</w:t>
      </w:r>
      <w:r w:rsidR="00ED5889">
        <w:rPr>
          <w:lang w:val="en-US"/>
        </w:rPr>
        <w:t>.</w:t>
      </w:r>
      <w:r>
        <w:rPr>
          <w:lang w:val="en-US"/>
        </w:rPr>
        <w:t xml:space="preserve"> The </w:t>
      </w:r>
      <w:r w:rsidR="00ED5889">
        <w:rPr>
          <w:lang w:val="en-US"/>
        </w:rPr>
        <w:t>i</w:t>
      </w:r>
      <w:r>
        <w:rPr>
          <w:lang w:val="en-US"/>
        </w:rPr>
        <w:t xml:space="preserve">mpact of </w:t>
      </w:r>
      <w:r w:rsidR="00ED5889">
        <w:rPr>
          <w:lang w:val="en-US"/>
        </w:rPr>
        <w:t>s</w:t>
      </w:r>
      <w:r>
        <w:rPr>
          <w:lang w:val="en-US"/>
        </w:rPr>
        <w:t xml:space="preserve">peculation on </w:t>
      </w:r>
      <w:r w:rsidR="00ED5889">
        <w:rPr>
          <w:lang w:val="en-US"/>
        </w:rPr>
        <w:t>h</w:t>
      </w:r>
      <w:r>
        <w:rPr>
          <w:lang w:val="en-US"/>
        </w:rPr>
        <w:t xml:space="preserve">ouse </w:t>
      </w:r>
      <w:r w:rsidR="00ED5889">
        <w:rPr>
          <w:lang w:val="en-US"/>
        </w:rPr>
        <w:t>p</w:t>
      </w:r>
      <w:r>
        <w:rPr>
          <w:lang w:val="en-US"/>
        </w:rPr>
        <w:t xml:space="preserve">rices in the </w:t>
      </w:r>
      <w:smartTag w:uri="urn:schemas-microsoft-com:office:smarttags" w:element="place">
        <w:smartTag w:uri="urn:schemas-microsoft-com:office:smarttags" w:element="country-region">
          <w:r>
            <w:rPr>
              <w:lang w:val="en-US"/>
            </w:rPr>
            <w:t>United Kingdom</w:t>
          </w:r>
        </w:smartTag>
      </w:smartTag>
      <w:r w:rsidR="00ED5889">
        <w:rPr>
          <w:lang w:val="en-US"/>
        </w:rPr>
        <w:t>.</w:t>
      </w:r>
      <w:r>
        <w:rPr>
          <w:lang w:val="en-US"/>
        </w:rPr>
        <w:t xml:space="preserve"> </w:t>
      </w:r>
      <w:r>
        <w:rPr>
          <w:i/>
          <w:lang w:val="en-US"/>
        </w:rPr>
        <w:t>Economic Modelling</w:t>
      </w:r>
      <w:r>
        <w:rPr>
          <w:lang w:val="en-US"/>
        </w:rPr>
        <w:t xml:space="preserve">, </w:t>
      </w:r>
      <w:r w:rsidRPr="00ED5889">
        <w:rPr>
          <w:i/>
          <w:lang w:val="en-US"/>
        </w:rPr>
        <w:t>14</w:t>
      </w:r>
      <w:r w:rsidR="00ED5889">
        <w:rPr>
          <w:lang w:val="en-US"/>
        </w:rPr>
        <w:t>(4)</w:t>
      </w:r>
      <w:r>
        <w:rPr>
          <w:lang w:val="en-US"/>
        </w:rPr>
        <w:t>, 567-585.</w:t>
      </w:r>
    </w:p>
    <w:p w:rsidR="00BE60B6" w:rsidRDefault="00BE60B6">
      <w:pPr>
        <w:spacing w:after="120"/>
        <w:jc w:val="both"/>
        <w:rPr>
          <w:lang w:val="en-US"/>
        </w:rPr>
      </w:pPr>
      <w:r>
        <w:rPr>
          <w:lang w:val="en-US"/>
        </w:rPr>
        <w:t>Liang, Y., Chatrath</w:t>
      </w:r>
      <w:r w:rsidR="00F245D6">
        <w:rPr>
          <w:lang w:val="en-US"/>
        </w:rPr>
        <w:t>,</w:t>
      </w:r>
      <w:r>
        <w:rPr>
          <w:lang w:val="en-US"/>
        </w:rPr>
        <w:t xml:space="preserve"> </w:t>
      </w:r>
      <w:r w:rsidR="00F245D6">
        <w:rPr>
          <w:lang w:val="en-US"/>
        </w:rPr>
        <w:t xml:space="preserve">A., &amp; </w:t>
      </w:r>
      <w:r>
        <w:rPr>
          <w:lang w:val="en-US"/>
        </w:rPr>
        <w:t>McIntosh</w:t>
      </w:r>
      <w:r w:rsidR="00F245D6">
        <w:rPr>
          <w:lang w:val="en-US"/>
        </w:rPr>
        <w:t>,</w:t>
      </w:r>
      <w:r>
        <w:rPr>
          <w:lang w:val="en-US"/>
        </w:rPr>
        <w:t xml:space="preserve"> </w:t>
      </w:r>
      <w:r w:rsidR="00F245D6">
        <w:rPr>
          <w:lang w:val="en-US"/>
        </w:rPr>
        <w:t xml:space="preserve">W. </w:t>
      </w:r>
      <w:r>
        <w:rPr>
          <w:lang w:val="en-US"/>
        </w:rPr>
        <w:t>(1996)</w:t>
      </w:r>
      <w:r w:rsidR="00F245D6">
        <w:rPr>
          <w:lang w:val="en-US"/>
        </w:rPr>
        <w:t>.</w:t>
      </w:r>
      <w:r>
        <w:rPr>
          <w:lang w:val="en-US"/>
        </w:rPr>
        <w:t xml:space="preserve"> Apartment REITs and </w:t>
      </w:r>
      <w:r w:rsidR="00F245D6">
        <w:rPr>
          <w:lang w:val="en-US"/>
        </w:rPr>
        <w:t>a</w:t>
      </w:r>
      <w:r>
        <w:rPr>
          <w:lang w:val="en-US"/>
        </w:rPr>
        <w:t xml:space="preserve">partment </w:t>
      </w:r>
      <w:r w:rsidR="00F245D6">
        <w:rPr>
          <w:lang w:val="en-US"/>
        </w:rPr>
        <w:t>r</w:t>
      </w:r>
      <w:r>
        <w:rPr>
          <w:lang w:val="en-US"/>
        </w:rPr>
        <w:t xml:space="preserve">eal </w:t>
      </w:r>
      <w:r w:rsidR="00F245D6">
        <w:rPr>
          <w:lang w:val="en-US"/>
        </w:rPr>
        <w:t>e</w:t>
      </w:r>
      <w:r>
        <w:rPr>
          <w:lang w:val="en-US"/>
        </w:rPr>
        <w:t>state</w:t>
      </w:r>
      <w:r w:rsidR="00F245D6">
        <w:rPr>
          <w:lang w:val="en-US"/>
        </w:rPr>
        <w:t>.</w:t>
      </w:r>
      <w:r>
        <w:rPr>
          <w:lang w:val="en-US"/>
        </w:rPr>
        <w:t xml:space="preserve"> </w:t>
      </w:r>
      <w:r>
        <w:rPr>
          <w:i/>
          <w:lang w:val="en-US"/>
        </w:rPr>
        <w:t>Journal of Real Estate Research</w:t>
      </w:r>
      <w:r>
        <w:rPr>
          <w:lang w:val="en-US"/>
        </w:rPr>
        <w:t xml:space="preserve">, </w:t>
      </w:r>
      <w:r w:rsidRPr="00F245D6">
        <w:rPr>
          <w:i/>
          <w:lang w:val="en-US"/>
        </w:rPr>
        <w:t>11</w:t>
      </w:r>
      <w:r w:rsidR="00F245D6">
        <w:rPr>
          <w:lang w:val="en-US"/>
        </w:rPr>
        <w:t>(3)</w:t>
      </w:r>
      <w:r>
        <w:rPr>
          <w:lang w:val="en-US"/>
        </w:rPr>
        <w:t>, 277-289.</w:t>
      </w:r>
    </w:p>
    <w:p w:rsidR="00BE60B6" w:rsidRDefault="00BE60B6">
      <w:pPr>
        <w:spacing w:after="120"/>
        <w:jc w:val="both"/>
        <w:rPr>
          <w:lang w:val="en-US"/>
        </w:rPr>
      </w:pPr>
      <w:r w:rsidRPr="00C81208">
        <w:rPr>
          <w:lang w:val="fr-FR"/>
        </w:rPr>
        <w:t>Lui, W., Strong</w:t>
      </w:r>
      <w:r w:rsidR="00F245D6" w:rsidRPr="00C81208">
        <w:rPr>
          <w:lang w:val="fr-FR"/>
        </w:rPr>
        <w:t>,</w:t>
      </w:r>
      <w:r w:rsidRPr="00C81208">
        <w:rPr>
          <w:lang w:val="fr-FR"/>
        </w:rPr>
        <w:t xml:space="preserve"> </w:t>
      </w:r>
      <w:r w:rsidR="00F245D6" w:rsidRPr="00C81208">
        <w:rPr>
          <w:lang w:val="fr-FR"/>
        </w:rPr>
        <w:t xml:space="preserve">N., &amp; </w:t>
      </w:r>
      <w:r w:rsidRPr="00C81208">
        <w:rPr>
          <w:lang w:val="fr-FR"/>
        </w:rPr>
        <w:t>Xu</w:t>
      </w:r>
      <w:r w:rsidR="00F245D6" w:rsidRPr="00C81208">
        <w:rPr>
          <w:lang w:val="fr-FR"/>
        </w:rPr>
        <w:t>,</w:t>
      </w:r>
      <w:r w:rsidRPr="00C81208">
        <w:rPr>
          <w:lang w:val="fr-FR"/>
        </w:rPr>
        <w:t xml:space="preserve"> </w:t>
      </w:r>
      <w:r w:rsidR="00F245D6" w:rsidRPr="00C81208">
        <w:rPr>
          <w:lang w:val="fr-FR"/>
        </w:rPr>
        <w:t xml:space="preserve">X. </w:t>
      </w:r>
      <w:r w:rsidRPr="00C81208">
        <w:rPr>
          <w:lang w:val="fr-FR"/>
        </w:rPr>
        <w:t>(1999)</w:t>
      </w:r>
      <w:r w:rsidR="00F245D6" w:rsidRPr="00C81208">
        <w:rPr>
          <w:lang w:val="fr-FR"/>
        </w:rPr>
        <w:t>.</w:t>
      </w:r>
      <w:r w:rsidRPr="00C81208">
        <w:rPr>
          <w:lang w:val="fr-FR"/>
        </w:rPr>
        <w:t xml:space="preserve"> </w:t>
      </w:r>
      <w:r>
        <w:rPr>
          <w:lang w:val="en-US"/>
        </w:rPr>
        <w:t xml:space="preserve">The </w:t>
      </w:r>
      <w:r w:rsidR="00F245D6">
        <w:rPr>
          <w:lang w:val="en-US"/>
        </w:rPr>
        <w:t>p</w:t>
      </w:r>
      <w:r>
        <w:rPr>
          <w:lang w:val="en-US"/>
        </w:rPr>
        <w:t xml:space="preserve">rofitability of </w:t>
      </w:r>
      <w:r w:rsidR="00F245D6">
        <w:rPr>
          <w:lang w:val="en-US"/>
        </w:rPr>
        <w:t>m</w:t>
      </w:r>
      <w:r>
        <w:rPr>
          <w:lang w:val="en-US"/>
        </w:rPr>
        <w:t xml:space="preserve">omentum </w:t>
      </w:r>
      <w:r w:rsidR="00F245D6">
        <w:rPr>
          <w:lang w:val="en-US"/>
        </w:rPr>
        <w:t>i</w:t>
      </w:r>
      <w:r>
        <w:rPr>
          <w:lang w:val="en-US"/>
        </w:rPr>
        <w:t>nvesting</w:t>
      </w:r>
      <w:r w:rsidR="00F245D6">
        <w:rPr>
          <w:lang w:val="en-US"/>
        </w:rPr>
        <w:t>.</w:t>
      </w:r>
      <w:r>
        <w:rPr>
          <w:lang w:val="en-US"/>
        </w:rPr>
        <w:t xml:space="preserve"> </w:t>
      </w:r>
      <w:r>
        <w:rPr>
          <w:i/>
          <w:lang w:val="en-US"/>
        </w:rPr>
        <w:t>Journal of Business Finance and Accounting</w:t>
      </w:r>
      <w:r>
        <w:rPr>
          <w:lang w:val="en-US"/>
        </w:rPr>
        <w:t xml:space="preserve">, </w:t>
      </w:r>
      <w:r w:rsidRPr="000466D6">
        <w:rPr>
          <w:i/>
          <w:lang w:val="en-US"/>
        </w:rPr>
        <w:t>26</w:t>
      </w:r>
      <w:r w:rsidR="00F245D6">
        <w:rPr>
          <w:lang w:val="en-US"/>
        </w:rPr>
        <w:t>(</w:t>
      </w:r>
      <w:r w:rsidR="000466D6">
        <w:rPr>
          <w:lang w:val="en-US"/>
        </w:rPr>
        <w:t>9-10)</w:t>
      </w:r>
      <w:r>
        <w:rPr>
          <w:lang w:val="en-US"/>
        </w:rPr>
        <w:t>, 1043-1091.</w:t>
      </w:r>
    </w:p>
    <w:p w:rsidR="00BE60B6" w:rsidRDefault="00BE60B6">
      <w:pPr>
        <w:spacing w:after="120"/>
        <w:jc w:val="both"/>
        <w:rPr>
          <w:lang w:val="en-US"/>
        </w:rPr>
      </w:pPr>
      <w:r>
        <w:rPr>
          <w:lang w:val="en-US"/>
        </w:rPr>
        <w:t>Meen, G. (1996)</w:t>
      </w:r>
      <w:r w:rsidR="000466D6">
        <w:rPr>
          <w:lang w:val="en-US"/>
        </w:rPr>
        <w:t>.</w:t>
      </w:r>
      <w:r>
        <w:rPr>
          <w:lang w:val="en-US"/>
        </w:rPr>
        <w:t xml:space="preserve"> Ten </w:t>
      </w:r>
      <w:r w:rsidR="000466D6">
        <w:rPr>
          <w:lang w:val="en-US"/>
        </w:rPr>
        <w:t>p</w:t>
      </w:r>
      <w:r>
        <w:rPr>
          <w:lang w:val="en-US"/>
        </w:rPr>
        <w:t xml:space="preserve">ropositions in </w:t>
      </w:r>
      <w:smartTag w:uri="urn:schemas-microsoft-com:office:smarttags" w:element="place">
        <w:smartTag w:uri="urn:schemas-microsoft-com:office:smarttags" w:element="country-region">
          <w:r>
            <w:rPr>
              <w:lang w:val="en-US"/>
            </w:rPr>
            <w:t>U.K.</w:t>
          </w:r>
        </w:smartTag>
      </w:smartTag>
      <w:r>
        <w:rPr>
          <w:lang w:val="en-US"/>
        </w:rPr>
        <w:t xml:space="preserve"> </w:t>
      </w:r>
      <w:r w:rsidR="000466D6">
        <w:rPr>
          <w:lang w:val="en-US"/>
        </w:rPr>
        <w:t>h</w:t>
      </w:r>
      <w:r>
        <w:rPr>
          <w:lang w:val="en-US"/>
        </w:rPr>
        <w:t xml:space="preserve">ousing </w:t>
      </w:r>
      <w:r w:rsidR="000466D6">
        <w:rPr>
          <w:lang w:val="en-US"/>
        </w:rPr>
        <w:t>m</w:t>
      </w:r>
      <w:r>
        <w:rPr>
          <w:lang w:val="en-US"/>
        </w:rPr>
        <w:t xml:space="preserve">acroeconomics: </w:t>
      </w:r>
      <w:r w:rsidR="000466D6">
        <w:rPr>
          <w:lang w:val="en-US"/>
        </w:rPr>
        <w:t>a</w:t>
      </w:r>
      <w:r>
        <w:rPr>
          <w:lang w:val="en-US"/>
        </w:rPr>
        <w:t xml:space="preserve">n </w:t>
      </w:r>
      <w:r w:rsidR="000466D6">
        <w:rPr>
          <w:lang w:val="en-US"/>
        </w:rPr>
        <w:t>o</w:t>
      </w:r>
      <w:r>
        <w:rPr>
          <w:lang w:val="en-US"/>
        </w:rPr>
        <w:t xml:space="preserve">verview of the 1980s and </w:t>
      </w:r>
      <w:r w:rsidR="000466D6">
        <w:rPr>
          <w:lang w:val="en-US"/>
        </w:rPr>
        <w:t>e</w:t>
      </w:r>
      <w:r>
        <w:rPr>
          <w:lang w:val="en-US"/>
        </w:rPr>
        <w:t>arly 1990s</w:t>
      </w:r>
      <w:r w:rsidR="000466D6">
        <w:rPr>
          <w:lang w:val="en-US"/>
        </w:rPr>
        <w:t>.</w:t>
      </w:r>
      <w:r>
        <w:rPr>
          <w:lang w:val="en-US"/>
        </w:rPr>
        <w:t xml:space="preserve"> </w:t>
      </w:r>
      <w:r>
        <w:rPr>
          <w:i/>
          <w:lang w:val="en-US"/>
        </w:rPr>
        <w:t>Urban Studies</w:t>
      </w:r>
      <w:r>
        <w:rPr>
          <w:lang w:val="en-US"/>
        </w:rPr>
        <w:t xml:space="preserve">, </w:t>
      </w:r>
      <w:r w:rsidRPr="000466D6">
        <w:rPr>
          <w:i/>
          <w:lang w:val="en-US"/>
        </w:rPr>
        <w:t>33</w:t>
      </w:r>
      <w:r w:rsidR="000466D6">
        <w:rPr>
          <w:lang w:val="en-US"/>
        </w:rPr>
        <w:t>(3)</w:t>
      </w:r>
      <w:r>
        <w:rPr>
          <w:lang w:val="en-US"/>
        </w:rPr>
        <w:t>, 425-444.</w:t>
      </w:r>
    </w:p>
    <w:p w:rsidR="00BE60B6" w:rsidRDefault="00BE60B6">
      <w:pPr>
        <w:spacing w:after="120"/>
        <w:jc w:val="both"/>
        <w:rPr>
          <w:lang w:val="en-US"/>
        </w:rPr>
      </w:pPr>
      <w:r>
        <w:rPr>
          <w:lang w:val="en-US"/>
        </w:rPr>
        <w:t>Merton, R. (1973)</w:t>
      </w:r>
      <w:r w:rsidR="000466D6">
        <w:rPr>
          <w:lang w:val="en-US"/>
        </w:rPr>
        <w:t>.</w:t>
      </w:r>
      <w:r>
        <w:rPr>
          <w:lang w:val="en-US"/>
        </w:rPr>
        <w:t xml:space="preserve"> An </w:t>
      </w:r>
      <w:r w:rsidR="000466D6">
        <w:rPr>
          <w:lang w:val="en-US"/>
        </w:rPr>
        <w:t>i</w:t>
      </w:r>
      <w:r>
        <w:rPr>
          <w:lang w:val="en-US"/>
        </w:rPr>
        <w:t>nter-</w:t>
      </w:r>
      <w:r w:rsidR="000466D6">
        <w:rPr>
          <w:lang w:val="en-US"/>
        </w:rPr>
        <w:t>t</w:t>
      </w:r>
      <w:r>
        <w:rPr>
          <w:lang w:val="en-US"/>
        </w:rPr>
        <w:t xml:space="preserve">emporal </w:t>
      </w:r>
      <w:r w:rsidR="000466D6">
        <w:rPr>
          <w:lang w:val="en-US"/>
        </w:rPr>
        <w:t>c</w:t>
      </w:r>
      <w:r>
        <w:rPr>
          <w:lang w:val="en-US"/>
        </w:rPr>
        <w:t xml:space="preserve">apital </w:t>
      </w:r>
      <w:r w:rsidR="000466D6">
        <w:rPr>
          <w:lang w:val="en-US"/>
        </w:rPr>
        <w:t>a</w:t>
      </w:r>
      <w:r>
        <w:rPr>
          <w:lang w:val="en-US"/>
        </w:rPr>
        <w:t xml:space="preserve">sset </w:t>
      </w:r>
      <w:r w:rsidR="000466D6">
        <w:rPr>
          <w:lang w:val="en-US"/>
        </w:rPr>
        <w:t>p</w:t>
      </w:r>
      <w:r>
        <w:rPr>
          <w:lang w:val="en-US"/>
        </w:rPr>
        <w:t xml:space="preserve">ricing </w:t>
      </w:r>
      <w:r w:rsidR="000466D6">
        <w:rPr>
          <w:lang w:val="en-US"/>
        </w:rPr>
        <w:t>m</w:t>
      </w:r>
      <w:r>
        <w:rPr>
          <w:lang w:val="en-US"/>
        </w:rPr>
        <w:t>odel</w:t>
      </w:r>
      <w:r w:rsidR="000466D6">
        <w:rPr>
          <w:lang w:val="en-US"/>
        </w:rPr>
        <w:t>.</w:t>
      </w:r>
      <w:r>
        <w:rPr>
          <w:lang w:val="en-US"/>
        </w:rPr>
        <w:t xml:space="preserve"> </w:t>
      </w:r>
      <w:r>
        <w:rPr>
          <w:i/>
          <w:lang w:val="en-US"/>
        </w:rPr>
        <w:t>Econometrica</w:t>
      </w:r>
      <w:r>
        <w:rPr>
          <w:lang w:val="en-US"/>
        </w:rPr>
        <w:t xml:space="preserve">, </w:t>
      </w:r>
      <w:r w:rsidRPr="000466D6">
        <w:rPr>
          <w:i/>
          <w:lang w:val="en-US"/>
        </w:rPr>
        <w:t>41</w:t>
      </w:r>
      <w:r w:rsidR="000466D6">
        <w:rPr>
          <w:lang w:val="en-US"/>
        </w:rPr>
        <w:t>(5)</w:t>
      </w:r>
      <w:r>
        <w:rPr>
          <w:lang w:val="en-US"/>
        </w:rPr>
        <w:t xml:space="preserve">, 867-888. </w:t>
      </w:r>
    </w:p>
    <w:p w:rsidR="00BE60B6" w:rsidRDefault="00BE60B6">
      <w:pPr>
        <w:spacing w:after="120"/>
        <w:jc w:val="both"/>
        <w:rPr>
          <w:lang w:val="en-US"/>
        </w:rPr>
      </w:pPr>
      <w:r>
        <w:rPr>
          <w:lang w:val="en-US"/>
        </w:rPr>
        <w:t>Merton, R. (1980)</w:t>
      </w:r>
      <w:r w:rsidR="000466D6">
        <w:rPr>
          <w:lang w:val="en-US"/>
        </w:rPr>
        <w:t>.</w:t>
      </w:r>
      <w:r>
        <w:rPr>
          <w:lang w:val="en-US"/>
        </w:rPr>
        <w:t xml:space="preserve"> On </w:t>
      </w:r>
      <w:r w:rsidR="000466D6">
        <w:rPr>
          <w:lang w:val="en-US"/>
        </w:rPr>
        <w:t>e</w:t>
      </w:r>
      <w:r>
        <w:rPr>
          <w:lang w:val="en-US"/>
        </w:rPr>
        <w:t xml:space="preserve">stimating the </w:t>
      </w:r>
      <w:r w:rsidR="000466D6">
        <w:rPr>
          <w:lang w:val="en-US"/>
        </w:rPr>
        <w:t xml:space="preserve">expected return </w:t>
      </w:r>
      <w:r>
        <w:rPr>
          <w:lang w:val="en-US"/>
        </w:rPr>
        <w:t xml:space="preserve">on the </w:t>
      </w:r>
      <w:r w:rsidR="000466D6">
        <w:rPr>
          <w:lang w:val="en-US"/>
        </w:rPr>
        <w:t>m</w:t>
      </w:r>
      <w:r>
        <w:rPr>
          <w:lang w:val="en-US"/>
        </w:rPr>
        <w:t xml:space="preserve">arket: </w:t>
      </w:r>
      <w:r w:rsidR="000466D6">
        <w:rPr>
          <w:lang w:val="en-US"/>
        </w:rPr>
        <w:t>a</w:t>
      </w:r>
      <w:r>
        <w:rPr>
          <w:lang w:val="en-US"/>
        </w:rPr>
        <w:t xml:space="preserve">n </w:t>
      </w:r>
      <w:r w:rsidR="000466D6">
        <w:rPr>
          <w:lang w:val="en-US"/>
        </w:rPr>
        <w:t>e</w:t>
      </w:r>
      <w:r>
        <w:rPr>
          <w:lang w:val="en-US"/>
        </w:rPr>
        <w:t xml:space="preserve">xploratory </w:t>
      </w:r>
      <w:r w:rsidR="000466D6">
        <w:rPr>
          <w:lang w:val="en-US"/>
        </w:rPr>
        <w:t>i</w:t>
      </w:r>
      <w:r>
        <w:rPr>
          <w:lang w:val="en-US"/>
        </w:rPr>
        <w:t>nvestigation</w:t>
      </w:r>
      <w:r w:rsidR="000466D6">
        <w:rPr>
          <w:lang w:val="en-US"/>
        </w:rPr>
        <w:t>.</w:t>
      </w:r>
      <w:r>
        <w:rPr>
          <w:lang w:val="en-US"/>
        </w:rPr>
        <w:t xml:space="preserve"> </w:t>
      </w:r>
      <w:r>
        <w:rPr>
          <w:i/>
          <w:lang w:val="en-US"/>
        </w:rPr>
        <w:t>Journal of Financial Economics</w:t>
      </w:r>
      <w:r>
        <w:rPr>
          <w:lang w:val="en-US"/>
        </w:rPr>
        <w:t xml:space="preserve">, </w:t>
      </w:r>
      <w:r w:rsidRPr="000466D6">
        <w:rPr>
          <w:i/>
          <w:lang w:val="en-US"/>
        </w:rPr>
        <w:t>8</w:t>
      </w:r>
      <w:r w:rsidR="000466D6">
        <w:rPr>
          <w:lang w:val="en-US"/>
        </w:rPr>
        <w:t>(4)</w:t>
      </w:r>
      <w:r>
        <w:rPr>
          <w:lang w:val="en-US"/>
        </w:rPr>
        <w:t>, 323-361.</w:t>
      </w:r>
    </w:p>
    <w:p w:rsidR="00BE60B6" w:rsidRDefault="00BE60B6">
      <w:pPr>
        <w:spacing w:after="120"/>
        <w:jc w:val="both"/>
        <w:rPr>
          <w:lang w:val="en-US"/>
        </w:rPr>
      </w:pPr>
      <w:smartTag w:uri="urn:schemas-microsoft-com:office:smarttags" w:element="country-region">
        <w:r>
          <w:rPr>
            <w:i/>
            <w:lang w:val="en-US"/>
          </w:rPr>
          <w:t>New Zealand</w:t>
        </w:r>
      </w:smartTag>
      <w:r>
        <w:rPr>
          <w:i/>
          <w:lang w:val="en-US"/>
        </w:rPr>
        <w:t xml:space="preserve"> </w:t>
      </w:r>
      <w:r w:rsidR="00C2783E">
        <w:rPr>
          <w:i/>
          <w:lang w:val="en-US"/>
        </w:rPr>
        <w:t>O</w:t>
      </w:r>
      <w:r>
        <w:rPr>
          <w:i/>
          <w:lang w:val="en-US"/>
        </w:rPr>
        <w:t xml:space="preserve">fficial </w:t>
      </w:r>
      <w:r w:rsidR="00C2783E">
        <w:rPr>
          <w:i/>
          <w:lang w:val="en-US"/>
        </w:rPr>
        <w:t>Y</w:t>
      </w:r>
      <w:r>
        <w:rPr>
          <w:i/>
          <w:lang w:val="en-US"/>
        </w:rPr>
        <w:t>earbook 1984</w:t>
      </w:r>
      <w:r>
        <w:rPr>
          <w:lang w:val="en-US"/>
        </w:rPr>
        <w:t>, 89</w:t>
      </w:r>
      <w:r>
        <w:rPr>
          <w:vertAlign w:val="superscript"/>
          <w:lang w:val="en-US"/>
        </w:rPr>
        <w:t>th</w:t>
      </w:r>
      <w:r>
        <w:rPr>
          <w:lang w:val="en-US"/>
        </w:rPr>
        <w:t xml:space="preserve"> </w:t>
      </w:r>
      <w:r w:rsidR="000466D6">
        <w:rPr>
          <w:lang w:val="en-US"/>
        </w:rPr>
        <w:t>a</w:t>
      </w:r>
      <w:r>
        <w:rPr>
          <w:lang w:val="en-US"/>
        </w:rPr>
        <w:t xml:space="preserve">nnual </w:t>
      </w:r>
      <w:r w:rsidR="000466D6">
        <w:rPr>
          <w:lang w:val="en-US"/>
        </w:rPr>
        <w:t>e</w:t>
      </w:r>
      <w:r>
        <w:rPr>
          <w:lang w:val="en-US"/>
        </w:rPr>
        <w:t xml:space="preserve">dition, </w:t>
      </w:r>
      <w:smartTag w:uri="urn:schemas-microsoft-com:office:smarttags" w:element="City">
        <w:r>
          <w:rPr>
            <w:lang w:val="en-US"/>
          </w:rPr>
          <w:t>Wellington</w:t>
        </w:r>
      </w:smartTag>
      <w:r w:rsidR="000466D6">
        <w:rPr>
          <w:lang w:val="en-US"/>
        </w:rPr>
        <w:t xml:space="preserve"> (</w:t>
      </w:r>
      <w:smartTag w:uri="urn:schemas-microsoft-com:office:smarttags" w:element="place">
        <w:smartTag w:uri="urn:schemas-microsoft-com:office:smarttags" w:element="country-region">
          <w:r>
            <w:rPr>
              <w:lang w:val="en-US"/>
            </w:rPr>
            <w:t>New Zealand</w:t>
          </w:r>
        </w:smartTag>
      </w:smartTag>
      <w:r w:rsidR="000466D6">
        <w:rPr>
          <w:lang w:val="en-US"/>
        </w:rPr>
        <w:t>): Department of Statistics</w:t>
      </w:r>
      <w:r>
        <w:rPr>
          <w:lang w:val="en-US"/>
        </w:rPr>
        <w:t>.</w:t>
      </w:r>
    </w:p>
    <w:p w:rsidR="00BE60B6" w:rsidRDefault="00BE60B6">
      <w:pPr>
        <w:spacing w:after="120"/>
        <w:jc w:val="both"/>
        <w:rPr>
          <w:lang w:val="en-US"/>
        </w:rPr>
      </w:pPr>
      <w:r>
        <w:rPr>
          <w:lang w:val="en-US"/>
        </w:rPr>
        <w:t>Noord van den, P. (2006)</w:t>
      </w:r>
      <w:r w:rsidR="000466D6">
        <w:rPr>
          <w:lang w:val="en-US"/>
        </w:rPr>
        <w:t>.</w:t>
      </w:r>
      <w:r>
        <w:rPr>
          <w:lang w:val="en-US"/>
        </w:rPr>
        <w:t xml:space="preserve"> Are </w:t>
      </w:r>
      <w:r w:rsidR="000466D6">
        <w:rPr>
          <w:lang w:val="en-US"/>
        </w:rPr>
        <w:t>h</w:t>
      </w:r>
      <w:r>
        <w:rPr>
          <w:lang w:val="en-US"/>
        </w:rPr>
        <w:t xml:space="preserve">ouse </w:t>
      </w:r>
      <w:r w:rsidR="000466D6">
        <w:rPr>
          <w:lang w:val="en-US"/>
        </w:rPr>
        <w:t>p</w:t>
      </w:r>
      <w:r>
        <w:rPr>
          <w:lang w:val="en-US"/>
        </w:rPr>
        <w:t xml:space="preserve">rices nearing a </w:t>
      </w:r>
      <w:r w:rsidR="000466D6">
        <w:rPr>
          <w:lang w:val="en-US"/>
        </w:rPr>
        <w:t>p</w:t>
      </w:r>
      <w:r>
        <w:rPr>
          <w:lang w:val="en-US"/>
        </w:rPr>
        <w:t xml:space="preserve">eak? A </w:t>
      </w:r>
      <w:r w:rsidR="000466D6">
        <w:rPr>
          <w:lang w:val="en-US"/>
        </w:rPr>
        <w:t>p</w:t>
      </w:r>
      <w:r>
        <w:rPr>
          <w:lang w:val="en-US"/>
        </w:rPr>
        <w:t xml:space="preserve">robit </w:t>
      </w:r>
      <w:r w:rsidR="000466D6">
        <w:rPr>
          <w:lang w:val="en-US"/>
        </w:rPr>
        <w:t>a</w:t>
      </w:r>
      <w:r>
        <w:rPr>
          <w:lang w:val="en-US"/>
        </w:rPr>
        <w:t xml:space="preserve">nalysis of 17 OECD </w:t>
      </w:r>
      <w:r w:rsidR="000466D6">
        <w:rPr>
          <w:lang w:val="en-US"/>
        </w:rPr>
        <w:t>c</w:t>
      </w:r>
      <w:r>
        <w:rPr>
          <w:lang w:val="en-US"/>
        </w:rPr>
        <w:t>ountries</w:t>
      </w:r>
      <w:r w:rsidR="000466D6">
        <w:rPr>
          <w:lang w:val="en-US"/>
        </w:rPr>
        <w:t>.</w:t>
      </w:r>
      <w:r>
        <w:rPr>
          <w:lang w:val="en-US"/>
        </w:rPr>
        <w:t xml:space="preserve"> </w:t>
      </w:r>
      <w:r w:rsidR="00C81208">
        <w:rPr>
          <w:lang w:val="en-US"/>
        </w:rPr>
        <w:t xml:space="preserve">Working paper 488, </w:t>
      </w:r>
      <w:smartTag w:uri="urn:schemas-microsoft-com:office:smarttags" w:element="place">
        <w:smartTag w:uri="urn:schemas-microsoft-com:office:smarttags" w:element="City">
          <w:r w:rsidR="00C81208">
            <w:rPr>
              <w:lang w:val="en-US"/>
            </w:rPr>
            <w:t>Paris</w:t>
          </w:r>
        </w:smartTag>
      </w:smartTag>
      <w:r w:rsidR="00C81208">
        <w:rPr>
          <w:lang w:val="en-US"/>
        </w:rPr>
        <w:t xml:space="preserve">: </w:t>
      </w:r>
      <w:r>
        <w:rPr>
          <w:lang w:val="en-US"/>
        </w:rPr>
        <w:t>OECD Economics Department, 1 June 2006.</w:t>
      </w:r>
    </w:p>
    <w:p w:rsidR="00BE60B6" w:rsidRPr="000466D6" w:rsidRDefault="00BE60B6">
      <w:pPr>
        <w:spacing w:after="120"/>
        <w:jc w:val="both"/>
      </w:pPr>
      <w:r>
        <w:rPr>
          <w:lang w:val="en-US"/>
        </w:rPr>
        <w:t>Reserve Bank of New Zealand Governor’s Speech (2006)</w:t>
      </w:r>
      <w:r w:rsidR="000466D6">
        <w:rPr>
          <w:lang w:val="en-US"/>
        </w:rPr>
        <w:t>.</w:t>
      </w:r>
      <w:r w:rsidRPr="000466D6">
        <w:t xml:space="preserve"> </w:t>
      </w:r>
      <w:r w:rsidR="000466D6">
        <w:t xml:space="preserve">Available for download at </w:t>
      </w:r>
      <w:hyperlink r:id="rId76" w:history="1">
        <w:r w:rsidRPr="000466D6">
          <w:rPr>
            <w:rStyle w:val="Hyperlink"/>
          </w:rPr>
          <w:t>http://www.rbnz.govt.nz/speeches/2861623.pdf</w:t>
        </w:r>
      </w:hyperlink>
      <w:r w:rsidRPr="000466D6">
        <w:t xml:space="preserve"> </w:t>
      </w:r>
    </w:p>
    <w:p w:rsidR="00BE60B6" w:rsidRDefault="00BE60B6">
      <w:pPr>
        <w:spacing w:after="120"/>
        <w:jc w:val="both"/>
        <w:rPr>
          <w:lang w:val="en-US"/>
        </w:rPr>
      </w:pPr>
      <w:r>
        <w:rPr>
          <w:lang w:val="en-US"/>
        </w:rPr>
        <w:t>Roche, M. J. (2001)</w:t>
      </w:r>
      <w:r w:rsidR="000466D6">
        <w:rPr>
          <w:lang w:val="en-US"/>
        </w:rPr>
        <w:t>.</w:t>
      </w:r>
      <w:r>
        <w:rPr>
          <w:lang w:val="en-US"/>
        </w:rPr>
        <w:t xml:space="preserve"> The </w:t>
      </w:r>
      <w:r w:rsidR="000466D6">
        <w:rPr>
          <w:lang w:val="en-US"/>
        </w:rPr>
        <w:t>r</w:t>
      </w:r>
      <w:r>
        <w:rPr>
          <w:lang w:val="en-US"/>
        </w:rPr>
        <w:t xml:space="preserve">ise in </w:t>
      </w:r>
      <w:r w:rsidR="003A31CA">
        <w:rPr>
          <w:lang w:val="en-US"/>
        </w:rPr>
        <w:t>h</w:t>
      </w:r>
      <w:r>
        <w:rPr>
          <w:lang w:val="en-US"/>
        </w:rPr>
        <w:t xml:space="preserve">ouse </w:t>
      </w:r>
      <w:r w:rsidR="003A31CA">
        <w:rPr>
          <w:lang w:val="en-US"/>
        </w:rPr>
        <w:t>p</w:t>
      </w:r>
      <w:r>
        <w:rPr>
          <w:lang w:val="en-US"/>
        </w:rPr>
        <w:t xml:space="preserve">rices in </w:t>
      </w:r>
      <w:smartTag w:uri="urn:schemas-microsoft-com:office:smarttags" w:element="place">
        <w:smartTag w:uri="urn:schemas-microsoft-com:office:smarttags" w:element="City">
          <w:r>
            <w:rPr>
              <w:lang w:val="en-US"/>
            </w:rPr>
            <w:t>Dublin</w:t>
          </w:r>
        </w:smartTag>
      </w:smartTag>
      <w:r>
        <w:rPr>
          <w:lang w:val="en-US"/>
        </w:rPr>
        <w:t xml:space="preserve">: </w:t>
      </w:r>
      <w:r w:rsidR="003A31CA">
        <w:rPr>
          <w:lang w:val="en-US"/>
        </w:rPr>
        <w:t>b</w:t>
      </w:r>
      <w:r>
        <w:rPr>
          <w:lang w:val="en-US"/>
        </w:rPr>
        <w:t xml:space="preserve">ubble, </w:t>
      </w:r>
      <w:r w:rsidR="003A31CA">
        <w:rPr>
          <w:lang w:val="en-US"/>
        </w:rPr>
        <w:t>f</w:t>
      </w:r>
      <w:r>
        <w:rPr>
          <w:lang w:val="en-US"/>
        </w:rPr>
        <w:t xml:space="preserve">ad or </w:t>
      </w:r>
      <w:r w:rsidR="003A31CA">
        <w:rPr>
          <w:lang w:val="en-US"/>
        </w:rPr>
        <w:t>j</w:t>
      </w:r>
      <w:r>
        <w:rPr>
          <w:lang w:val="en-US"/>
        </w:rPr>
        <w:t xml:space="preserve">ust </w:t>
      </w:r>
      <w:r w:rsidR="003A31CA">
        <w:rPr>
          <w:lang w:val="en-US"/>
        </w:rPr>
        <w:t>f</w:t>
      </w:r>
      <w:r>
        <w:rPr>
          <w:lang w:val="en-US"/>
        </w:rPr>
        <w:t>undamentals</w:t>
      </w:r>
      <w:r w:rsidR="003A31CA">
        <w:rPr>
          <w:lang w:val="en-US"/>
        </w:rPr>
        <w:t>.</w:t>
      </w:r>
      <w:r>
        <w:rPr>
          <w:lang w:val="en-US"/>
        </w:rPr>
        <w:t xml:space="preserve"> </w:t>
      </w:r>
      <w:r>
        <w:rPr>
          <w:i/>
          <w:lang w:val="en-US"/>
        </w:rPr>
        <w:t>Economic Modelling</w:t>
      </w:r>
      <w:r>
        <w:rPr>
          <w:lang w:val="en-US"/>
        </w:rPr>
        <w:t xml:space="preserve">, </w:t>
      </w:r>
      <w:r w:rsidRPr="003A31CA">
        <w:rPr>
          <w:i/>
          <w:lang w:val="en-US"/>
        </w:rPr>
        <w:t>18</w:t>
      </w:r>
      <w:r w:rsidR="003A31CA">
        <w:rPr>
          <w:lang w:val="en-US"/>
        </w:rPr>
        <w:t>(2)</w:t>
      </w:r>
      <w:r>
        <w:rPr>
          <w:lang w:val="en-US"/>
        </w:rPr>
        <w:t xml:space="preserve">, 281-295. </w:t>
      </w:r>
    </w:p>
    <w:p w:rsidR="00BE60B6" w:rsidRDefault="00BE60B6">
      <w:pPr>
        <w:spacing w:after="120"/>
        <w:jc w:val="both"/>
        <w:rPr>
          <w:lang w:val="en-US"/>
        </w:rPr>
      </w:pPr>
      <w:r>
        <w:rPr>
          <w:lang w:val="en-US"/>
        </w:rPr>
        <w:t>Roehner, B. M. (1999)</w:t>
      </w:r>
      <w:r w:rsidR="003A31CA">
        <w:rPr>
          <w:lang w:val="en-US"/>
        </w:rPr>
        <w:t>.</w:t>
      </w:r>
      <w:r>
        <w:rPr>
          <w:lang w:val="en-US"/>
        </w:rPr>
        <w:t xml:space="preserve"> Spatial </w:t>
      </w:r>
      <w:r w:rsidR="003A31CA">
        <w:rPr>
          <w:lang w:val="en-US"/>
        </w:rPr>
        <w:t>a</w:t>
      </w:r>
      <w:r>
        <w:rPr>
          <w:lang w:val="en-US"/>
        </w:rPr>
        <w:t xml:space="preserve">nalysis of </w:t>
      </w:r>
      <w:r w:rsidR="003A31CA">
        <w:rPr>
          <w:lang w:val="en-US"/>
        </w:rPr>
        <w:t>r</w:t>
      </w:r>
      <w:r>
        <w:rPr>
          <w:lang w:val="en-US"/>
        </w:rPr>
        <w:t xml:space="preserve">eal </w:t>
      </w:r>
      <w:r w:rsidR="003A31CA">
        <w:rPr>
          <w:lang w:val="en-US"/>
        </w:rPr>
        <w:t>e</w:t>
      </w:r>
      <w:r>
        <w:rPr>
          <w:lang w:val="en-US"/>
        </w:rPr>
        <w:t xml:space="preserve">state </w:t>
      </w:r>
      <w:r w:rsidR="003A31CA">
        <w:rPr>
          <w:lang w:val="en-US"/>
        </w:rPr>
        <w:t>p</w:t>
      </w:r>
      <w:r>
        <w:rPr>
          <w:lang w:val="en-US"/>
        </w:rPr>
        <w:t xml:space="preserve">rice </w:t>
      </w:r>
      <w:r w:rsidR="003A31CA">
        <w:rPr>
          <w:lang w:val="en-US"/>
        </w:rPr>
        <w:t>b</w:t>
      </w:r>
      <w:r>
        <w:rPr>
          <w:lang w:val="en-US"/>
        </w:rPr>
        <w:t xml:space="preserve">ubbles: </w:t>
      </w:r>
      <w:smartTag w:uri="urn:schemas-microsoft-com:office:smarttags" w:element="place">
        <w:smartTag w:uri="urn:schemas-microsoft-com:office:smarttags" w:element="City">
          <w:r>
            <w:rPr>
              <w:lang w:val="en-US"/>
            </w:rPr>
            <w:t>Paris</w:t>
          </w:r>
        </w:smartTag>
      </w:smartTag>
      <w:r>
        <w:rPr>
          <w:lang w:val="en-US"/>
        </w:rPr>
        <w:t>, 1984-1993</w:t>
      </w:r>
      <w:r w:rsidR="003A31CA">
        <w:rPr>
          <w:lang w:val="en-US"/>
        </w:rPr>
        <w:t>.</w:t>
      </w:r>
      <w:r>
        <w:rPr>
          <w:lang w:val="en-US"/>
        </w:rPr>
        <w:t xml:space="preserve"> </w:t>
      </w:r>
      <w:r>
        <w:rPr>
          <w:i/>
          <w:lang w:val="en-US"/>
        </w:rPr>
        <w:t>Regional Science and Urban Economics</w:t>
      </w:r>
      <w:r>
        <w:rPr>
          <w:lang w:val="en-US"/>
        </w:rPr>
        <w:t xml:space="preserve">, </w:t>
      </w:r>
      <w:r w:rsidRPr="003A31CA">
        <w:rPr>
          <w:i/>
          <w:lang w:val="en-US"/>
        </w:rPr>
        <w:t>29</w:t>
      </w:r>
      <w:r w:rsidR="003A31CA">
        <w:rPr>
          <w:lang w:val="en-US"/>
        </w:rPr>
        <w:t>(1)</w:t>
      </w:r>
      <w:r>
        <w:rPr>
          <w:lang w:val="en-US"/>
        </w:rPr>
        <w:t>,</w:t>
      </w:r>
      <w:r w:rsidR="003A31CA">
        <w:rPr>
          <w:lang w:val="en-US"/>
        </w:rPr>
        <w:t xml:space="preserve"> </w:t>
      </w:r>
      <w:r>
        <w:rPr>
          <w:lang w:val="en-US"/>
        </w:rPr>
        <w:t xml:space="preserve">73-88. </w:t>
      </w:r>
    </w:p>
    <w:p w:rsidR="00BE60B6" w:rsidRDefault="00BE60B6">
      <w:pPr>
        <w:spacing w:after="120"/>
        <w:jc w:val="both"/>
        <w:rPr>
          <w:lang w:val="en-US"/>
        </w:rPr>
      </w:pPr>
      <w:r>
        <w:rPr>
          <w:lang w:val="en-US"/>
        </w:rPr>
        <w:t>Shiller, R. (1984)</w:t>
      </w:r>
      <w:r w:rsidR="003A31CA">
        <w:rPr>
          <w:lang w:val="en-US"/>
        </w:rPr>
        <w:t>.</w:t>
      </w:r>
      <w:r>
        <w:rPr>
          <w:lang w:val="en-US"/>
        </w:rPr>
        <w:t xml:space="preserve"> Stock </w:t>
      </w:r>
      <w:r w:rsidR="003A31CA">
        <w:rPr>
          <w:lang w:val="en-US"/>
        </w:rPr>
        <w:t>p</w:t>
      </w:r>
      <w:r>
        <w:rPr>
          <w:lang w:val="en-US"/>
        </w:rPr>
        <w:t xml:space="preserve">rices and </w:t>
      </w:r>
      <w:r w:rsidR="003A31CA">
        <w:rPr>
          <w:lang w:val="en-US"/>
        </w:rPr>
        <w:t>s</w:t>
      </w:r>
      <w:r>
        <w:rPr>
          <w:lang w:val="en-US"/>
        </w:rPr>
        <w:t xml:space="preserve">ocial </w:t>
      </w:r>
      <w:r w:rsidR="003A31CA">
        <w:rPr>
          <w:lang w:val="en-US"/>
        </w:rPr>
        <w:t>d</w:t>
      </w:r>
      <w:r>
        <w:rPr>
          <w:lang w:val="en-US"/>
        </w:rPr>
        <w:t>ynamics</w:t>
      </w:r>
      <w:r w:rsidR="003A31CA">
        <w:rPr>
          <w:lang w:val="en-US"/>
        </w:rPr>
        <w:t>.</w:t>
      </w:r>
      <w:r>
        <w:rPr>
          <w:lang w:val="en-US"/>
        </w:rPr>
        <w:t xml:space="preserve"> </w:t>
      </w:r>
      <w:r>
        <w:rPr>
          <w:i/>
          <w:lang w:val="en-US"/>
        </w:rPr>
        <w:t>Brookings Papers on Economic Activity</w:t>
      </w:r>
      <w:r>
        <w:rPr>
          <w:lang w:val="en-US"/>
        </w:rPr>
        <w:t>, 2, 457-498.</w:t>
      </w:r>
    </w:p>
    <w:p w:rsidR="00BE60B6" w:rsidRDefault="00BE60B6">
      <w:pPr>
        <w:spacing w:after="120"/>
        <w:jc w:val="both"/>
        <w:rPr>
          <w:lang w:val="en-US"/>
        </w:rPr>
      </w:pPr>
      <w:r>
        <w:rPr>
          <w:lang w:val="en-US"/>
        </w:rPr>
        <w:lastRenderedPageBreak/>
        <w:t>Sutton, G. D. (2002)</w:t>
      </w:r>
      <w:r w:rsidR="00853ABF">
        <w:rPr>
          <w:lang w:val="en-US"/>
        </w:rPr>
        <w:t>.</w:t>
      </w:r>
      <w:r>
        <w:rPr>
          <w:lang w:val="en-US"/>
        </w:rPr>
        <w:t xml:space="preserve"> Explaining </w:t>
      </w:r>
      <w:r w:rsidR="00853ABF">
        <w:rPr>
          <w:lang w:val="en-US"/>
        </w:rPr>
        <w:t>c</w:t>
      </w:r>
      <w:r>
        <w:rPr>
          <w:lang w:val="en-US"/>
        </w:rPr>
        <w:t xml:space="preserve">hanges in </w:t>
      </w:r>
      <w:r w:rsidR="00853ABF">
        <w:rPr>
          <w:lang w:val="en-US"/>
        </w:rPr>
        <w:t>h</w:t>
      </w:r>
      <w:r>
        <w:rPr>
          <w:lang w:val="en-US"/>
        </w:rPr>
        <w:t xml:space="preserve">ouse </w:t>
      </w:r>
      <w:r w:rsidR="00853ABF">
        <w:rPr>
          <w:lang w:val="en-US"/>
        </w:rPr>
        <w:t>p</w:t>
      </w:r>
      <w:r>
        <w:rPr>
          <w:lang w:val="en-US"/>
        </w:rPr>
        <w:t>rices</w:t>
      </w:r>
      <w:r w:rsidR="00853ABF">
        <w:rPr>
          <w:lang w:val="en-US"/>
        </w:rPr>
        <w:t>.</w:t>
      </w:r>
      <w:r>
        <w:rPr>
          <w:lang w:val="en-US"/>
        </w:rPr>
        <w:t xml:space="preserve"> </w:t>
      </w:r>
      <w:r>
        <w:rPr>
          <w:i/>
          <w:lang w:val="en-US"/>
        </w:rPr>
        <w:t>BIS Quartely Review</w:t>
      </w:r>
      <w:r>
        <w:rPr>
          <w:lang w:val="en-US"/>
        </w:rPr>
        <w:t>, October, 46-55.</w:t>
      </w:r>
    </w:p>
    <w:p w:rsidR="00BE60B6" w:rsidRDefault="00BE60B6">
      <w:pPr>
        <w:spacing w:after="120"/>
        <w:jc w:val="both"/>
        <w:rPr>
          <w:lang w:val="en-US"/>
        </w:rPr>
      </w:pPr>
      <w:r>
        <w:rPr>
          <w:lang w:val="en-US"/>
        </w:rPr>
        <w:t>Thorp, C.</w:t>
      </w:r>
      <w:r w:rsidR="00853ABF">
        <w:rPr>
          <w:lang w:val="en-US"/>
        </w:rPr>
        <w:t>,</w:t>
      </w:r>
      <w:r>
        <w:rPr>
          <w:lang w:val="en-US"/>
        </w:rPr>
        <w:t xml:space="preserve"> </w:t>
      </w:r>
      <w:r w:rsidR="00853ABF">
        <w:rPr>
          <w:lang w:val="en-US"/>
        </w:rPr>
        <w:t xml:space="preserve">&amp; </w:t>
      </w:r>
      <w:r>
        <w:rPr>
          <w:lang w:val="en-US"/>
        </w:rPr>
        <w:t>Ung</w:t>
      </w:r>
      <w:r w:rsidR="00853ABF">
        <w:rPr>
          <w:lang w:val="en-US"/>
        </w:rPr>
        <w:t>, B.</w:t>
      </w:r>
      <w:r>
        <w:rPr>
          <w:lang w:val="en-US"/>
        </w:rPr>
        <w:t xml:space="preserve"> (2001)</w:t>
      </w:r>
      <w:r w:rsidR="00853ABF">
        <w:rPr>
          <w:lang w:val="en-US"/>
        </w:rPr>
        <w:t>.</w:t>
      </w:r>
      <w:r>
        <w:rPr>
          <w:lang w:val="en-US"/>
        </w:rPr>
        <w:t xml:space="preserve"> </w:t>
      </w:r>
      <w:r w:rsidRPr="00C81208">
        <w:rPr>
          <w:i/>
          <w:lang w:val="en-US"/>
        </w:rPr>
        <w:t xml:space="preserve">Recent </w:t>
      </w:r>
      <w:r w:rsidR="00853ABF" w:rsidRPr="00C81208">
        <w:rPr>
          <w:i/>
          <w:lang w:val="en-US"/>
        </w:rPr>
        <w:t>t</w:t>
      </w:r>
      <w:r w:rsidRPr="00C81208">
        <w:rPr>
          <w:i/>
          <w:lang w:val="en-US"/>
        </w:rPr>
        <w:t xml:space="preserve">rends in </w:t>
      </w:r>
      <w:r w:rsidR="00853ABF" w:rsidRPr="00C81208">
        <w:rPr>
          <w:i/>
          <w:lang w:val="en-US"/>
        </w:rPr>
        <w:t>h</w:t>
      </w:r>
      <w:r w:rsidRPr="00C81208">
        <w:rPr>
          <w:i/>
          <w:lang w:val="en-US"/>
        </w:rPr>
        <w:t xml:space="preserve">ousehold </w:t>
      </w:r>
      <w:r w:rsidR="00853ABF" w:rsidRPr="00C81208">
        <w:rPr>
          <w:i/>
          <w:lang w:val="en-US"/>
        </w:rPr>
        <w:t>f</w:t>
      </w:r>
      <w:r w:rsidRPr="00C81208">
        <w:rPr>
          <w:i/>
          <w:lang w:val="en-US"/>
        </w:rPr>
        <w:t xml:space="preserve">inancial </w:t>
      </w:r>
      <w:r w:rsidR="00853ABF" w:rsidRPr="00C81208">
        <w:rPr>
          <w:i/>
          <w:lang w:val="en-US"/>
        </w:rPr>
        <w:t>a</w:t>
      </w:r>
      <w:r w:rsidRPr="00C81208">
        <w:rPr>
          <w:i/>
          <w:lang w:val="en-US"/>
        </w:rPr>
        <w:t xml:space="preserve">ssets and </w:t>
      </w:r>
      <w:r w:rsidR="00853ABF" w:rsidRPr="00C81208">
        <w:rPr>
          <w:i/>
          <w:lang w:val="en-US"/>
        </w:rPr>
        <w:t>l</w:t>
      </w:r>
      <w:r w:rsidRPr="00C81208">
        <w:rPr>
          <w:i/>
          <w:lang w:val="en-US"/>
        </w:rPr>
        <w:t>iabilities</w:t>
      </w:r>
      <w:r w:rsidR="00853ABF" w:rsidRPr="00C81208">
        <w:rPr>
          <w:lang w:val="en-US"/>
        </w:rPr>
        <w:t>.</w:t>
      </w:r>
      <w:r>
        <w:rPr>
          <w:lang w:val="en-US"/>
        </w:rPr>
        <w:t xml:space="preserve"> </w:t>
      </w:r>
      <w:r w:rsidR="00FB7947">
        <w:rPr>
          <w:lang w:val="en-US"/>
        </w:rPr>
        <w:t xml:space="preserve">Bulletin 64 (pp. 14-24), </w:t>
      </w:r>
      <w:smartTag w:uri="urn:schemas-microsoft-com:office:smarttags" w:element="City">
        <w:r w:rsidR="00FB7947">
          <w:rPr>
            <w:lang w:val="en-US"/>
          </w:rPr>
          <w:t>Wellington</w:t>
        </w:r>
      </w:smartTag>
      <w:r w:rsidR="00FB7947">
        <w:rPr>
          <w:lang w:val="en-US"/>
        </w:rPr>
        <w:t xml:space="preserve"> (</w:t>
      </w:r>
      <w:smartTag w:uri="urn:schemas-microsoft-com:office:smarttags" w:element="country-region">
        <w:r w:rsidR="00FB7947">
          <w:rPr>
            <w:lang w:val="en-US"/>
          </w:rPr>
          <w:t>New Zealand</w:t>
        </w:r>
      </w:smartTag>
      <w:r w:rsidR="00FB7947">
        <w:rPr>
          <w:lang w:val="en-US"/>
        </w:rPr>
        <w:t xml:space="preserve">): </w:t>
      </w:r>
      <w:r w:rsidRPr="00853ABF">
        <w:rPr>
          <w:lang w:val="en-US"/>
        </w:rPr>
        <w:t xml:space="preserve">Reserve Bank of </w:t>
      </w:r>
      <w:smartTag w:uri="urn:schemas-microsoft-com:office:smarttags" w:element="country-region">
        <w:smartTag w:uri="urn:schemas-microsoft-com:office:smarttags" w:element="place">
          <w:r w:rsidRPr="00853ABF">
            <w:rPr>
              <w:lang w:val="en-US"/>
            </w:rPr>
            <w:t>New Zealand</w:t>
          </w:r>
        </w:smartTag>
      </w:smartTag>
      <w:r>
        <w:rPr>
          <w:lang w:val="en-US"/>
        </w:rPr>
        <w:t>.</w:t>
      </w:r>
    </w:p>
    <w:p w:rsidR="008D6E1E" w:rsidRDefault="008D6E1E" w:rsidP="008D6E1E">
      <w:pPr>
        <w:jc w:val="both"/>
        <w:rPr>
          <w:lang w:val="en-US"/>
        </w:rPr>
      </w:pPr>
      <w:r>
        <w:rPr>
          <w:lang w:val="en-US"/>
        </w:rPr>
        <w:br w:type="page"/>
      </w:r>
      <w:r w:rsidRPr="008D6E1E">
        <w:rPr>
          <w:b/>
          <w:lang w:val="en-US"/>
        </w:rPr>
        <w:lastRenderedPageBreak/>
        <w:t>Appendix</w:t>
      </w:r>
      <w:r>
        <w:rPr>
          <w:lang w:val="en-US"/>
        </w:rPr>
        <w:t xml:space="preserve">: </w:t>
      </w:r>
      <w:r>
        <w:rPr>
          <w:lang w:val="en-US"/>
        </w:rPr>
        <w:tab/>
      </w:r>
      <w:r w:rsidR="00995091">
        <w:rPr>
          <w:b/>
          <w:lang w:val="en-US"/>
        </w:rPr>
        <w:t xml:space="preserve">The Fundamental </w:t>
      </w:r>
      <w:r w:rsidR="0030333D">
        <w:rPr>
          <w:b/>
          <w:lang w:val="en-US"/>
        </w:rPr>
        <w:t xml:space="preserve">Price-Income </w:t>
      </w:r>
      <w:r w:rsidRPr="008D6E1E">
        <w:rPr>
          <w:b/>
          <w:lang w:val="en-US"/>
        </w:rPr>
        <w:t>Model</w:t>
      </w:r>
    </w:p>
    <w:p w:rsidR="00D31CF2" w:rsidRDefault="00162CBC" w:rsidP="001C5D58">
      <w:pPr>
        <w:pStyle w:val="normals"/>
        <w:ind w:left="0" w:firstLine="0"/>
        <w:jc w:val="both"/>
        <w:rPr>
          <w:color w:val="auto"/>
          <w:lang w:val="en-US"/>
        </w:rPr>
      </w:pPr>
      <w:r>
        <w:rPr>
          <w:color w:val="auto"/>
          <w:lang w:val="en-US"/>
        </w:rPr>
        <w:t xml:space="preserve">The model described in </w:t>
      </w:r>
      <w:r w:rsidR="00225D83">
        <w:rPr>
          <w:color w:val="auto"/>
          <w:lang w:val="en-US"/>
        </w:rPr>
        <w:t>the empirical framework s</w:t>
      </w:r>
      <w:r>
        <w:rPr>
          <w:color w:val="auto"/>
          <w:lang w:val="en-US"/>
        </w:rPr>
        <w:t xml:space="preserve">ection above has the following present value expression for the </w:t>
      </w:r>
      <w:r w:rsidR="00D31CF2">
        <w:rPr>
          <w:color w:val="auto"/>
          <w:lang w:val="en-US"/>
        </w:rPr>
        <w:t>real value of hous</w:t>
      </w:r>
      <w:r>
        <w:rPr>
          <w:color w:val="auto"/>
          <w:lang w:val="en-US"/>
        </w:rPr>
        <w:t xml:space="preserve">ehold property, </w:t>
      </w:r>
      <w:r>
        <w:rPr>
          <w:i/>
          <w:color w:val="auto"/>
          <w:lang w:val="en-US"/>
        </w:rPr>
        <w:t>V</w:t>
      </w:r>
      <w:r>
        <w:rPr>
          <w:i/>
          <w:color w:val="auto"/>
          <w:vertAlign w:val="subscript"/>
          <w:lang w:val="en-US"/>
        </w:rPr>
        <w:t>t</w:t>
      </w:r>
      <w:r w:rsidR="00D31CF2">
        <w:rPr>
          <w:color w:val="auto"/>
          <w:lang w:val="en-US"/>
        </w:rPr>
        <w:t>:</w:t>
      </w:r>
    </w:p>
    <w:p w:rsidR="001C5D58" w:rsidRDefault="001C5D58" w:rsidP="001C5D58">
      <w:pPr>
        <w:pStyle w:val="normals"/>
        <w:ind w:left="0" w:firstLine="0"/>
        <w:jc w:val="both"/>
        <w:rPr>
          <w:color w:val="auto"/>
          <w:lang w:val="en-US"/>
        </w:rPr>
      </w:pPr>
    </w:p>
    <w:p w:rsidR="00D31CF2" w:rsidRDefault="00D31CF2" w:rsidP="00D31CF2">
      <w:pPr>
        <w:pStyle w:val="normals"/>
        <w:ind w:left="0" w:firstLine="0"/>
        <w:jc w:val="both"/>
        <w:rPr>
          <w:color w:val="auto"/>
          <w:lang w:val="en-US"/>
        </w:rPr>
      </w:pPr>
      <w:r>
        <w:rPr>
          <w:b/>
          <w:i/>
          <w:color w:val="FF0000"/>
          <w:position w:val="-54"/>
          <w:lang w:val="en-US"/>
        </w:rPr>
        <w:object w:dxaOrig="2940" w:dyaOrig="1200">
          <v:shape id="_x0000_i1058" type="#_x0000_t75" style="width:147.05pt;height:59.85pt" o:ole="" fillcolor="window">
            <v:imagedata r:id="rId9" o:title=""/>
          </v:shape>
          <o:OLEObject Type="Embed" ProgID="Equation.3" ShapeID="_x0000_i1058" DrawAspect="Content" ObjectID="_1381729970" r:id="rId77"/>
        </w:object>
      </w:r>
      <w:r>
        <w:rPr>
          <w:color w:val="FF0000"/>
          <w:lang w:val="en-US"/>
        </w:rPr>
        <w:tab/>
      </w:r>
      <w:r>
        <w:rPr>
          <w:color w:val="FF0000"/>
          <w:lang w:val="en-US"/>
        </w:rPr>
        <w:tab/>
      </w:r>
      <w:r>
        <w:rPr>
          <w:color w:val="FF0000"/>
          <w:lang w:val="en-US"/>
        </w:rPr>
        <w:tab/>
      </w:r>
      <w:r>
        <w:rPr>
          <w:color w:val="FF0000"/>
          <w:lang w:val="en-US"/>
        </w:rPr>
        <w:tab/>
      </w:r>
      <w:r>
        <w:rPr>
          <w:color w:val="FF0000"/>
          <w:lang w:val="en-US"/>
        </w:rPr>
        <w:tab/>
      </w:r>
      <w:r>
        <w:rPr>
          <w:color w:val="FF0000"/>
          <w:lang w:val="en-US"/>
        </w:rPr>
        <w:tab/>
      </w:r>
      <w:r>
        <w:rPr>
          <w:color w:val="auto"/>
          <w:lang w:val="en-US"/>
        </w:rPr>
        <w:t>(</w:t>
      </w:r>
      <w:r w:rsidR="00162CBC">
        <w:rPr>
          <w:color w:val="auto"/>
          <w:lang w:val="en-US"/>
        </w:rPr>
        <w:t>A</w:t>
      </w:r>
      <w:r>
        <w:rPr>
          <w:color w:val="auto"/>
          <w:lang w:val="en-US"/>
        </w:rPr>
        <w:t>1)</w:t>
      </w:r>
    </w:p>
    <w:p w:rsidR="00D31CF2" w:rsidRDefault="00D31CF2" w:rsidP="00D31CF2">
      <w:pPr>
        <w:pStyle w:val="normals"/>
        <w:ind w:left="0" w:firstLine="0"/>
        <w:jc w:val="both"/>
        <w:rPr>
          <w:b/>
          <w:i/>
          <w:color w:val="auto"/>
          <w:lang w:val="en-US"/>
        </w:rPr>
      </w:pPr>
    </w:p>
    <w:p w:rsidR="00162CBC" w:rsidRDefault="001C5D58" w:rsidP="00D31CF2">
      <w:pPr>
        <w:pStyle w:val="normals"/>
        <w:ind w:left="0" w:firstLine="0"/>
        <w:jc w:val="both"/>
        <w:rPr>
          <w:color w:val="auto"/>
          <w:lang w:val="en-US"/>
        </w:rPr>
      </w:pPr>
      <w:r>
        <w:rPr>
          <w:color w:val="auto"/>
          <w:lang w:val="en-US"/>
        </w:rPr>
        <w:t xml:space="preserve">where </w:t>
      </w:r>
      <w:r>
        <w:rPr>
          <w:i/>
          <w:color w:val="auto"/>
          <w:lang w:val="en-US"/>
        </w:rPr>
        <w:t>V</w:t>
      </w:r>
      <w:r>
        <w:rPr>
          <w:i/>
          <w:color w:val="auto"/>
          <w:vertAlign w:val="subscript"/>
          <w:lang w:val="en-US"/>
        </w:rPr>
        <w:t>t</w:t>
      </w:r>
      <w:r>
        <w:rPr>
          <w:color w:val="auto"/>
          <w:vertAlign w:val="subscript"/>
          <w:lang w:val="en-US"/>
        </w:rPr>
        <w:t xml:space="preserve"> </w:t>
      </w:r>
      <w:r>
        <w:rPr>
          <w:color w:val="auto"/>
          <w:lang w:val="en-US"/>
        </w:rPr>
        <w:t xml:space="preserve"> is a constant proportion, </w:t>
      </w:r>
      <w:r w:rsidRPr="001C5D58">
        <w:rPr>
          <w:i/>
          <w:color w:val="auto"/>
          <w:lang w:val="en-US"/>
        </w:rPr>
        <w:sym w:font="Symbol" w:char="F067"/>
      </w:r>
      <w:r w:rsidR="00225D83">
        <w:rPr>
          <w:color w:val="auto"/>
          <w:lang w:val="en-US"/>
        </w:rPr>
        <w:t xml:space="preserve">, </w:t>
      </w:r>
      <w:r>
        <w:rPr>
          <w:color w:val="auto"/>
          <w:lang w:val="en-US"/>
        </w:rPr>
        <w:t xml:space="preserve">of the expected value of future real disposable income, </w:t>
      </w:r>
      <w:r>
        <w:rPr>
          <w:i/>
          <w:color w:val="auto"/>
          <w:lang w:val="en-US"/>
        </w:rPr>
        <w:t>Y</w:t>
      </w:r>
      <w:r>
        <w:rPr>
          <w:i/>
          <w:color w:val="auto"/>
          <w:vertAlign w:val="subscript"/>
          <w:lang w:val="en-US"/>
        </w:rPr>
        <w:t>t</w:t>
      </w:r>
      <w:r>
        <w:rPr>
          <w:color w:val="auto"/>
          <w:lang w:val="en-US"/>
        </w:rPr>
        <w:t xml:space="preserve">, discounted at the real discount rate, </w:t>
      </w:r>
      <w:r w:rsidRPr="001C5D58">
        <w:rPr>
          <w:color w:val="auto"/>
          <w:position w:val="-12"/>
          <w:lang w:val="en-US"/>
        </w:rPr>
        <w:object w:dxaOrig="320" w:dyaOrig="380">
          <v:shape id="_x0000_i1059" type="#_x0000_t75" style="width:16.25pt;height:18.75pt" o:ole="">
            <v:imagedata r:id="rId78" o:title=""/>
          </v:shape>
          <o:OLEObject Type="Embed" ProgID="Equation.3" ShapeID="_x0000_i1059" DrawAspect="Content" ObjectID="_1381729971" r:id="rId79"/>
        </w:object>
      </w:r>
      <w:r w:rsidR="00B50344">
        <w:rPr>
          <w:color w:val="auto"/>
          <w:lang w:val="en-US"/>
        </w:rPr>
        <w:t xml:space="preserve">. </w:t>
      </w:r>
      <w:r w:rsidR="00FE7A12">
        <w:rPr>
          <w:color w:val="auto"/>
          <w:lang w:val="en-US"/>
        </w:rPr>
        <w:t xml:space="preserve"> </w:t>
      </w:r>
      <w:r w:rsidR="00B50344">
        <w:rPr>
          <w:color w:val="auto"/>
          <w:lang w:val="en-US"/>
        </w:rPr>
        <w:t xml:space="preserve">Assuming the relationship between the real house price index </w:t>
      </w:r>
      <w:r w:rsidR="00B50344">
        <w:rPr>
          <w:i/>
          <w:color w:val="auto"/>
          <w:lang w:val="en-US"/>
        </w:rPr>
        <w:t xml:space="preserve">P </w:t>
      </w:r>
      <w:r w:rsidR="00B50344">
        <w:rPr>
          <w:color w:val="auto"/>
          <w:lang w:val="en-US"/>
        </w:rPr>
        <w:t xml:space="preserve">and market capitalization </w:t>
      </w:r>
      <w:r w:rsidR="00B50344" w:rsidRPr="00B50344">
        <w:rPr>
          <w:i/>
          <w:color w:val="auto"/>
          <w:lang w:val="en-US"/>
        </w:rPr>
        <w:t>V</w:t>
      </w:r>
      <w:r w:rsidR="00B50344">
        <w:rPr>
          <w:color w:val="auto"/>
          <w:lang w:val="en-US"/>
        </w:rPr>
        <w:t xml:space="preserve">, and the relationship between the value of all income, </w:t>
      </w:r>
      <w:r w:rsidR="00B50344">
        <w:rPr>
          <w:i/>
          <w:color w:val="auto"/>
          <w:lang w:val="en-US"/>
        </w:rPr>
        <w:t>Y</w:t>
      </w:r>
      <w:r w:rsidR="00B50344">
        <w:rPr>
          <w:color w:val="auto"/>
          <w:lang w:val="en-US"/>
        </w:rPr>
        <w:t>, and income covered by the house price index, are constant, then equation (</w:t>
      </w:r>
      <w:r w:rsidR="009615FA">
        <w:rPr>
          <w:color w:val="auto"/>
          <w:lang w:val="en-US"/>
        </w:rPr>
        <w:t>A</w:t>
      </w:r>
      <w:r w:rsidR="00B50344">
        <w:rPr>
          <w:color w:val="auto"/>
          <w:lang w:val="en-US"/>
        </w:rPr>
        <w:t>1) is re-written</w:t>
      </w:r>
      <w:r w:rsidR="00C00D46">
        <w:rPr>
          <w:color w:val="auto"/>
          <w:lang w:val="en-US"/>
        </w:rPr>
        <w:t xml:space="preserve"> </w:t>
      </w:r>
      <w:r w:rsidR="00B50344">
        <w:rPr>
          <w:color w:val="auto"/>
          <w:lang w:val="en-US"/>
        </w:rPr>
        <w:t>as:</w:t>
      </w:r>
    </w:p>
    <w:p w:rsidR="00B50344" w:rsidRPr="00B50344" w:rsidRDefault="00B50344" w:rsidP="00D31CF2">
      <w:pPr>
        <w:pStyle w:val="normals"/>
        <w:ind w:left="0" w:firstLine="0"/>
        <w:jc w:val="both"/>
        <w:rPr>
          <w:color w:val="auto"/>
          <w:lang w:val="en-US"/>
        </w:rPr>
      </w:pPr>
    </w:p>
    <w:p w:rsidR="00C00D46" w:rsidRDefault="00D31CF2" w:rsidP="00C00D46">
      <w:pPr>
        <w:pStyle w:val="normals"/>
        <w:spacing w:line="480" w:lineRule="auto"/>
        <w:ind w:left="0" w:firstLine="0"/>
        <w:jc w:val="both"/>
        <w:rPr>
          <w:color w:val="auto"/>
        </w:rPr>
      </w:pPr>
      <w:r>
        <w:rPr>
          <w:b/>
          <w:i/>
          <w:position w:val="-54"/>
        </w:rPr>
        <w:object w:dxaOrig="2860" w:dyaOrig="1200">
          <v:shape id="_x0000_i1060" type="#_x0000_t75" style="width:143pt;height:59.85pt" o:ole="" fillcolor="window">
            <v:imagedata r:id="rId11" o:title=""/>
          </v:shape>
          <o:OLEObject Type="Embed" ProgID="Equation.3" ShapeID="_x0000_i1060" DrawAspect="Content" ObjectID="_1381729972" r:id="rId80"/>
        </w:object>
      </w:r>
      <w:r>
        <w:rPr>
          <w:b/>
          <w:i/>
        </w:rPr>
        <w:tab/>
      </w:r>
      <w:r>
        <w:rPr>
          <w:b/>
          <w:i/>
        </w:rPr>
        <w:tab/>
      </w:r>
      <w:r>
        <w:rPr>
          <w:b/>
          <w:i/>
        </w:rPr>
        <w:tab/>
      </w:r>
      <w:r>
        <w:rPr>
          <w:b/>
          <w:i/>
        </w:rPr>
        <w:tab/>
      </w:r>
      <w:r>
        <w:rPr>
          <w:b/>
          <w:i/>
        </w:rPr>
        <w:tab/>
      </w:r>
      <w:r>
        <w:rPr>
          <w:b/>
          <w:i/>
        </w:rPr>
        <w:tab/>
      </w:r>
      <w:r>
        <w:rPr>
          <w:b/>
          <w:i/>
        </w:rPr>
        <w:tab/>
      </w:r>
      <w:r>
        <w:rPr>
          <w:color w:val="auto"/>
        </w:rPr>
        <w:t>(</w:t>
      </w:r>
      <w:r w:rsidR="00162CBC">
        <w:rPr>
          <w:color w:val="auto"/>
        </w:rPr>
        <w:t>A</w:t>
      </w:r>
      <w:r>
        <w:rPr>
          <w:color w:val="auto"/>
        </w:rPr>
        <w:t>2)</w:t>
      </w:r>
    </w:p>
    <w:p w:rsidR="00C00D46" w:rsidRPr="00C00D46" w:rsidRDefault="00C00D46" w:rsidP="00C00D46">
      <w:pPr>
        <w:pStyle w:val="normals"/>
        <w:spacing w:line="480" w:lineRule="auto"/>
        <w:ind w:left="0" w:firstLine="0"/>
        <w:jc w:val="both"/>
        <w:rPr>
          <w:b/>
          <w:i/>
          <w:color w:val="auto"/>
          <w:lang w:val="en-US"/>
        </w:rPr>
      </w:pPr>
      <w:r>
        <w:rPr>
          <w:color w:val="auto"/>
        </w:rPr>
        <w:t>where</w:t>
      </w:r>
      <w:r>
        <w:t xml:space="preserve"> </w:t>
      </w:r>
      <w:r>
        <w:rPr>
          <w:i/>
        </w:rPr>
        <w:t>P</w:t>
      </w:r>
      <w:r>
        <w:rPr>
          <w:i/>
          <w:vertAlign w:val="subscript"/>
        </w:rPr>
        <w:t>t</w:t>
      </w:r>
      <w:r>
        <w:rPr>
          <w:i/>
        </w:rPr>
        <w:t xml:space="preserve"> = </w:t>
      </w:r>
      <w:r>
        <w:rPr>
          <w:i/>
        </w:rPr>
        <w:sym w:font="Symbol" w:char="F062"/>
      </w:r>
      <w:r>
        <w:rPr>
          <w:i/>
        </w:rPr>
        <w:sym w:font="Symbol" w:char="F0A2"/>
      </w:r>
      <w:r>
        <w:rPr>
          <w:i/>
        </w:rPr>
        <w:t>V</w:t>
      </w:r>
      <w:r>
        <w:rPr>
          <w:i/>
          <w:vertAlign w:val="subscript"/>
        </w:rPr>
        <w:t>t</w:t>
      </w:r>
      <w:r>
        <w:rPr>
          <w:i/>
        </w:rPr>
        <w:t>,</w:t>
      </w:r>
      <w:r>
        <w:t xml:space="preserve"> and, defining </w:t>
      </w:r>
      <w:r>
        <w:rPr>
          <w:i/>
        </w:rPr>
        <w:sym w:font="Symbol" w:char="F062"/>
      </w:r>
      <w:r>
        <w:rPr>
          <w:i/>
        </w:rPr>
        <w:t xml:space="preserve"> = </w:t>
      </w:r>
      <w:r>
        <w:rPr>
          <w:i/>
        </w:rPr>
        <w:sym w:font="Symbol" w:char="F062"/>
      </w:r>
      <w:r>
        <w:rPr>
          <w:i/>
        </w:rPr>
        <w:sym w:font="Symbol" w:char="F0A2"/>
      </w:r>
      <w:r>
        <w:rPr>
          <w:i/>
        </w:rPr>
        <w:t>(</w:t>
      </w:r>
      <w:r>
        <w:rPr>
          <w:i/>
        </w:rPr>
        <w:sym w:font="Symbol" w:char="F067"/>
      </w:r>
      <w:r>
        <w:rPr>
          <w:i/>
        </w:rPr>
        <w:t>)</w:t>
      </w:r>
      <w:r>
        <w:t xml:space="preserve"> and </w:t>
      </w:r>
      <w:r>
        <w:rPr>
          <w:i/>
        </w:rPr>
        <w:t>Q</w:t>
      </w:r>
      <w:r>
        <w:rPr>
          <w:i/>
          <w:vertAlign w:val="subscript"/>
        </w:rPr>
        <w:t>t</w:t>
      </w:r>
      <w:r>
        <w:rPr>
          <w:i/>
        </w:rPr>
        <w:t xml:space="preserve"> = </w:t>
      </w:r>
      <w:r>
        <w:rPr>
          <w:i/>
        </w:rPr>
        <w:sym w:font="Symbol" w:char="F062"/>
      </w:r>
      <w:r>
        <w:rPr>
          <w:i/>
        </w:rPr>
        <w:t>Y</w:t>
      </w:r>
      <w:r>
        <w:rPr>
          <w:i/>
          <w:vertAlign w:val="subscript"/>
        </w:rPr>
        <w:t>t</w:t>
      </w:r>
      <w:r>
        <w:t>.</w:t>
      </w:r>
    </w:p>
    <w:p w:rsidR="00D31CF2" w:rsidRDefault="00D31CF2" w:rsidP="00D31CF2">
      <w:pPr>
        <w:pStyle w:val="normals"/>
        <w:spacing w:line="480" w:lineRule="auto"/>
        <w:ind w:left="0" w:firstLine="720"/>
        <w:jc w:val="both"/>
        <w:rPr>
          <w:color w:val="auto"/>
          <w:lang w:val="en-US"/>
        </w:rPr>
      </w:pPr>
      <w:r>
        <w:rPr>
          <w:color w:val="auto"/>
          <w:lang w:val="en-US"/>
        </w:rPr>
        <w:t xml:space="preserve">We define the time stream of realized discount rates, </w:t>
      </w:r>
      <w:r>
        <w:rPr>
          <w:i/>
          <w:color w:val="auto"/>
          <w:lang w:val="en-US"/>
        </w:rPr>
        <w:sym w:font="Symbol" w:char="F072"/>
      </w:r>
      <w:r>
        <w:rPr>
          <w:i/>
          <w:color w:val="auto"/>
          <w:vertAlign w:val="subscript"/>
          <w:lang w:val="en-US"/>
        </w:rPr>
        <w:t>t</w:t>
      </w:r>
      <w:r>
        <w:rPr>
          <w:color w:val="auto"/>
          <w:lang w:val="en-US"/>
        </w:rPr>
        <w:t>, to satisfy:</w:t>
      </w:r>
    </w:p>
    <w:p w:rsidR="00D31CF2" w:rsidRDefault="00D31CF2" w:rsidP="00D31CF2">
      <w:pPr>
        <w:pStyle w:val="normals"/>
        <w:spacing w:line="480" w:lineRule="auto"/>
        <w:ind w:left="0" w:firstLine="0"/>
        <w:jc w:val="both"/>
        <w:rPr>
          <w:color w:val="auto"/>
          <w:lang w:val="en-US"/>
        </w:rPr>
      </w:pPr>
      <w:r>
        <w:rPr>
          <w:color w:val="auto"/>
          <w:position w:val="-54"/>
          <w:lang w:val="en-US"/>
        </w:rPr>
        <w:object w:dxaOrig="2600" w:dyaOrig="1200">
          <v:shape id="_x0000_i1061" type="#_x0000_t75" style="width:129.8pt;height:59.85pt" o:ole="" fillcolor="window">
            <v:imagedata r:id="rId81" o:title=""/>
          </v:shape>
          <o:OLEObject Type="Embed" ProgID="Equation.3" ShapeID="_x0000_i1061" DrawAspect="Content" ObjectID="_1381729973" r:id="rId82"/>
        </w:object>
      </w:r>
      <w:r w:rsidR="004B3CD0">
        <w:rPr>
          <w:color w:val="auto"/>
          <w:lang w:val="en-US"/>
        </w:rPr>
        <w:tab/>
      </w:r>
      <w:r w:rsidR="004B3CD0">
        <w:rPr>
          <w:color w:val="auto"/>
          <w:lang w:val="en-US"/>
        </w:rPr>
        <w:tab/>
      </w:r>
      <w:r w:rsidR="004B3CD0">
        <w:rPr>
          <w:color w:val="auto"/>
          <w:lang w:val="en-US"/>
        </w:rPr>
        <w:tab/>
      </w:r>
      <w:r w:rsidR="004B3CD0">
        <w:rPr>
          <w:color w:val="auto"/>
          <w:lang w:val="en-US"/>
        </w:rPr>
        <w:tab/>
      </w:r>
      <w:r w:rsidR="004B3CD0">
        <w:rPr>
          <w:color w:val="auto"/>
          <w:lang w:val="en-US"/>
        </w:rPr>
        <w:tab/>
      </w:r>
      <w:r w:rsidR="004B3CD0">
        <w:rPr>
          <w:color w:val="auto"/>
          <w:lang w:val="en-US"/>
        </w:rPr>
        <w:tab/>
      </w:r>
      <w:r w:rsidR="004B3CD0">
        <w:rPr>
          <w:color w:val="auto"/>
          <w:lang w:val="en-US"/>
        </w:rPr>
        <w:tab/>
      </w:r>
      <w:r>
        <w:rPr>
          <w:color w:val="auto"/>
          <w:lang w:val="en-US"/>
        </w:rPr>
        <w:t>(</w:t>
      </w:r>
      <w:r w:rsidR="004B3CD0">
        <w:rPr>
          <w:color w:val="auto"/>
          <w:lang w:val="en-US"/>
        </w:rPr>
        <w:t>A</w:t>
      </w:r>
      <w:r>
        <w:rPr>
          <w:color w:val="auto"/>
          <w:lang w:val="en-US"/>
        </w:rPr>
        <w:t>3)</w:t>
      </w:r>
    </w:p>
    <w:p w:rsidR="00D31CF2" w:rsidRDefault="00D31CF2" w:rsidP="004B3CD0">
      <w:pPr>
        <w:pStyle w:val="normals"/>
        <w:ind w:left="0" w:firstLine="0"/>
        <w:jc w:val="both"/>
        <w:rPr>
          <w:color w:val="auto"/>
          <w:lang w:val="en-US"/>
        </w:rPr>
      </w:pPr>
      <w:r>
        <w:rPr>
          <w:color w:val="auto"/>
          <w:lang w:val="en-US"/>
        </w:rPr>
        <w:t>Given the discussion of (</w:t>
      </w:r>
      <w:r w:rsidR="004B3CD0">
        <w:rPr>
          <w:color w:val="auto"/>
          <w:lang w:val="en-US"/>
        </w:rPr>
        <w:t>A</w:t>
      </w:r>
      <w:r>
        <w:rPr>
          <w:color w:val="auto"/>
          <w:lang w:val="en-US"/>
        </w:rPr>
        <w:t>2) above, (</w:t>
      </w:r>
      <w:r w:rsidR="004B3CD0">
        <w:rPr>
          <w:color w:val="auto"/>
          <w:lang w:val="en-US"/>
        </w:rPr>
        <w:t>A</w:t>
      </w:r>
      <w:r>
        <w:rPr>
          <w:color w:val="auto"/>
          <w:lang w:val="en-US"/>
        </w:rPr>
        <w:t xml:space="preserve">3) is a particular solution to </w:t>
      </w:r>
      <w:r>
        <w:rPr>
          <w:color w:val="auto"/>
          <w:position w:val="-12"/>
          <w:lang w:val="en-US"/>
        </w:rPr>
        <w:object w:dxaOrig="2600" w:dyaOrig="380">
          <v:shape id="_x0000_i1062" type="#_x0000_t75" style="width:129.8pt;height:18.75pt" o:ole="">
            <v:imagedata r:id="rId83" o:title=""/>
          </v:shape>
          <o:OLEObject Type="Embed" ProgID="Equation.3" ShapeID="_x0000_i1062" DrawAspect="Content" ObjectID="_1381729974" r:id="rId84"/>
        </w:object>
      </w:r>
      <w:r>
        <w:rPr>
          <w:color w:val="auto"/>
          <w:lang w:val="en-US"/>
        </w:rPr>
        <w:t>, and it follows that:</w:t>
      </w:r>
    </w:p>
    <w:p w:rsidR="004B3CD0" w:rsidRDefault="004B3CD0" w:rsidP="004B3CD0">
      <w:pPr>
        <w:pStyle w:val="normals"/>
        <w:jc w:val="both"/>
        <w:rPr>
          <w:lang w:val="en-US"/>
        </w:rPr>
      </w:pPr>
    </w:p>
    <w:p w:rsidR="00D31CF2" w:rsidRDefault="00D31CF2" w:rsidP="004B3CD0">
      <w:pPr>
        <w:pStyle w:val="normals"/>
        <w:jc w:val="both"/>
        <w:rPr>
          <w:lang w:val="en-US"/>
        </w:rPr>
      </w:pPr>
      <w:r>
        <w:rPr>
          <w:lang w:val="en-US"/>
        </w:rPr>
        <w:t>1</w:t>
      </w:r>
      <w:r>
        <w:rPr>
          <w:i/>
          <w:lang w:val="en-US"/>
        </w:rPr>
        <w:t>+</w:t>
      </w:r>
      <w:r>
        <w:rPr>
          <w:i/>
          <w:lang w:val="en-US"/>
        </w:rPr>
        <w:sym w:font="Symbol" w:char="F072"/>
      </w:r>
      <w:r>
        <w:rPr>
          <w:i/>
          <w:vertAlign w:val="subscript"/>
          <w:lang w:val="en-US"/>
        </w:rPr>
        <w:t>t+1</w:t>
      </w:r>
      <w:r>
        <w:rPr>
          <w:i/>
          <w:lang w:val="en-US"/>
        </w:rPr>
        <w:t xml:space="preserve"> = (P</w:t>
      </w:r>
      <w:r>
        <w:rPr>
          <w:i/>
          <w:vertAlign w:val="subscript"/>
          <w:lang w:val="en-US"/>
        </w:rPr>
        <w:t xml:space="preserve">t+1 </w:t>
      </w:r>
      <w:r>
        <w:rPr>
          <w:i/>
          <w:lang w:val="en-US"/>
        </w:rPr>
        <w:t>+ Q</w:t>
      </w:r>
      <w:r>
        <w:rPr>
          <w:i/>
          <w:vertAlign w:val="subscript"/>
          <w:lang w:val="en-US"/>
        </w:rPr>
        <w:t>t+1</w:t>
      </w:r>
      <w:r>
        <w:rPr>
          <w:i/>
          <w:lang w:val="en-US"/>
        </w:rPr>
        <w:t>)/P</w:t>
      </w:r>
      <w:r>
        <w:rPr>
          <w:i/>
          <w:vertAlign w:val="subscript"/>
          <w:lang w:val="en-US"/>
        </w:rPr>
        <w:t>t</w:t>
      </w:r>
      <w:r>
        <w:rPr>
          <w:lang w:val="en-US"/>
        </w:rPr>
        <w:tab/>
      </w:r>
      <w:r>
        <w:rPr>
          <w:lang w:val="en-US"/>
        </w:rPr>
        <w:tab/>
      </w:r>
      <w:r>
        <w:rPr>
          <w:lang w:val="en-US"/>
        </w:rPr>
        <w:tab/>
      </w:r>
      <w:r>
        <w:rPr>
          <w:lang w:val="en-US"/>
        </w:rPr>
        <w:tab/>
      </w:r>
      <w:r>
        <w:rPr>
          <w:lang w:val="en-US"/>
        </w:rPr>
        <w:tab/>
      </w:r>
      <w:r>
        <w:rPr>
          <w:lang w:val="en-US"/>
        </w:rPr>
        <w:tab/>
      </w:r>
      <w:r>
        <w:rPr>
          <w:lang w:val="en-US"/>
        </w:rPr>
        <w:tab/>
        <w:t>(</w:t>
      </w:r>
      <w:r w:rsidR="004B3CD0">
        <w:rPr>
          <w:lang w:val="en-US"/>
        </w:rPr>
        <w:t>A</w:t>
      </w:r>
      <w:r>
        <w:rPr>
          <w:lang w:val="en-US"/>
        </w:rPr>
        <w:t>4)</w:t>
      </w:r>
    </w:p>
    <w:p w:rsidR="004B3CD0" w:rsidRDefault="004B3CD0" w:rsidP="004B3CD0">
      <w:pPr>
        <w:pStyle w:val="normals"/>
        <w:ind w:left="0" w:firstLine="0"/>
        <w:jc w:val="both"/>
        <w:rPr>
          <w:lang w:val="en-US"/>
        </w:rPr>
      </w:pPr>
    </w:p>
    <w:p w:rsidR="00D31CF2" w:rsidRDefault="00D31CF2" w:rsidP="004B3CD0">
      <w:pPr>
        <w:pStyle w:val="normals"/>
        <w:ind w:left="0" w:firstLine="0"/>
        <w:jc w:val="both"/>
        <w:rPr>
          <w:lang w:val="en-US"/>
        </w:rPr>
      </w:pPr>
      <w:r>
        <w:rPr>
          <w:lang w:val="en-US"/>
        </w:rPr>
        <w:t xml:space="preserve">where </w:t>
      </w:r>
      <w:r>
        <w:rPr>
          <w:i/>
          <w:lang w:val="en-US"/>
        </w:rPr>
        <w:t>P</w:t>
      </w:r>
      <w:r>
        <w:rPr>
          <w:i/>
          <w:vertAlign w:val="subscript"/>
          <w:lang w:val="en-US"/>
        </w:rPr>
        <w:t>t</w:t>
      </w:r>
      <w:r>
        <w:rPr>
          <w:i/>
          <w:lang w:val="en-US"/>
        </w:rPr>
        <w:t xml:space="preserve"> </w:t>
      </w:r>
      <w:r>
        <w:rPr>
          <w:lang w:val="en-US"/>
        </w:rPr>
        <w:t xml:space="preserve"> is the real price at the end of period </w:t>
      </w:r>
      <w:r>
        <w:rPr>
          <w:i/>
          <w:lang w:val="en-US"/>
        </w:rPr>
        <w:t xml:space="preserve">t, </w:t>
      </w:r>
      <w:r>
        <w:rPr>
          <w:lang w:val="en-US"/>
        </w:rPr>
        <w:t xml:space="preserve">and </w:t>
      </w:r>
      <w:r>
        <w:rPr>
          <w:i/>
          <w:lang w:val="en-US"/>
        </w:rPr>
        <w:t>Q</w:t>
      </w:r>
      <w:r>
        <w:rPr>
          <w:i/>
          <w:vertAlign w:val="subscript"/>
          <w:lang w:val="en-US"/>
        </w:rPr>
        <w:t xml:space="preserve">t+1 </w:t>
      </w:r>
      <w:r>
        <w:rPr>
          <w:lang w:val="en-US"/>
        </w:rPr>
        <w:t xml:space="preserve">is real disposable income measured during </w:t>
      </w:r>
      <w:r>
        <w:rPr>
          <w:i/>
          <w:lang w:val="en-US"/>
        </w:rPr>
        <w:t>t+1</w:t>
      </w:r>
      <w:r w:rsidR="00225D83">
        <w:rPr>
          <w:lang w:val="en-US"/>
        </w:rPr>
        <w:t xml:space="preserve">. </w:t>
      </w:r>
      <w:r>
        <w:rPr>
          <w:lang w:val="en-US"/>
        </w:rPr>
        <w:t xml:space="preserve"> Taking logs and using lower case letters to represent the logs of their upper-case counterparts, we can write:</w:t>
      </w:r>
    </w:p>
    <w:p w:rsidR="004B3CD0" w:rsidRDefault="004B3CD0" w:rsidP="004B3CD0">
      <w:pPr>
        <w:pStyle w:val="normals"/>
        <w:ind w:left="0" w:firstLine="0"/>
        <w:jc w:val="both"/>
        <w:rPr>
          <w:i/>
          <w:lang w:val="en-US"/>
        </w:rPr>
      </w:pPr>
    </w:p>
    <w:p w:rsidR="00D31CF2" w:rsidRDefault="00D31CF2" w:rsidP="004B3CD0">
      <w:pPr>
        <w:pStyle w:val="normals"/>
        <w:ind w:left="0" w:firstLine="0"/>
        <w:jc w:val="both"/>
        <w:rPr>
          <w:lang w:val="en-US"/>
        </w:rPr>
      </w:pPr>
      <w:r>
        <w:rPr>
          <w:i/>
          <w:lang w:val="en-US"/>
        </w:rPr>
        <w:t>r</w:t>
      </w:r>
      <w:r>
        <w:rPr>
          <w:i/>
          <w:vertAlign w:val="subscript"/>
          <w:lang w:val="en-US"/>
        </w:rPr>
        <w:t>t+1</w:t>
      </w:r>
      <w:r>
        <w:rPr>
          <w:i/>
          <w:lang w:val="en-US"/>
        </w:rPr>
        <w:t xml:space="preserve"> = ln(1+exp(q</w:t>
      </w:r>
      <w:r>
        <w:rPr>
          <w:i/>
          <w:vertAlign w:val="subscript"/>
          <w:lang w:val="en-US"/>
        </w:rPr>
        <w:t xml:space="preserve">t+1 </w:t>
      </w:r>
      <w:r>
        <w:rPr>
          <w:i/>
          <w:lang w:val="en-US"/>
        </w:rPr>
        <w:t>- p</w:t>
      </w:r>
      <w:r>
        <w:rPr>
          <w:i/>
          <w:vertAlign w:val="subscript"/>
          <w:lang w:val="en-US"/>
        </w:rPr>
        <w:t>t+1</w:t>
      </w:r>
      <w:r>
        <w:rPr>
          <w:i/>
          <w:lang w:val="en-US"/>
        </w:rPr>
        <w:t>)) + p</w:t>
      </w:r>
      <w:r>
        <w:rPr>
          <w:i/>
          <w:vertAlign w:val="subscript"/>
          <w:lang w:val="en-US"/>
        </w:rPr>
        <w:t>t+1</w:t>
      </w:r>
      <w:r>
        <w:rPr>
          <w:i/>
          <w:lang w:val="en-US"/>
        </w:rPr>
        <w:t xml:space="preserve"> – p</w:t>
      </w:r>
      <w:r>
        <w:rPr>
          <w:i/>
          <w:vertAlign w:val="subscript"/>
          <w:lang w:val="en-US"/>
        </w:rPr>
        <w:t>t</w:t>
      </w:r>
      <w:r w:rsidR="004B3CD0">
        <w:rPr>
          <w:lang w:val="en-US"/>
        </w:rPr>
        <w:t xml:space="preserve"> </w:t>
      </w:r>
      <w:r w:rsidR="004B3CD0">
        <w:rPr>
          <w:lang w:val="en-US"/>
        </w:rPr>
        <w:tab/>
      </w:r>
      <w:r w:rsidR="004B3CD0">
        <w:rPr>
          <w:lang w:val="en-US"/>
        </w:rPr>
        <w:tab/>
      </w:r>
      <w:r w:rsidR="004B3CD0">
        <w:rPr>
          <w:lang w:val="en-US"/>
        </w:rPr>
        <w:tab/>
      </w:r>
      <w:r w:rsidR="004B3CD0">
        <w:rPr>
          <w:lang w:val="en-US"/>
        </w:rPr>
        <w:tab/>
      </w:r>
      <w:r w:rsidR="004B3CD0">
        <w:rPr>
          <w:lang w:val="en-US"/>
        </w:rPr>
        <w:tab/>
      </w:r>
      <w:r>
        <w:rPr>
          <w:lang w:val="en-US"/>
        </w:rPr>
        <w:t>(</w:t>
      </w:r>
      <w:r w:rsidR="004B3CD0">
        <w:rPr>
          <w:lang w:val="en-US"/>
        </w:rPr>
        <w:t>A</w:t>
      </w:r>
      <w:r>
        <w:rPr>
          <w:lang w:val="en-US"/>
        </w:rPr>
        <w:t>5)</w:t>
      </w:r>
    </w:p>
    <w:p w:rsidR="004B3CD0" w:rsidRDefault="004B3CD0" w:rsidP="004B3CD0">
      <w:pPr>
        <w:pStyle w:val="normals"/>
        <w:ind w:left="0" w:firstLine="0"/>
        <w:jc w:val="both"/>
        <w:rPr>
          <w:lang w:val="en-US"/>
        </w:rPr>
      </w:pPr>
    </w:p>
    <w:p w:rsidR="00D31CF2" w:rsidRDefault="00D31CF2" w:rsidP="004B3CD0">
      <w:pPr>
        <w:pStyle w:val="normals"/>
        <w:ind w:left="0" w:firstLine="0"/>
        <w:jc w:val="both"/>
        <w:rPr>
          <w:lang w:val="en-US"/>
        </w:rPr>
      </w:pPr>
      <w:r>
        <w:rPr>
          <w:lang w:val="en-US"/>
        </w:rPr>
        <w:t xml:space="preserve">where </w:t>
      </w:r>
      <w:r>
        <w:rPr>
          <w:i/>
          <w:lang w:val="en-US"/>
        </w:rPr>
        <w:t>r</w:t>
      </w:r>
      <w:r>
        <w:rPr>
          <w:lang w:val="en-US"/>
        </w:rPr>
        <w:t xml:space="preserve"> is defined as </w:t>
      </w:r>
      <w:r>
        <w:rPr>
          <w:i/>
          <w:lang w:val="en-US"/>
        </w:rPr>
        <w:t>ln(1+</w:t>
      </w:r>
      <w:r>
        <w:rPr>
          <w:i/>
          <w:lang w:val="en-US"/>
        </w:rPr>
        <w:sym w:font="Symbol" w:char="F072"/>
      </w:r>
      <w:r>
        <w:rPr>
          <w:i/>
          <w:lang w:val="en-US"/>
        </w:rPr>
        <w:t>)</w:t>
      </w:r>
      <w:r>
        <w:rPr>
          <w:lang w:val="en-US"/>
        </w:rPr>
        <w:t xml:space="preserve"> and the term </w:t>
      </w:r>
      <w:r>
        <w:rPr>
          <w:i/>
          <w:lang w:val="en-US"/>
        </w:rPr>
        <w:t>(q-p)</w:t>
      </w:r>
      <w:r>
        <w:rPr>
          <w:lang w:val="en-US"/>
        </w:rPr>
        <w:t xml:space="preserve"> can be viewed as the economy-wide income-price ratio.  The first term in (</w:t>
      </w:r>
      <w:r w:rsidR="004B3CD0">
        <w:rPr>
          <w:lang w:val="en-US"/>
        </w:rPr>
        <w:t>A</w:t>
      </w:r>
      <w:r>
        <w:rPr>
          <w:lang w:val="en-US"/>
        </w:rPr>
        <w:t xml:space="preserve">5) can be linearized using a first-order </w:t>
      </w:r>
      <w:smartTag w:uri="urn:schemas-microsoft-com:office:smarttags" w:element="place">
        <w:smartTag w:uri="urn:schemas-microsoft-com:office:smarttags" w:element="City">
          <w:r>
            <w:rPr>
              <w:lang w:val="en-US"/>
            </w:rPr>
            <w:t>Taylor</w:t>
          </w:r>
        </w:smartTag>
      </w:smartTag>
      <w:r>
        <w:rPr>
          <w:lang w:val="en-US"/>
        </w:rPr>
        <w:t>’s approximation and (</w:t>
      </w:r>
      <w:r w:rsidR="004B3CD0">
        <w:rPr>
          <w:lang w:val="en-US"/>
        </w:rPr>
        <w:t>A</w:t>
      </w:r>
      <w:r>
        <w:rPr>
          <w:lang w:val="en-US"/>
        </w:rPr>
        <w:t>5) can be written as:</w:t>
      </w:r>
    </w:p>
    <w:p w:rsidR="004B3CD0" w:rsidRDefault="004B3CD0" w:rsidP="00D31CF2">
      <w:pPr>
        <w:pStyle w:val="normals"/>
        <w:spacing w:line="480" w:lineRule="auto"/>
        <w:ind w:left="0" w:firstLine="0"/>
        <w:jc w:val="both"/>
        <w:rPr>
          <w:i/>
          <w:lang w:val="en-US"/>
        </w:rPr>
      </w:pPr>
    </w:p>
    <w:p w:rsidR="00D31CF2" w:rsidRDefault="00D31CF2" w:rsidP="00D31CF2">
      <w:pPr>
        <w:pStyle w:val="normals"/>
        <w:spacing w:line="480" w:lineRule="auto"/>
        <w:ind w:left="0" w:firstLine="0"/>
        <w:jc w:val="both"/>
        <w:rPr>
          <w:lang w:val="en-US"/>
        </w:rPr>
      </w:pPr>
      <w:r>
        <w:rPr>
          <w:i/>
          <w:lang w:val="en-US"/>
        </w:rPr>
        <w:t>r</w:t>
      </w:r>
      <w:r>
        <w:rPr>
          <w:i/>
          <w:vertAlign w:val="subscript"/>
          <w:lang w:val="en-US"/>
        </w:rPr>
        <w:t>t+1</w:t>
      </w:r>
      <w:r>
        <w:rPr>
          <w:i/>
          <w:lang w:val="en-US"/>
        </w:rPr>
        <w:t xml:space="preserve"> = -(p</w:t>
      </w:r>
      <w:r>
        <w:rPr>
          <w:i/>
          <w:vertAlign w:val="subscript"/>
          <w:lang w:val="en-US"/>
        </w:rPr>
        <w:t>t</w:t>
      </w:r>
      <w:r>
        <w:rPr>
          <w:i/>
          <w:lang w:val="en-US"/>
        </w:rPr>
        <w:t xml:space="preserve"> – q</w:t>
      </w:r>
      <w:r>
        <w:rPr>
          <w:i/>
          <w:vertAlign w:val="subscript"/>
          <w:lang w:val="en-US"/>
        </w:rPr>
        <w:t>t</w:t>
      </w:r>
      <w:r>
        <w:rPr>
          <w:i/>
          <w:lang w:val="en-US"/>
        </w:rPr>
        <w:t xml:space="preserve">) + </w:t>
      </w:r>
      <w:r>
        <w:rPr>
          <w:i/>
          <w:lang w:val="en-US"/>
        </w:rPr>
        <w:sym w:font="Symbol" w:char="F06D"/>
      </w:r>
      <w:r>
        <w:rPr>
          <w:i/>
          <w:lang w:val="en-US"/>
        </w:rPr>
        <w:t>(p</w:t>
      </w:r>
      <w:r>
        <w:rPr>
          <w:i/>
          <w:vertAlign w:val="subscript"/>
          <w:lang w:val="en-US"/>
        </w:rPr>
        <w:t>t+1</w:t>
      </w:r>
      <w:r>
        <w:rPr>
          <w:i/>
          <w:lang w:val="en-US"/>
        </w:rPr>
        <w:t xml:space="preserve"> – q</w:t>
      </w:r>
      <w:r>
        <w:rPr>
          <w:i/>
          <w:vertAlign w:val="subscript"/>
          <w:lang w:val="en-US"/>
        </w:rPr>
        <w:t>t+1</w:t>
      </w:r>
      <w:r>
        <w:rPr>
          <w:i/>
          <w:lang w:val="en-US"/>
        </w:rPr>
        <w:t xml:space="preserve">) + </w:t>
      </w:r>
      <w:r>
        <w:rPr>
          <w:i/>
          <w:lang w:val="en-US"/>
        </w:rPr>
        <w:sym w:font="Symbol" w:char="F044"/>
      </w:r>
      <w:r>
        <w:rPr>
          <w:i/>
          <w:lang w:val="en-US"/>
        </w:rPr>
        <w:t>q</w:t>
      </w:r>
      <w:r>
        <w:rPr>
          <w:i/>
          <w:vertAlign w:val="subscript"/>
          <w:lang w:val="en-US"/>
        </w:rPr>
        <w:t>t+1</w:t>
      </w:r>
      <w:r>
        <w:rPr>
          <w:i/>
          <w:lang w:val="en-US"/>
        </w:rPr>
        <w:t xml:space="preserve"> + k</w:t>
      </w:r>
      <w:r>
        <w:rPr>
          <w:lang w:val="en-US"/>
        </w:rPr>
        <w:tab/>
      </w:r>
      <w:r>
        <w:rPr>
          <w:lang w:val="en-US"/>
        </w:rPr>
        <w:tab/>
      </w:r>
      <w:r>
        <w:rPr>
          <w:lang w:val="en-US"/>
        </w:rPr>
        <w:tab/>
      </w:r>
      <w:r>
        <w:rPr>
          <w:lang w:val="en-US"/>
        </w:rPr>
        <w:tab/>
      </w:r>
      <w:r>
        <w:rPr>
          <w:lang w:val="en-US"/>
        </w:rPr>
        <w:tab/>
        <w:t>(</w:t>
      </w:r>
      <w:r w:rsidR="004B3CD0">
        <w:rPr>
          <w:lang w:val="en-US"/>
        </w:rPr>
        <w:t>A</w:t>
      </w:r>
      <w:r>
        <w:rPr>
          <w:lang w:val="en-US"/>
        </w:rPr>
        <w:t>6)</w:t>
      </w:r>
    </w:p>
    <w:p w:rsidR="00D31CF2" w:rsidRDefault="00D31CF2" w:rsidP="00D31CF2">
      <w:pPr>
        <w:pStyle w:val="normals"/>
        <w:spacing w:line="480" w:lineRule="auto"/>
        <w:ind w:left="0" w:firstLine="0"/>
        <w:jc w:val="both"/>
        <w:rPr>
          <w:lang w:val="en-US"/>
        </w:rPr>
      </w:pPr>
      <w:r>
        <w:rPr>
          <w:lang w:val="en-US"/>
        </w:rPr>
        <w:t xml:space="preserve">where </w:t>
      </w:r>
      <w:r>
        <w:rPr>
          <w:i/>
          <w:lang w:val="en-US"/>
        </w:rPr>
        <w:t>k</w:t>
      </w:r>
      <w:r>
        <w:rPr>
          <w:lang w:val="en-US"/>
        </w:rPr>
        <w:t xml:space="preserve"> and </w:t>
      </w:r>
      <w:r>
        <w:rPr>
          <w:i/>
          <w:lang w:val="en-US"/>
        </w:rPr>
        <w:sym w:font="Symbol" w:char="F06D"/>
      </w:r>
      <w:r>
        <w:rPr>
          <w:lang w:val="en-US"/>
        </w:rPr>
        <w:t xml:space="preserve"> are </w:t>
      </w:r>
      <w:r w:rsidR="00225D83">
        <w:rPr>
          <w:lang w:val="en-US"/>
        </w:rPr>
        <w:t>linearization</w:t>
      </w:r>
      <w:r>
        <w:rPr>
          <w:lang w:val="en-US"/>
        </w:rPr>
        <w:t xml:space="preserve"> constants:</w:t>
      </w:r>
    </w:p>
    <w:p w:rsidR="00D31CF2" w:rsidRDefault="00D31CF2" w:rsidP="00D31CF2">
      <w:pPr>
        <w:pStyle w:val="normals"/>
        <w:ind w:left="0" w:firstLine="0"/>
        <w:jc w:val="both"/>
        <w:rPr>
          <w:i/>
          <w:lang w:val="en-US"/>
        </w:rPr>
      </w:pPr>
      <w:r>
        <w:rPr>
          <w:lang w:val="en-US"/>
        </w:rPr>
        <w:lastRenderedPageBreak/>
        <w:tab/>
      </w:r>
      <w:r>
        <w:rPr>
          <w:i/>
          <w:lang w:val="en-US"/>
        </w:rPr>
        <w:t>k = -ln</w:t>
      </w:r>
      <w:r>
        <w:rPr>
          <w:i/>
          <w:lang w:val="en-US"/>
        </w:rPr>
        <w:sym w:font="Symbol" w:char="F06D"/>
      </w:r>
      <w:r>
        <w:rPr>
          <w:i/>
          <w:lang w:val="en-US"/>
        </w:rPr>
        <w:t xml:space="preserve"> - (1-</w:t>
      </w:r>
      <w:r>
        <w:rPr>
          <w:i/>
          <w:lang w:val="en-US"/>
        </w:rPr>
        <w:sym w:font="Symbol" w:char="F06D"/>
      </w:r>
      <w:r>
        <w:rPr>
          <w:i/>
          <w:lang w:val="en-US"/>
        </w:rPr>
        <w:t>).</w:t>
      </w:r>
      <w:r>
        <w:rPr>
          <w:i/>
          <w:position w:val="-10"/>
          <w:lang w:val="en-US"/>
        </w:rPr>
        <w:object w:dxaOrig="740" w:dyaOrig="380">
          <v:shape id="_x0000_i1063" type="#_x0000_t75" style="width:37pt;height:18.75pt" o:ole="" fillcolor="window">
            <v:imagedata r:id="rId85" o:title=""/>
          </v:shape>
          <o:OLEObject Type="Embed" ProgID="Equation.3" ShapeID="_x0000_i1063" DrawAspect="Content" ObjectID="_1381729975" r:id="rId86"/>
        </w:object>
      </w:r>
    </w:p>
    <w:p w:rsidR="00D31CF2" w:rsidRDefault="00D31CF2" w:rsidP="00D31CF2">
      <w:pPr>
        <w:pStyle w:val="normals"/>
        <w:ind w:left="0" w:firstLine="0"/>
        <w:jc w:val="both"/>
        <w:rPr>
          <w:lang w:val="en-US"/>
        </w:rPr>
      </w:pPr>
      <w:r>
        <w:rPr>
          <w:lang w:val="en-US"/>
        </w:rPr>
        <w:tab/>
      </w:r>
      <w:r>
        <w:rPr>
          <w:i/>
          <w:lang w:val="en-US"/>
        </w:rPr>
        <w:sym w:font="Symbol" w:char="F06D"/>
      </w:r>
      <w:r>
        <w:rPr>
          <w:i/>
          <w:lang w:val="en-US"/>
        </w:rPr>
        <w:t xml:space="preserve"> = 1/(1 + exp</w:t>
      </w:r>
      <w:r>
        <w:rPr>
          <w:position w:val="-10"/>
          <w:lang w:val="en-US"/>
        </w:rPr>
        <w:object w:dxaOrig="740" w:dyaOrig="380">
          <v:shape id="_x0000_i1064" type="#_x0000_t75" style="width:37pt;height:18.75pt" o:ole="" fillcolor="window">
            <v:imagedata r:id="rId85" o:title=""/>
          </v:shape>
          <o:OLEObject Type="Embed" ProgID="Equation.3" ShapeID="_x0000_i1064" DrawAspect="Content" ObjectID="_1381729976" r:id="rId87"/>
        </w:object>
      </w:r>
      <w:r>
        <w:rPr>
          <w:lang w:val="en-US"/>
        </w:rPr>
        <w:t>)</w:t>
      </w:r>
    </w:p>
    <w:p w:rsidR="00856CC3" w:rsidRDefault="00856CC3" w:rsidP="00856CC3">
      <w:pPr>
        <w:pStyle w:val="normals"/>
        <w:ind w:left="0" w:firstLine="0"/>
        <w:jc w:val="both"/>
        <w:rPr>
          <w:lang w:val="en-US"/>
        </w:rPr>
      </w:pPr>
    </w:p>
    <w:p w:rsidR="00D31CF2" w:rsidRDefault="00D31CF2" w:rsidP="00856CC3">
      <w:pPr>
        <w:pStyle w:val="normals"/>
        <w:ind w:left="0" w:firstLine="0"/>
        <w:jc w:val="both"/>
        <w:rPr>
          <w:lang w:val="en-US"/>
        </w:rPr>
      </w:pPr>
      <w:r>
        <w:rPr>
          <w:lang w:val="en-US"/>
        </w:rPr>
        <w:t xml:space="preserve">where </w:t>
      </w:r>
      <w:r>
        <w:rPr>
          <w:position w:val="-10"/>
          <w:lang w:val="en-US"/>
        </w:rPr>
        <w:object w:dxaOrig="740" w:dyaOrig="380">
          <v:shape id="_x0000_i1065" type="#_x0000_t75" style="width:37pt;height:18.75pt" o:ole="" fillcolor="window">
            <v:imagedata r:id="rId85" o:title=""/>
          </v:shape>
          <o:OLEObject Type="Embed" ProgID="Equation.3" ShapeID="_x0000_i1065" DrawAspect="Content" ObjectID="_1381729977" r:id="rId88"/>
        </w:object>
      </w:r>
      <w:r>
        <w:rPr>
          <w:lang w:val="en-US"/>
        </w:rPr>
        <w:t xml:space="preserve"> is the sample mean of (</w:t>
      </w:r>
      <w:r>
        <w:rPr>
          <w:i/>
          <w:lang w:val="en-US"/>
        </w:rPr>
        <w:t>q-p)</w:t>
      </w:r>
      <w:r>
        <w:rPr>
          <w:lang w:val="en-US"/>
        </w:rPr>
        <w:t xml:space="preserve"> about which the linearization was taken.  Clearly, 0 &lt; </w:t>
      </w:r>
      <w:r>
        <w:rPr>
          <w:i/>
          <w:lang w:val="en-US"/>
        </w:rPr>
        <w:sym w:font="Symbol" w:char="F06D"/>
      </w:r>
      <w:r>
        <w:rPr>
          <w:i/>
          <w:lang w:val="en-US"/>
        </w:rPr>
        <w:t xml:space="preserve"> </w:t>
      </w:r>
      <w:r>
        <w:rPr>
          <w:lang w:val="en-US"/>
        </w:rPr>
        <w:t>&lt; 1 and in practice is close to 1.</w:t>
      </w:r>
    </w:p>
    <w:p w:rsidR="00D31CF2" w:rsidRDefault="00D31CF2" w:rsidP="0020394D">
      <w:pPr>
        <w:pStyle w:val="normals"/>
        <w:ind w:left="0" w:firstLine="720"/>
        <w:jc w:val="both"/>
        <w:rPr>
          <w:lang w:val="en-US"/>
        </w:rPr>
      </w:pPr>
      <w:r>
        <w:rPr>
          <w:lang w:val="en-US"/>
        </w:rPr>
        <w:t>Empirically</w:t>
      </w:r>
      <w:r w:rsidR="00225D83">
        <w:rPr>
          <w:lang w:val="en-US"/>
        </w:rPr>
        <w:t>,</w:t>
      </w:r>
      <w:r>
        <w:rPr>
          <w:lang w:val="en-US"/>
        </w:rPr>
        <w:t xml:space="preserve"> it is common that both </w:t>
      </w:r>
      <w:r>
        <w:rPr>
          <w:i/>
          <w:lang w:val="en-US"/>
        </w:rPr>
        <w:t>p</w:t>
      </w:r>
      <w:r>
        <w:rPr>
          <w:lang w:val="en-US"/>
        </w:rPr>
        <w:t xml:space="preserve"> and </w:t>
      </w:r>
      <w:r>
        <w:rPr>
          <w:i/>
          <w:lang w:val="en-US"/>
        </w:rPr>
        <w:t>q</w:t>
      </w:r>
      <w:r>
        <w:rPr>
          <w:lang w:val="en-US"/>
        </w:rPr>
        <w:t xml:space="preserve"> are </w:t>
      </w:r>
      <w:r>
        <w:rPr>
          <w:i/>
          <w:lang w:val="en-US"/>
        </w:rPr>
        <w:t>I</w:t>
      </w:r>
      <w:r>
        <w:rPr>
          <w:lang w:val="en-US"/>
        </w:rPr>
        <w:t xml:space="preserve">(1) so that the variables are transformed to ensure stationarity.  Denote by </w:t>
      </w:r>
      <w:r>
        <w:rPr>
          <w:i/>
          <w:lang w:val="en-US"/>
        </w:rPr>
        <w:t>pq</w:t>
      </w:r>
      <w:r>
        <w:rPr>
          <w:i/>
          <w:vertAlign w:val="subscript"/>
          <w:lang w:val="en-US"/>
        </w:rPr>
        <w:t>t</w:t>
      </w:r>
      <w:r>
        <w:rPr>
          <w:lang w:val="en-US"/>
        </w:rPr>
        <w:t xml:space="preserve"> the (log) price-income ratio, </w:t>
      </w:r>
      <w:r>
        <w:rPr>
          <w:i/>
          <w:lang w:val="en-US"/>
        </w:rPr>
        <w:t>p</w:t>
      </w:r>
      <w:r>
        <w:rPr>
          <w:i/>
          <w:vertAlign w:val="subscript"/>
          <w:lang w:val="en-US"/>
        </w:rPr>
        <w:t>t</w:t>
      </w:r>
      <w:r>
        <w:rPr>
          <w:i/>
          <w:lang w:val="en-US"/>
        </w:rPr>
        <w:t xml:space="preserve"> –q</w:t>
      </w:r>
      <w:r>
        <w:rPr>
          <w:i/>
          <w:vertAlign w:val="subscript"/>
          <w:lang w:val="en-US"/>
        </w:rPr>
        <w:t>t</w:t>
      </w:r>
      <w:r>
        <w:rPr>
          <w:lang w:val="en-US"/>
        </w:rPr>
        <w:t>, and rewrite equation (</w:t>
      </w:r>
      <w:r w:rsidR="0020394D">
        <w:rPr>
          <w:lang w:val="en-US"/>
        </w:rPr>
        <w:t>A</w:t>
      </w:r>
      <w:r>
        <w:rPr>
          <w:lang w:val="en-US"/>
        </w:rPr>
        <w:t>6) as:</w:t>
      </w:r>
    </w:p>
    <w:p w:rsidR="0020394D" w:rsidRDefault="0020394D" w:rsidP="0020394D">
      <w:pPr>
        <w:pStyle w:val="normals"/>
        <w:ind w:left="0" w:firstLine="0"/>
        <w:jc w:val="both"/>
        <w:rPr>
          <w:i/>
          <w:lang w:val="en-US"/>
        </w:rPr>
      </w:pPr>
    </w:p>
    <w:p w:rsidR="00D31CF2" w:rsidRDefault="00D31CF2" w:rsidP="0020394D">
      <w:pPr>
        <w:pStyle w:val="normals"/>
        <w:ind w:left="0" w:firstLine="0"/>
        <w:jc w:val="both"/>
        <w:rPr>
          <w:lang w:val="en-US"/>
        </w:rPr>
      </w:pPr>
      <w:r>
        <w:rPr>
          <w:i/>
          <w:lang w:val="en-US"/>
        </w:rPr>
        <w:t>pq</w:t>
      </w:r>
      <w:r>
        <w:rPr>
          <w:i/>
          <w:vertAlign w:val="subscript"/>
          <w:lang w:val="en-US"/>
        </w:rPr>
        <w:t>t</w:t>
      </w:r>
      <w:r>
        <w:rPr>
          <w:i/>
          <w:lang w:val="en-US"/>
        </w:rPr>
        <w:t xml:space="preserve"> = k + </w:t>
      </w:r>
      <w:r>
        <w:rPr>
          <w:i/>
          <w:lang w:val="en-US"/>
        </w:rPr>
        <w:sym w:font="Symbol" w:char="F06D"/>
      </w:r>
      <w:r>
        <w:rPr>
          <w:i/>
          <w:lang w:val="en-US"/>
        </w:rPr>
        <w:t>pq</w:t>
      </w:r>
      <w:r>
        <w:rPr>
          <w:i/>
          <w:vertAlign w:val="subscript"/>
          <w:lang w:val="en-US"/>
        </w:rPr>
        <w:t>t+1</w:t>
      </w:r>
      <w:r>
        <w:rPr>
          <w:i/>
          <w:lang w:val="en-US"/>
        </w:rPr>
        <w:t xml:space="preserve"> + </w:t>
      </w:r>
      <w:r>
        <w:rPr>
          <w:i/>
          <w:lang w:val="en-US"/>
        </w:rPr>
        <w:sym w:font="Symbol" w:char="F044"/>
      </w:r>
      <w:r>
        <w:rPr>
          <w:i/>
          <w:lang w:val="en-US"/>
        </w:rPr>
        <w:t>q</w:t>
      </w:r>
      <w:r>
        <w:rPr>
          <w:i/>
          <w:vertAlign w:val="subscript"/>
          <w:lang w:val="en-US"/>
        </w:rPr>
        <w:t>t+1</w:t>
      </w:r>
      <w:r>
        <w:rPr>
          <w:i/>
          <w:lang w:val="en-US"/>
        </w:rPr>
        <w:t xml:space="preserve"> – r</w:t>
      </w:r>
      <w:r>
        <w:rPr>
          <w:i/>
          <w:vertAlign w:val="subscript"/>
          <w:lang w:val="en-US"/>
        </w:rPr>
        <w:t>t+1</w:t>
      </w:r>
      <w:r w:rsidR="0020394D">
        <w:rPr>
          <w:lang w:val="en-US"/>
        </w:rPr>
        <w:tab/>
      </w:r>
      <w:r w:rsidR="0020394D">
        <w:rPr>
          <w:lang w:val="en-US"/>
        </w:rPr>
        <w:tab/>
      </w:r>
      <w:r w:rsidR="0020394D">
        <w:rPr>
          <w:lang w:val="en-US"/>
        </w:rPr>
        <w:tab/>
      </w:r>
      <w:r w:rsidR="0020394D">
        <w:rPr>
          <w:lang w:val="en-US"/>
        </w:rPr>
        <w:tab/>
      </w:r>
      <w:r w:rsidR="0020394D">
        <w:rPr>
          <w:lang w:val="en-US"/>
        </w:rPr>
        <w:tab/>
      </w:r>
      <w:r w:rsidR="0020394D">
        <w:rPr>
          <w:lang w:val="en-US"/>
        </w:rPr>
        <w:tab/>
      </w:r>
      <w:r>
        <w:rPr>
          <w:lang w:val="en-US"/>
        </w:rPr>
        <w:t>(</w:t>
      </w:r>
      <w:r w:rsidR="0020394D">
        <w:rPr>
          <w:lang w:val="en-US"/>
        </w:rPr>
        <w:t>A</w:t>
      </w:r>
      <w:r>
        <w:rPr>
          <w:lang w:val="en-US"/>
        </w:rPr>
        <w:t>7)</w:t>
      </w:r>
    </w:p>
    <w:p w:rsidR="0020394D" w:rsidRDefault="0020394D" w:rsidP="0020394D">
      <w:pPr>
        <w:pStyle w:val="normals"/>
        <w:ind w:left="0" w:firstLine="0"/>
        <w:jc w:val="both"/>
        <w:rPr>
          <w:lang w:val="en-US"/>
        </w:rPr>
      </w:pPr>
    </w:p>
    <w:p w:rsidR="00D31CF2" w:rsidRDefault="00D31CF2" w:rsidP="0020394D">
      <w:pPr>
        <w:pStyle w:val="normals"/>
        <w:ind w:left="0" w:firstLine="0"/>
        <w:jc w:val="both"/>
        <w:rPr>
          <w:lang w:val="en-US"/>
        </w:rPr>
      </w:pPr>
      <w:r>
        <w:rPr>
          <w:lang w:val="en-US"/>
        </w:rPr>
        <w:t xml:space="preserve">After repeated substitution for </w:t>
      </w:r>
      <w:r>
        <w:rPr>
          <w:i/>
          <w:lang w:val="en-US"/>
        </w:rPr>
        <w:t>pq</w:t>
      </w:r>
      <w:r>
        <w:rPr>
          <w:i/>
          <w:vertAlign w:val="subscript"/>
          <w:lang w:val="en-US"/>
        </w:rPr>
        <w:t>t+1</w:t>
      </w:r>
      <w:r>
        <w:rPr>
          <w:i/>
          <w:lang w:val="en-US"/>
        </w:rPr>
        <w:t>, pq</w:t>
      </w:r>
      <w:r>
        <w:rPr>
          <w:i/>
          <w:vertAlign w:val="subscript"/>
          <w:lang w:val="en-US"/>
        </w:rPr>
        <w:t>t+2</w:t>
      </w:r>
      <w:r>
        <w:rPr>
          <w:i/>
          <w:lang w:val="en-US"/>
        </w:rPr>
        <w:t>,…</w:t>
      </w:r>
      <w:r>
        <w:rPr>
          <w:lang w:val="en-US"/>
        </w:rPr>
        <w:t xml:space="preserve"> on the right-hand side of (</w:t>
      </w:r>
      <w:r w:rsidR="0020394D">
        <w:rPr>
          <w:lang w:val="en-US"/>
        </w:rPr>
        <w:t>A</w:t>
      </w:r>
      <w:r>
        <w:rPr>
          <w:lang w:val="en-US"/>
        </w:rPr>
        <w:t>7), we get:</w:t>
      </w:r>
    </w:p>
    <w:p w:rsidR="0020394D" w:rsidRDefault="0020394D" w:rsidP="00D31CF2">
      <w:pPr>
        <w:pStyle w:val="normals"/>
        <w:spacing w:line="360" w:lineRule="auto"/>
        <w:ind w:left="0" w:firstLine="0"/>
        <w:jc w:val="both"/>
        <w:rPr>
          <w:lang w:val="en-US"/>
        </w:rPr>
      </w:pPr>
    </w:p>
    <w:p w:rsidR="00D31CF2" w:rsidRDefault="00D31CF2" w:rsidP="00D31CF2">
      <w:pPr>
        <w:pStyle w:val="normals"/>
        <w:spacing w:line="360" w:lineRule="auto"/>
        <w:ind w:left="0" w:firstLine="0"/>
        <w:jc w:val="both"/>
        <w:rPr>
          <w:i/>
          <w:lang w:val="en-US"/>
        </w:rPr>
      </w:pPr>
      <w:r>
        <w:rPr>
          <w:position w:val="-30"/>
          <w:lang w:val="en-US"/>
        </w:rPr>
        <w:object w:dxaOrig="5460" w:dyaOrig="720">
          <v:shape id="_x0000_i1066" type="#_x0000_t75" style="width:272.8pt;height:36pt" o:ole="" fillcolor="window">
            <v:imagedata r:id="rId89" o:title=""/>
          </v:shape>
          <o:OLEObject Type="Embed" ProgID="Equation.3" ShapeID="_x0000_i1066" DrawAspect="Content" ObjectID="_1381729978" r:id="rId90"/>
        </w:object>
      </w:r>
      <w:r w:rsidR="0020394D">
        <w:rPr>
          <w:lang w:val="en-US"/>
        </w:rPr>
        <w:tab/>
      </w:r>
      <w:r w:rsidR="0020394D">
        <w:rPr>
          <w:lang w:val="en-US"/>
        </w:rPr>
        <w:tab/>
      </w:r>
      <w:r w:rsidR="0020394D">
        <w:rPr>
          <w:lang w:val="en-US"/>
        </w:rPr>
        <w:tab/>
      </w:r>
      <w:r>
        <w:rPr>
          <w:lang w:val="en-US"/>
        </w:rPr>
        <w:t>(</w:t>
      </w:r>
      <w:r w:rsidR="0020394D">
        <w:rPr>
          <w:lang w:val="en-US"/>
        </w:rPr>
        <w:t>A</w:t>
      </w:r>
      <w:r>
        <w:rPr>
          <w:lang w:val="en-US"/>
        </w:rPr>
        <w:t>8)</w:t>
      </w:r>
    </w:p>
    <w:p w:rsidR="00D31CF2" w:rsidRDefault="00D31CF2" w:rsidP="002F69B7">
      <w:pPr>
        <w:pStyle w:val="normals"/>
        <w:ind w:left="0" w:firstLine="0"/>
        <w:jc w:val="both"/>
        <w:rPr>
          <w:lang w:val="en-US"/>
        </w:rPr>
      </w:pPr>
      <w:r>
        <w:rPr>
          <w:lang w:val="en-US"/>
        </w:rPr>
        <w:t>Letting i</w:t>
      </w:r>
      <w:r>
        <w:rPr>
          <w:i/>
          <w:lang w:val="en-US"/>
        </w:rPr>
        <w:t xml:space="preserve"> </w:t>
      </w:r>
      <w:r>
        <w:rPr>
          <w:i/>
          <w:lang w:val="en-US"/>
        </w:rPr>
        <w:sym w:font="Symbol" w:char="F0AE"/>
      </w:r>
      <w:r>
        <w:rPr>
          <w:i/>
          <w:lang w:val="en-US"/>
        </w:rPr>
        <w:t xml:space="preserve"> </w:t>
      </w:r>
      <w:r>
        <w:rPr>
          <w:i/>
          <w:lang w:val="en-US"/>
        </w:rPr>
        <w:sym w:font="Symbol" w:char="F0A5"/>
      </w:r>
      <w:r>
        <w:rPr>
          <w:lang w:val="en-US"/>
        </w:rPr>
        <w:t xml:space="preserve">  and assuming that the limit of the last term is 0, results in the following alternative form of (</w:t>
      </w:r>
      <w:r w:rsidR="002F69B7">
        <w:rPr>
          <w:lang w:val="en-US"/>
        </w:rPr>
        <w:t>A</w:t>
      </w:r>
      <w:r>
        <w:rPr>
          <w:lang w:val="en-US"/>
        </w:rPr>
        <w:t>8):</w:t>
      </w:r>
    </w:p>
    <w:p w:rsidR="002F69B7" w:rsidRDefault="002F69B7" w:rsidP="002F69B7">
      <w:pPr>
        <w:pStyle w:val="normals"/>
        <w:ind w:left="0" w:firstLine="0"/>
        <w:jc w:val="both"/>
        <w:rPr>
          <w:lang w:val="en-US"/>
        </w:rPr>
      </w:pPr>
    </w:p>
    <w:p w:rsidR="00D31CF2" w:rsidRDefault="00D31CF2" w:rsidP="002F69B7">
      <w:pPr>
        <w:pStyle w:val="normals"/>
        <w:ind w:left="0" w:firstLine="0"/>
        <w:jc w:val="both"/>
        <w:rPr>
          <w:lang w:val="en-US"/>
        </w:rPr>
      </w:pPr>
      <w:r>
        <w:rPr>
          <w:position w:val="-30"/>
          <w:lang w:val="en-US"/>
        </w:rPr>
        <w:object w:dxaOrig="4320" w:dyaOrig="700">
          <v:shape id="_x0000_i1067" type="#_x0000_t75" style="width:3in;height:35pt" o:ole="" fillcolor="window">
            <v:imagedata r:id="rId91" o:title=""/>
          </v:shape>
          <o:OLEObject Type="Embed" ProgID="Equation.3" ShapeID="_x0000_i1067" DrawAspect="Content" ObjectID="_1381729979" r:id="rId92"/>
        </w:object>
      </w:r>
      <w:r w:rsidR="002F69B7">
        <w:rPr>
          <w:lang w:val="en-US"/>
        </w:rPr>
        <w:tab/>
      </w:r>
      <w:r w:rsidR="002F69B7">
        <w:rPr>
          <w:lang w:val="en-US"/>
        </w:rPr>
        <w:tab/>
      </w:r>
      <w:r w:rsidR="002F69B7">
        <w:rPr>
          <w:lang w:val="en-US"/>
        </w:rPr>
        <w:tab/>
      </w:r>
      <w:r w:rsidR="002F69B7">
        <w:rPr>
          <w:lang w:val="en-US"/>
        </w:rPr>
        <w:tab/>
      </w:r>
      <w:r>
        <w:rPr>
          <w:lang w:val="en-US"/>
        </w:rPr>
        <w:t>(</w:t>
      </w:r>
      <w:r w:rsidR="002F69B7">
        <w:rPr>
          <w:lang w:val="en-US"/>
        </w:rPr>
        <w:t>A</w:t>
      </w:r>
      <w:r>
        <w:rPr>
          <w:lang w:val="en-US"/>
        </w:rPr>
        <w:t>9)</w:t>
      </w:r>
    </w:p>
    <w:p w:rsidR="00D31CF2" w:rsidRDefault="00D31CF2" w:rsidP="002F69B7">
      <w:pPr>
        <w:pStyle w:val="normals"/>
        <w:ind w:left="0" w:firstLine="0"/>
        <w:jc w:val="both"/>
        <w:rPr>
          <w:lang w:val="en-US"/>
        </w:rPr>
      </w:pPr>
      <w:r>
        <w:rPr>
          <w:lang w:val="en-US"/>
        </w:rPr>
        <w:t xml:space="preserve">Hence, if </w:t>
      </w:r>
      <w:r>
        <w:rPr>
          <w:i/>
          <w:lang w:val="en-US"/>
        </w:rPr>
        <w:t>q</w:t>
      </w:r>
      <w:r>
        <w:rPr>
          <w:i/>
          <w:vertAlign w:val="subscript"/>
          <w:lang w:val="en-US"/>
        </w:rPr>
        <w:t>t</w:t>
      </w:r>
      <w:r>
        <w:rPr>
          <w:lang w:val="en-US"/>
        </w:rPr>
        <w:t xml:space="preserve"> ~ </w:t>
      </w:r>
      <w:r>
        <w:rPr>
          <w:i/>
          <w:lang w:val="en-US"/>
        </w:rPr>
        <w:t>I</w:t>
      </w:r>
      <w:r>
        <w:rPr>
          <w:lang w:val="en-US"/>
        </w:rPr>
        <w:t xml:space="preserve">(1) then </w:t>
      </w:r>
      <w:r>
        <w:rPr>
          <w:i/>
          <w:lang w:val="en-US"/>
        </w:rPr>
        <w:sym w:font="Symbol" w:char="F044"/>
      </w:r>
      <w:r>
        <w:rPr>
          <w:i/>
          <w:lang w:val="en-US"/>
        </w:rPr>
        <w:t>q</w:t>
      </w:r>
      <w:r>
        <w:rPr>
          <w:i/>
          <w:vertAlign w:val="subscript"/>
          <w:lang w:val="en-US"/>
        </w:rPr>
        <w:t>t</w:t>
      </w:r>
      <w:r>
        <w:rPr>
          <w:i/>
          <w:lang w:val="en-US"/>
        </w:rPr>
        <w:t xml:space="preserve"> </w:t>
      </w:r>
      <w:r>
        <w:rPr>
          <w:lang w:val="en-US"/>
        </w:rPr>
        <w:t xml:space="preserve">~ </w:t>
      </w:r>
      <w:r>
        <w:rPr>
          <w:i/>
          <w:lang w:val="en-US"/>
        </w:rPr>
        <w:t>I</w:t>
      </w:r>
      <w:r>
        <w:rPr>
          <w:lang w:val="en-US"/>
        </w:rPr>
        <w:t xml:space="preserve">(0) and, assuming that </w:t>
      </w:r>
      <w:r>
        <w:rPr>
          <w:i/>
          <w:lang w:val="en-US"/>
        </w:rPr>
        <w:t>r</w:t>
      </w:r>
      <w:r>
        <w:rPr>
          <w:i/>
          <w:vertAlign w:val="subscript"/>
          <w:lang w:val="en-US"/>
        </w:rPr>
        <w:t>t</w:t>
      </w:r>
      <w:r>
        <w:rPr>
          <w:lang w:val="en-US"/>
        </w:rPr>
        <w:t xml:space="preserve"> ~ </w:t>
      </w:r>
      <w:r>
        <w:rPr>
          <w:i/>
          <w:lang w:val="en-US"/>
        </w:rPr>
        <w:t>I</w:t>
      </w:r>
      <w:r>
        <w:rPr>
          <w:lang w:val="en-US"/>
        </w:rPr>
        <w:t xml:space="preserve">(0) (recall that it is the real discount rate), then </w:t>
      </w:r>
      <w:r>
        <w:rPr>
          <w:i/>
          <w:lang w:val="en-US"/>
        </w:rPr>
        <w:t>pq</w:t>
      </w:r>
      <w:r>
        <w:rPr>
          <w:i/>
          <w:vertAlign w:val="subscript"/>
          <w:lang w:val="en-US"/>
        </w:rPr>
        <w:t>t</w:t>
      </w:r>
      <w:r>
        <w:rPr>
          <w:i/>
          <w:lang w:val="en-US"/>
        </w:rPr>
        <w:t xml:space="preserve"> </w:t>
      </w:r>
      <w:r>
        <w:rPr>
          <w:lang w:val="en-US"/>
        </w:rPr>
        <w:t xml:space="preserve">will be </w:t>
      </w:r>
      <w:r>
        <w:rPr>
          <w:i/>
          <w:lang w:val="en-US"/>
        </w:rPr>
        <w:t>I</w:t>
      </w:r>
      <w:r>
        <w:rPr>
          <w:lang w:val="en-US"/>
        </w:rPr>
        <w:t>(0) and we have the model linearized and expressed in terms of stationary variables.  Finally, taking conditional expectations of both sides:</w:t>
      </w:r>
    </w:p>
    <w:p w:rsidR="002F69B7" w:rsidRDefault="002F69B7" w:rsidP="002F69B7">
      <w:pPr>
        <w:pStyle w:val="normals"/>
        <w:ind w:left="0" w:firstLine="0"/>
        <w:jc w:val="both"/>
        <w:rPr>
          <w:lang w:val="en-US"/>
        </w:rPr>
      </w:pPr>
    </w:p>
    <w:p w:rsidR="00D31CF2" w:rsidRDefault="00D31CF2" w:rsidP="00D31CF2">
      <w:pPr>
        <w:pStyle w:val="normals"/>
        <w:spacing w:line="360" w:lineRule="auto"/>
        <w:ind w:left="0" w:firstLine="0"/>
        <w:jc w:val="both"/>
        <w:rPr>
          <w:lang w:val="en-US"/>
        </w:rPr>
      </w:pPr>
      <w:r w:rsidRPr="001E4007">
        <w:rPr>
          <w:position w:val="-30"/>
          <w:lang w:val="en-US"/>
        </w:rPr>
        <w:object w:dxaOrig="4900" w:dyaOrig="700">
          <v:shape id="_x0000_i1068" type="#_x0000_t75" style="width:244.9pt;height:35pt" o:ole="" fillcolor="window">
            <v:imagedata r:id="rId93" o:title=""/>
          </v:shape>
          <o:OLEObject Type="Embed" ProgID="Equation.3" ShapeID="_x0000_i1068" DrawAspect="Content" ObjectID="_1381729980" r:id="rId94"/>
        </w:object>
      </w:r>
      <w:r w:rsidR="002F69B7">
        <w:rPr>
          <w:lang w:val="en-US"/>
        </w:rPr>
        <w:tab/>
      </w:r>
      <w:r w:rsidR="002F69B7">
        <w:rPr>
          <w:lang w:val="en-US"/>
        </w:rPr>
        <w:tab/>
      </w:r>
      <w:r w:rsidR="002F69B7">
        <w:rPr>
          <w:lang w:val="en-US"/>
        </w:rPr>
        <w:tab/>
      </w:r>
      <w:r w:rsidR="002F69B7">
        <w:rPr>
          <w:lang w:val="en-US"/>
        </w:rPr>
        <w:tab/>
      </w:r>
      <w:r>
        <w:rPr>
          <w:lang w:val="en-US"/>
        </w:rPr>
        <w:t>(</w:t>
      </w:r>
      <w:r w:rsidR="002F69B7">
        <w:rPr>
          <w:lang w:val="en-US"/>
        </w:rPr>
        <w:t>A</w:t>
      </w:r>
      <w:r>
        <w:rPr>
          <w:lang w:val="en-US"/>
        </w:rPr>
        <w:t>10)</w:t>
      </w:r>
    </w:p>
    <w:p w:rsidR="00D31CF2" w:rsidRDefault="00D31CF2" w:rsidP="000D3D25">
      <w:pPr>
        <w:pStyle w:val="normals"/>
        <w:ind w:left="0" w:firstLine="0"/>
        <w:jc w:val="both"/>
        <w:rPr>
          <w:lang w:val="en-US"/>
        </w:rPr>
      </w:pPr>
      <w:r>
        <w:rPr>
          <w:lang w:val="en-US"/>
        </w:rPr>
        <w:t xml:space="preserve">where </w:t>
      </w:r>
      <w:r w:rsidRPr="001E4007">
        <w:rPr>
          <w:position w:val="-12"/>
          <w:lang w:val="en-US"/>
        </w:rPr>
        <w:object w:dxaOrig="320" w:dyaOrig="380">
          <v:shape id="_x0000_i1069" type="#_x0000_t75" style="width:16.25pt;height:18.75pt" o:ole="">
            <v:imagedata r:id="rId95" o:title=""/>
          </v:shape>
          <o:OLEObject Type="Embed" ProgID="Equation.3" ShapeID="_x0000_i1069" DrawAspect="Content" ObjectID="_1381729981" r:id="rId96"/>
        </w:object>
      </w:r>
      <w:r>
        <w:rPr>
          <w:lang w:val="en-US"/>
        </w:rPr>
        <w:t xml:space="preserve">are conditional expectations and we interpret </w:t>
      </w:r>
      <w:r w:rsidRPr="001E4007">
        <w:rPr>
          <w:position w:val="-14"/>
          <w:lang w:val="en-US"/>
        </w:rPr>
        <w:object w:dxaOrig="499" w:dyaOrig="380">
          <v:shape id="_x0000_i1070" type="#_x0000_t75" style="width:24.85pt;height:18.75pt" o:ole="">
            <v:imagedata r:id="rId97" o:title=""/>
          </v:shape>
          <o:OLEObject Type="Embed" ProgID="Equation.3" ShapeID="_x0000_i1070" DrawAspect="Content" ObjectID="_1381729982" r:id="rId98"/>
        </w:object>
      </w:r>
      <w:r>
        <w:rPr>
          <w:lang w:val="en-US"/>
        </w:rPr>
        <w:t xml:space="preserve">as investors’ required return.  </w:t>
      </w:r>
    </w:p>
    <w:p w:rsidR="00D31CF2" w:rsidRDefault="00D31CF2" w:rsidP="00E94797">
      <w:pPr>
        <w:pStyle w:val="normals"/>
        <w:ind w:left="0" w:firstLine="720"/>
        <w:jc w:val="both"/>
        <w:rPr>
          <w:lang w:val="en-US"/>
        </w:rPr>
      </w:pPr>
      <w:r>
        <w:rPr>
          <w:lang w:val="en-US"/>
        </w:rPr>
        <w:t>In order to use (</w:t>
      </w:r>
      <w:r w:rsidR="00EF5AE4">
        <w:rPr>
          <w:lang w:val="en-US"/>
        </w:rPr>
        <w:t>A</w:t>
      </w:r>
      <w:r>
        <w:rPr>
          <w:lang w:val="en-US"/>
        </w:rPr>
        <w:t xml:space="preserve">10) to generate a series for </w:t>
      </w:r>
      <w:r>
        <w:rPr>
          <w:i/>
          <w:lang w:val="en-US"/>
        </w:rPr>
        <w:t>pq*</w:t>
      </w:r>
      <w:r>
        <w:rPr>
          <w:i/>
          <w:vertAlign w:val="subscript"/>
          <w:lang w:val="en-US"/>
        </w:rPr>
        <w:t>t</w:t>
      </w:r>
      <w:r>
        <w:rPr>
          <w:i/>
          <w:lang w:val="en-US"/>
        </w:rPr>
        <w:t>,</w:t>
      </w:r>
      <w:r>
        <w:rPr>
          <w:lang w:val="en-US"/>
        </w:rPr>
        <w:t xml:space="preserve"> the price-income ratio implied by the model and from it the implied or fundamental house price, </w:t>
      </w:r>
      <w:r>
        <w:rPr>
          <w:i/>
          <w:lang w:val="en-US"/>
        </w:rPr>
        <w:t>p*</w:t>
      </w:r>
      <w:r>
        <w:rPr>
          <w:lang w:val="en-US"/>
        </w:rPr>
        <w:t>, we need to obtain empirical counterparts</w:t>
      </w:r>
      <w:r>
        <w:rPr>
          <w:i/>
          <w:lang w:val="en-US"/>
        </w:rPr>
        <w:t xml:space="preserve"> </w:t>
      </w:r>
      <w:r>
        <w:rPr>
          <w:lang w:val="en-US"/>
        </w:rPr>
        <w:t>to the terms on the right-hand side involving expectations.  For the first of these, the expectation of</w:t>
      </w:r>
      <w:r w:rsidR="00D62BF3">
        <w:rPr>
          <w:lang w:val="en-US"/>
        </w:rPr>
        <w:t xml:space="preserve"> disposable</w:t>
      </w:r>
      <w:r>
        <w:rPr>
          <w:lang w:val="en-US"/>
        </w:rPr>
        <w:t xml:space="preserve"> income growth, we </w:t>
      </w:r>
      <w:r w:rsidR="009615FA">
        <w:rPr>
          <w:lang w:val="en-US"/>
        </w:rPr>
        <w:t xml:space="preserve">incorporate </w:t>
      </w:r>
      <w:r w:rsidR="00D62BF3">
        <w:rPr>
          <w:lang w:val="en-US"/>
        </w:rPr>
        <w:t xml:space="preserve">disposable </w:t>
      </w:r>
      <w:r w:rsidR="009615FA">
        <w:rPr>
          <w:lang w:val="en-US"/>
        </w:rPr>
        <w:t xml:space="preserve">income growth into </w:t>
      </w:r>
      <w:r w:rsidR="0031530F">
        <w:rPr>
          <w:lang w:val="en-US"/>
        </w:rPr>
        <w:t xml:space="preserve">a </w:t>
      </w:r>
      <w:r w:rsidR="0031530F" w:rsidRPr="0031530F">
        <w:rPr>
          <w:i/>
          <w:lang w:val="en-US"/>
        </w:rPr>
        <w:t>3</w:t>
      </w:r>
      <w:r>
        <w:rPr>
          <w:i/>
          <w:lang w:val="en-US"/>
        </w:rPr>
        <w:t>-</w:t>
      </w:r>
      <w:r>
        <w:rPr>
          <w:lang w:val="en-US"/>
        </w:rPr>
        <w:t xml:space="preserve">variable VAR model </w:t>
      </w:r>
      <w:r w:rsidR="009615FA">
        <w:rPr>
          <w:lang w:val="en-US"/>
        </w:rPr>
        <w:t xml:space="preserve">(see below) </w:t>
      </w:r>
      <w:r>
        <w:rPr>
          <w:lang w:val="en-US"/>
        </w:rPr>
        <w:t>while for the second we assume a time-varying risk premium</w:t>
      </w:r>
      <w:r w:rsidR="00D62BF3">
        <w:rPr>
          <w:lang w:val="en-US"/>
        </w:rPr>
        <w:t xml:space="preserve">, which we also include in the </w:t>
      </w:r>
      <w:r w:rsidR="00467FE0">
        <w:rPr>
          <w:lang w:val="en-US"/>
        </w:rPr>
        <w:t xml:space="preserve">empirical </w:t>
      </w:r>
      <w:r w:rsidR="00D62BF3">
        <w:rPr>
          <w:lang w:val="en-US"/>
        </w:rPr>
        <w:t>VAR</w:t>
      </w:r>
      <w:r>
        <w:rPr>
          <w:lang w:val="en-US"/>
        </w:rPr>
        <w:t>.</w:t>
      </w:r>
      <w:r w:rsidR="00E94797">
        <w:rPr>
          <w:lang w:val="en-US"/>
        </w:rPr>
        <w:t xml:space="preserve"> </w:t>
      </w:r>
      <w:r w:rsidR="00FE7A12">
        <w:rPr>
          <w:lang w:val="en-US"/>
        </w:rPr>
        <w:t xml:space="preserve"> </w:t>
      </w:r>
      <w:r>
        <w:rPr>
          <w:lang w:val="en-US"/>
        </w:rPr>
        <w:t xml:space="preserve">Here we follow the work of Merton (1973, 1980) on the intertemporal CAPM, and model the time-varying risk premium as the product of the coefficient of relative risk aversion, </w:t>
      </w:r>
      <w:r>
        <w:rPr>
          <w:i/>
          <w:lang w:val="en-US"/>
        </w:rPr>
        <w:sym w:font="Symbol" w:char="F061"/>
      </w:r>
      <w:r>
        <w:rPr>
          <w:lang w:val="en-US"/>
        </w:rPr>
        <w:t xml:space="preserve">, and the expected variance of returns, </w:t>
      </w:r>
      <w:r w:rsidRPr="00410922">
        <w:rPr>
          <w:position w:val="-12"/>
          <w:lang w:val="en-US"/>
        </w:rPr>
        <w:object w:dxaOrig="600" w:dyaOrig="380">
          <v:shape id="_x0000_i1071" type="#_x0000_t75" style="width:29.9pt;height:18.75pt" o:ole="">
            <v:imagedata r:id="rId99" o:title=""/>
          </v:shape>
          <o:OLEObject Type="Embed" ProgID="Equation.3" ShapeID="_x0000_i1071" DrawAspect="Content" ObjectID="_1381729983" r:id="rId100"/>
        </w:object>
      </w:r>
      <w:r>
        <w:rPr>
          <w:lang w:val="en-US"/>
        </w:rPr>
        <w:t>.</w:t>
      </w:r>
      <w:r>
        <w:rPr>
          <w:rStyle w:val="FootnoteReference"/>
          <w:lang w:val="en-US"/>
        </w:rPr>
        <w:footnoteReference w:id="17"/>
      </w:r>
      <w:r>
        <w:rPr>
          <w:lang w:val="en-US"/>
        </w:rPr>
        <w:t xml:space="preserve">  The equation for the price-income ratio then becomes:</w:t>
      </w:r>
    </w:p>
    <w:p w:rsidR="000D3D25" w:rsidRDefault="000D3D25" w:rsidP="000D3D25">
      <w:pPr>
        <w:pStyle w:val="normals"/>
        <w:ind w:left="0" w:firstLine="567"/>
        <w:jc w:val="both"/>
        <w:rPr>
          <w:b/>
          <w:lang w:val="en-US"/>
        </w:rPr>
      </w:pPr>
    </w:p>
    <w:p w:rsidR="00D31CF2" w:rsidRDefault="00D31CF2" w:rsidP="00D31CF2">
      <w:pPr>
        <w:pStyle w:val="normals"/>
        <w:spacing w:line="480" w:lineRule="auto"/>
        <w:ind w:left="0" w:right="-154" w:firstLine="0"/>
        <w:jc w:val="both"/>
        <w:rPr>
          <w:lang w:val="en-US"/>
        </w:rPr>
      </w:pPr>
      <w:r w:rsidRPr="00410922">
        <w:rPr>
          <w:position w:val="-30"/>
          <w:lang w:val="en-US"/>
        </w:rPr>
        <w:object w:dxaOrig="5140" w:dyaOrig="700">
          <v:shape id="_x0000_i1072" type="#_x0000_t75" style="width:257.05pt;height:35pt" o:ole="" fillcolor="window">
            <v:imagedata r:id="rId101" o:title=""/>
          </v:shape>
          <o:OLEObject Type="Embed" ProgID="Equation.3" ShapeID="_x0000_i1072" DrawAspect="Content" ObjectID="_1381729984" r:id="rId102"/>
        </w:object>
      </w:r>
      <w:r>
        <w:rPr>
          <w:lang w:val="en-US"/>
        </w:rPr>
        <w:tab/>
      </w:r>
      <w:r>
        <w:rPr>
          <w:lang w:val="en-US"/>
        </w:rPr>
        <w:tab/>
      </w:r>
      <w:r>
        <w:rPr>
          <w:lang w:val="en-US"/>
        </w:rPr>
        <w:tab/>
        <w:t>(</w:t>
      </w:r>
      <w:r w:rsidR="00266D7F">
        <w:rPr>
          <w:lang w:val="en-US"/>
        </w:rPr>
        <w:t>A11</w:t>
      </w:r>
      <w:r>
        <w:rPr>
          <w:lang w:val="en-US"/>
        </w:rPr>
        <w:t xml:space="preserve">) </w:t>
      </w:r>
    </w:p>
    <w:p w:rsidR="00D31CF2" w:rsidRDefault="00D31CF2" w:rsidP="005412DB">
      <w:pPr>
        <w:pStyle w:val="normals"/>
        <w:ind w:left="0" w:firstLine="0"/>
        <w:jc w:val="both"/>
        <w:rPr>
          <w:lang w:val="en-US"/>
        </w:rPr>
      </w:pPr>
      <w:r>
        <w:rPr>
          <w:lang w:val="en-US"/>
        </w:rPr>
        <w:lastRenderedPageBreak/>
        <w:t xml:space="preserve">where </w:t>
      </w:r>
      <w:r>
        <w:rPr>
          <w:i/>
          <w:lang w:val="en-US"/>
        </w:rPr>
        <w:t>f</w:t>
      </w:r>
      <w:r>
        <w:rPr>
          <w:lang w:val="en-US"/>
        </w:rPr>
        <w:t xml:space="preserve"> is the constant real-risk free component of real required returns. </w:t>
      </w:r>
      <w:r w:rsidR="00225D83">
        <w:rPr>
          <w:lang w:val="en-US"/>
        </w:rPr>
        <w:t xml:space="preserve"> </w:t>
      </w:r>
      <w:r>
        <w:rPr>
          <w:lang w:val="en-US"/>
        </w:rPr>
        <w:t>In this case</w:t>
      </w:r>
      <w:r w:rsidR="00225D83">
        <w:rPr>
          <w:lang w:val="en-US"/>
        </w:rPr>
        <w:t>,</w:t>
      </w:r>
      <w:r>
        <w:rPr>
          <w:lang w:val="en-US"/>
        </w:rPr>
        <w:t xml:space="preserve"> we forecast both real income growth and the housing return variance using a 3-variable VAR in </w:t>
      </w:r>
      <w:r>
        <w:rPr>
          <w:b/>
          <w:i/>
          <w:lang w:val="en-US"/>
        </w:rPr>
        <w:t>z</w:t>
      </w:r>
      <w:r>
        <w:rPr>
          <w:i/>
          <w:vertAlign w:val="subscript"/>
          <w:lang w:val="en-US"/>
        </w:rPr>
        <w:t>t</w:t>
      </w:r>
      <w:r>
        <w:rPr>
          <w:i/>
          <w:lang w:val="en-US"/>
        </w:rPr>
        <w:t xml:space="preserve"> = (pq</w:t>
      </w:r>
      <w:r>
        <w:rPr>
          <w:i/>
          <w:vertAlign w:val="subscript"/>
          <w:lang w:val="en-US"/>
        </w:rPr>
        <w:t>t</w:t>
      </w:r>
      <w:r>
        <w:rPr>
          <w:i/>
          <w:lang w:val="en-US"/>
        </w:rPr>
        <w:t xml:space="preserve">, </w:t>
      </w:r>
      <w:r>
        <w:rPr>
          <w:i/>
          <w:lang w:val="en-US"/>
        </w:rPr>
        <w:sym w:font="Symbol" w:char="F044"/>
      </w:r>
      <w:r>
        <w:rPr>
          <w:i/>
          <w:lang w:val="en-US"/>
        </w:rPr>
        <w:t>q</w:t>
      </w:r>
      <w:r>
        <w:rPr>
          <w:i/>
          <w:vertAlign w:val="subscript"/>
          <w:lang w:val="en-US"/>
        </w:rPr>
        <w:t>t</w:t>
      </w:r>
      <w:r>
        <w:rPr>
          <w:i/>
          <w:lang w:val="en-US"/>
        </w:rPr>
        <w:t xml:space="preserve">, </w:t>
      </w:r>
      <w:r>
        <w:rPr>
          <w:i/>
          <w:lang w:val="en-US"/>
        </w:rPr>
        <w:sym w:font="Symbol" w:char="F073"/>
      </w:r>
      <w:r>
        <w:rPr>
          <w:i/>
          <w:vertAlign w:val="superscript"/>
          <w:lang w:val="en-US"/>
        </w:rPr>
        <w:t>2</w:t>
      </w:r>
      <w:r>
        <w:rPr>
          <w:i/>
          <w:vertAlign w:val="subscript"/>
          <w:lang w:val="en-US"/>
        </w:rPr>
        <w:t>t</w:t>
      </w:r>
      <w:r>
        <w:rPr>
          <w:i/>
          <w:lang w:val="en-US"/>
        </w:rPr>
        <w:t>)</w:t>
      </w:r>
      <w:r>
        <w:rPr>
          <w:i/>
          <w:lang w:val="en-US"/>
        </w:rPr>
        <w:sym w:font="Symbol" w:char="F0A2"/>
      </w:r>
      <w:r>
        <w:rPr>
          <w:lang w:val="en-US"/>
        </w:rPr>
        <w:t>.  The empirical VAR is written in compact form as:</w:t>
      </w:r>
    </w:p>
    <w:p w:rsidR="00D31CF2" w:rsidRDefault="00D31CF2" w:rsidP="00D31CF2">
      <w:pPr>
        <w:pStyle w:val="normals"/>
        <w:spacing w:line="480" w:lineRule="auto"/>
        <w:ind w:left="0" w:right="-154" w:firstLine="0"/>
        <w:jc w:val="both"/>
        <w:rPr>
          <w:lang w:val="en-US"/>
        </w:rPr>
      </w:pPr>
      <w:r>
        <w:rPr>
          <w:b/>
          <w:lang w:val="en-US"/>
        </w:rPr>
        <w:t>z</w:t>
      </w:r>
      <w:r>
        <w:rPr>
          <w:i/>
          <w:vertAlign w:val="subscript"/>
          <w:lang w:val="en-US"/>
        </w:rPr>
        <w:t>t+1</w:t>
      </w:r>
      <w:r>
        <w:rPr>
          <w:i/>
          <w:lang w:val="en-US"/>
        </w:rPr>
        <w:t xml:space="preserve"> = </w:t>
      </w:r>
      <w:r>
        <w:rPr>
          <w:b/>
          <w:lang w:val="en-US"/>
        </w:rPr>
        <w:t>A</w:t>
      </w:r>
      <w:r>
        <w:rPr>
          <w:b/>
          <w:i/>
          <w:lang w:val="en-US"/>
        </w:rPr>
        <w:t>z</w:t>
      </w:r>
      <w:r>
        <w:rPr>
          <w:i/>
          <w:vertAlign w:val="subscript"/>
          <w:lang w:val="en-US"/>
        </w:rPr>
        <w:t>t</w:t>
      </w:r>
      <w:r>
        <w:rPr>
          <w:i/>
          <w:lang w:val="en-US"/>
        </w:rPr>
        <w:t xml:space="preserve"> + </w:t>
      </w:r>
      <w:r>
        <w:rPr>
          <w:b/>
          <w:i/>
          <w:lang w:val="en-US"/>
        </w:rPr>
        <w:sym w:font="Symbol" w:char="F065"/>
      </w:r>
      <w:r>
        <w:rPr>
          <w:i/>
          <w:vertAlign w:val="subscript"/>
          <w:lang w:val="en-US"/>
        </w:rPr>
        <w:t>t+1</w:t>
      </w:r>
      <w:r>
        <w:rPr>
          <w:lang w:val="en-US"/>
        </w:rPr>
        <w:tab/>
      </w:r>
      <w:r>
        <w:rPr>
          <w:lang w:val="en-US"/>
        </w:rPr>
        <w:tab/>
      </w:r>
      <w:r>
        <w:rPr>
          <w:lang w:val="en-US"/>
        </w:rPr>
        <w:tab/>
      </w:r>
      <w:r>
        <w:rPr>
          <w:lang w:val="en-US"/>
        </w:rPr>
        <w:tab/>
      </w:r>
      <w:r>
        <w:rPr>
          <w:lang w:val="en-US"/>
        </w:rPr>
        <w:tab/>
      </w:r>
      <w:r>
        <w:rPr>
          <w:lang w:val="en-US"/>
        </w:rPr>
        <w:tab/>
      </w:r>
      <w:r>
        <w:rPr>
          <w:lang w:val="en-US"/>
        </w:rPr>
        <w:tab/>
      </w:r>
      <w:r>
        <w:rPr>
          <w:lang w:val="en-US"/>
        </w:rPr>
        <w:tab/>
        <w:t>(</w:t>
      </w:r>
      <w:r w:rsidR="00266D7F">
        <w:rPr>
          <w:lang w:val="en-US"/>
        </w:rPr>
        <w:t>A12</w:t>
      </w:r>
      <w:r>
        <w:rPr>
          <w:lang w:val="en-US"/>
        </w:rPr>
        <w:t>)</w:t>
      </w:r>
    </w:p>
    <w:p w:rsidR="00D31CF2" w:rsidRDefault="00D31CF2" w:rsidP="005412DB">
      <w:pPr>
        <w:pStyle w:val="BodyText3"/>
        <w:rPr>
          <w:b w:val="0"/>
          <w:lang w:val="en-US"/>
        </w:rPr>
      </w:pPr>
      <w:r>
        <w:rPr>
          <w:b w:val="0"/>
          <w:lang w:val="en-US"/>
        </w:rPr>
        <w:t xml:space="preserve">where </w:t>
      </w:r>
      <w:r>
        <w:rPr>
          <w:lang w:val="en-US"/>
        </w:rPr>
        <w:t>A</w:t>
      </w:r>
      <w:r>
        <w:rPr>
          <w:i/>
          <w:lang w:val="en-US"/>
        </w:rPr>
        <w:t xml:space="preserve"> </w:t>
      </w:r>
      <w:r>
        <w:rPr>
          <w:b w:val="0"/>
          <w:lang w:val="en-US"/>
        </w:rPr>
        <w:t xml:space="preserve">is a (3x3) matrix of coefficients and </w:t>
      </w:r>
      <w:r>
        <w:rPr>
          <w:i/>
          <w:lang w:val="en-US"/>
        </w:rPr>
        <w:sym w:font="Symbol" w:char="F065"/>
      </w:r>
      <w:r>
        <w:rPr>
          <w:b w:val="0"/>
          <w:lang w:val="en-US"/>
        </w:rPr>
        <w:t xml:space="preserve"> is a vector of error terms.  We assume a lag length of 1 for ease of exposition.  If, in the empirical application, a longer lag length is required, the companion form of the system can be used.</w:t>
      </w:r>
    </w:p>
    <w:p w:rsidR="00D31CF2" w:rsidRDefault="00D31CF2" w:rsidP="005412DB">
      <w:pPr>
        <w:pStyle w:val="BodyText3"/>
        <w:ind w:firstLine="720"/>
        <w:rPr>
          <w:b w:val="0"/>
          <w:lang w:val="en-US"/>
        </w:rPr>
      </w:pPr>
      <w:r>
        <w:rPr>
          <w:b w:val="0"/>
          <w:lang w:val="en-US"/>
        </w:rPr>
        <w:t xml:space="preserve">Forecasts of the variables of interest </w:t>
      </w:r>
      <w:r>
        <w:rPr>
          <w:b w:val="0"/>
          <w:i/>
          <w:lang w:val="en-US"/>
        </w:rPr>
        <w:t>j+1</w:t>
      </w:r>
      <w:r>
        <w:rPr>
          <w:b w:val="0"/>
          <w:lang w:val="en-US"/>
        </w:rPr>
        <w:t xml:space="preserve"> periods ahead are achieved by multiplying </w:t>
      </w:r>
      <w:r>
        <w:rPr>
          <w:lang w:val="en-US"/>
        </w:rPr>
        <w:t>z</w:t>
      </w:r>
      <w:r>
        <w:rPr>
          <w:b w:val="0"/>
          <w:i/>
          <w:vertAlign w:val="subscript"/>
          <w:lang w:val="en-US"/>
        </w:rPr>
        <w:t>t</w:t>
      </w:r>
      <w:r>
        <w:rPr>
          <w:b w:val="0"/>
          <w:lang w:val="en-US"/>
        </w:rPr>
        <w:t xml:space="preserve"> by the </w:t>
      </w:r>
      <w:r>
        <w:rPr>
          <w:b w:val="0"/>
          <w:i/>
          <w:lang w:val="en-US"/>
        </w:rPr>
        <w:t>j</w:t>
      </w:r>
      <w:r>
        <w:rPr>
          <w:b w:val="0"/>
          <w:vertAlign w:val="superscript"/>
          <w:lang w:val="en-US"/>
        </w:rPr>
        <w:t>th</w:t>
      </w:r>
      <w:r>
        <w:rPr>
          <w:b w:val="0"/>
          <w:i/>
          <w:lang w:val="en-US"/>
        </w:rPr>
        <w:t>+1</w:t>
      </w:r>
      <w:r>
        <w:rPr>
          <w:b w:val="0"/>
          <w:lang w:val="en-US"/>
        </w:rPr>
        <w:t xml:space="preserve"> power of the matrix </w:t>
      </w:r>
      <w:r>
        <w:rPr>
          <w:lang w:val="en-US"/>
        </w:rPr>
        <w:t>A</w:t>
      </w:r>
      <w:r>
        <w:rPr>
          <w:b w:val="0"/>
          <w:lang w:val="en-US"/>
        </w:rPr>
        <w:t>:</w:t>
      </w:r>
    </w:p>
    <w:p w:rsidR="005412DB" w:rsidRDefault="005412DB" w:rsidP="005412DB">
      <w:pPr>
        <w:pStyle w:val="BodyText3"/>
        <w:ind w:firstLine="720"/>
        <w:rPr>
          <w:lang w:val="en-US"/>
        </w:rPr>
      </w:pPr>
    </w:p>
    <w:p w:rsidR="00D31CF2" w:rsidRDefault="00D31CF2" w:rsidP="005412DB">
      <w:pPr>
        <w:pStyle w:val="BodyText3"/>
        <w:tabs>
          <w:tab w:val="left" w:pos="720"/>
        </w:tabs>
        <w:ind w:right="-154"/>
        <w:rPr>
          <w:b w:val="0"/>
          <w:lang w:val="en-US"/>
        </w:rPr>
      </w:pPr>
      <w:r>
        <w:rPr>
          <w:position w:val="-14"/>
          <w:lang w:val="en-US"/>
        </w:rPr>
        <w:object w:dxaOrig="1460" w:dyaOrig="400">
          <v:shape id="_x0000_i1073" type="#_x0000_t75" style="width:73pt;height:19.75pt" o:ole="" fillcolor="window">
            <v:imagedata r:id="rId103" o:title=""/>
          </v:shape>
          <o:OLEObject Type="Embed" ProgID="Equation.3" ShapeID="_x0000_i1073" DrawAspect="Content" ObjectID="_1381729985" r:id="rId104"/>
        </w:object>
      </w:r>
      <w:r>
        <w:rPr>
          <w:lang w:val="en-US"/>
        </w:rPr>
        <w:tab/>
      </w:r>
      <w:r>
        <w:rPr>
          <w:lang w:val="en-US"/>
        </w:rPr>
        <w:tab/>
      </w:r>
      <w:r>
        <w:rPr>
          <w:lang w:val="en-US"/>
        </w:rPr>
        <w:tab/>
      </w:r>
      <w:r>
        <w:rPr>
          <w:lang w:val="en-US"/>
        </w:rPr>
        <w:tab/>
      </w:r>
      <w:r>
        <w:rPr>
          <w:lang w:val="en-US"/>
        </w:rPr>
        <w:tab/>
      </w:r>
      <w:r>
        <w:rPr>
          <w:lang w:val="en-US"/>
        </w:rPr>
        <w:tab/>
      </w:r>
      <w:r>
        <w:rPr>
          <w:lang w:val="en-US"/>
        </w:rPr>
        <w:tab/>
      </w:r>
      <w:r>
        <w:rPr>
          <w:lang w:val="en-US"/>
        </w:rPr>
        <w:tab/>
      </w:r>
      <w:r>
        <w:rPr>
          <w:b w:val="0"/>
          <w:lang w:val="en-US"/>
        </w:rPr>
        <w:t>(</w:t>
      </w:r>
      <w:r w:rsidR="00266D7F">
        <w:rPr>
          <w:b w:val="0"/>
          <w:lang w:val="en-US"/>
        </w:rPr>
        <w:t>A13</w:t>
      </w:r>
      <w:r>
        <w:rPr>
          <w:b w:val="0"/>
          <w:lang w:val="en-US"/>
        </w:rPr>
        <w:t>)</w:t>
      </w:r>
    </w:p>
    <w:p w:rsidR="005412DB" w:rsidRDefault="005412DB" w:rsidP="005412DB">
      <w:pPr>
        <w:pStyle w:val="BodyText3"/>
        <w:numPr>
          <w:ilvl w:val="12"/>
          <w:numId w:val="0"/>
        </w:numPr>
        <w:ind w:right="-198"/>
        <w:rPr>
          <w:b w:val="0"/>
          <w:lang w:val="en-US"/>
        </w:rPr>
      </w:pPr>
    </w:p>
    <w:p w:rsidR="00D31CF2" w:rsidRDefault="00D31CF2" w:rsidP="005412DB">
      <w:pPr>
        <w:pStyle w:val="BodyText3"/>
        <w:numPr>
          <w:ilvl w:val="12"/>
          <w:numId w:val="0"/>
        </w:numPr>
        <w:ind w:right="-198"/>
        <w:rPr>
          <w:b w:val="0"/>
          <w:lang w:val="en-US"/>
        </w:rPr>
      </w:pPr>
      <w:r>
        <w:rPr>
          <w:b w:val="0"/>
          <w:lang w:val="en-US"/>
        </w:rPr>
        <w:t>The equation from which we compute the fundamental price-income ratio (and hence the fundamental house price) is:</w:t>
      </w:r>
    </w:p>
    <w:p w:rsidR="005412DB" w:rsidRDefault="005412DB" w:rsidP="005412DB">
      <w:pPr>
        <w:pStyle w:val="normals"/>
        <w:ind w:left="0" w:right="-154" w:firstLine="0"/>
        <w:jc w:val="both"/>
        <w:rPr>
          <w:lang w:val="en-US"/>
        </w:rPr>
      </w:pPr>
    </w:p>
    <w:p w:rsidR="00D31CF2" w:rsidRDefault="00D31CF2" w:rsidP="005412DB">
      <w:pPr>
        <w:pStyle w:val="normals"/>
        <w:ind w:left="0" w:right="-154" w:firstLine="0"/>
        <w:jc w:val="both"/>
        <w:rPr>
          <w:lang w:val="en-US"/>
        </w:rPr>
      </w:pPr>
      <w:r>
        <w:rPr>
          <w:position w:val="-28"/>
          <w:lang w:val="en-US"/>
        </w:rPr>
        <w:object w:dxaOrig="4060" w:dyaOrig="660">
          <v:shape id="_x0000_i1074" type="#_x0000_t75" style="width:202.8pt;height:32.95pt" o:ole="" fillcolor="window">
            <v:imagedata r:id="rId105" o:title=""/>
          </v:shape>
          <o:OLEObject Type="Embed" ProgID="Equation.3" ShapeID="_x0000_i1074" DrawAspect="Content" ObjectID="_1381729986" r:id="rId106"/>
        </w:object>
      </w:r>
      <w:r>
        <w:rPr>
          <w:lang w:val="en-US"/>
        </w:rPr>
        <w:tab/>
      </w:r>
      <w:r>
        <w:rPr>
          <w:lang w:val="en-US"/>
        </w:rPr>
        <w:tab/>
      </w:r>
      <w:r>
        <w:rPr>
          <w:lang w:val="en-US"/>
        </w:rPr>
        <w:tab/>
      </w:r>
      <w:r>
        <w:rPr>
          <w:lang w:val="en-US"/>
        </w:rPr>
        <w:tab/>
      </w:r>
      <w:r>
        <w:rPr>
          <w:lang w:val="en-US"/>
        </w:rPr>
        <w:tab/>
        <w:t>(</w:t>
      </w:r>
      <w:r w:rsidR="00266D7F">
        <w:rPr>
          <w:lang w:val="en-US"/>
        </w:rPr>
        <w:t>A14</w:t>
      </w:r>
      <w:r>
        <w:rPr>
          <w:lang w:val="en-US"/>
        </w:rPr>
        <w:t>)</w:t>
      </w:r>
    </w:p>
    <w:p w:rsidR="005412DB" w:rsidRDefault="005412DB" w:rsidP="005412DB">
      <w:pPr>
        <w:pStyle w:val="normals"/>
        <w:ind w:left="0" w:firstLine="0"/>
        <w:jc w:val="both"/>
        <w:rPr>
          <w:lang w:val="en-US"/>
        </w:rPr>
      </w:pPr>
    </w:p>
    <w:p w:rsidR="00D31CF2" w:rsidRDefault="00D31CF2" w:rsidP="005412DB">
      <w:pPr>
        <w:pStyle w:val="normals"/>
        <w:ind w:left="0" w:firstLine="0"/>
        <w:jc w:val="both"/>
        <w:rPr>
          <w:lang w:val="en-US"/>
        </w:rPr>
      </w:pPr>
      <w:r>
        <w:rPr>
          <w:lang w:val="en-US"/>
        </w:rPr>
        <w:t xml:space="preserve">where </w:t>
      </w:r>
      <w:r w:rsidRPr="00FC6FCD">
        <w:rPr>
          <w:position w:val="-14"/>
          <w:lang w:val="en-US"/>
        </w:rPr>
        <w:object w:dxaOrig="2120" w:dyaOrig="400">
          <v:shape id="_x0000_i1075" type="#_x0000_t75" style="width:105.95pt;height:19.75pt" o:ole="" fillcolor="window">
            <v:imagedata r:id="rId107" o:title=""/>
          </v:shape>
          <o:OLEObject Type="Embed" ProgID="Equation.3" ShapeID="_x0000_i1075" DrawAspect="Content" ObjectID="_1381729987" r:id="rId108"/>
        </w:object>
      </w:r>
      <w:r>
        <w:rPr>
          <w:lang w:val="en-US"/>
        </w:rPr>
        <w:t xml:space="preserve"> and </w:t>
      </w:r>
      <w:r w:rsidRPr="00FC6FCD">
        <w:rPr>
          <w:position w:val="-14"/>
          <w:lang w:val="en-US"/>
        </w:rPr>
        <w:object w:dxaOrig="2020" w:dyaOrig="400">
          <v:shape id="_x0000_i1076" type="#_x0000_t75" style="width:100.9pt;height:19.75pt" o:ole="" fillcolor="window">
            <v:imagedata r:id="rId109" o:title=""/>
          </v:shape>
          <o:OLEObject Type="Embed" ProgID="Equation.3" ShapeID="_x0000_i1076" DrawAspect="Content" ObjectID="_1381729988" r:id="rId110"/>
        </w:object>
      </w:r>
      <w:r>
        <w:rPr>
          <w:lang w:val="en-US"/>
        </w:rPr>
        <w:t xml:space="preserve"> where </w:t>
      </w:r>
      <w:r>
        <w:rPr>
          <w:position w:val="-10"/>
          <w:lang w:val="en-US"/>
        </w:rPr>
        <w:object w:dxaOrig="320" w:dyaOrig="360">
          <v:shape id="_x0000_i1077" type="#_x0000_t75" style="width:16.25pt;height:18.25pt" o:ole="" fillcolor="window">
            <v:imagedata r:id="rId111" o:title=""/>
          </v:shape>
          <o:OLEObject Type="Embed" ProgID="Equation.3" ShapeID="_x0000_i1077" DrawAspect="Content" ObjectID="_1381729989" r:id="rId112"/>
        </w:object>
      </w:r>
      <w:r w:rsidR="00225D83">
        <w:rPr>
          <w:lang w:val="en-US"/>
        </w:rPr>
        <w:t xml:space="preserve"> </w:t>
      </w:r>
      <w:r>
        <w:rPr>
          <w:lang w:val="en-US"/>
        </w:rPr>
        <w:t xml:space="preserve">and </w:t>
      </w:r>
      <w:r>
        <w:rPr>
          <w:position w:val="-12"/>
          <w:lang w:val="en-US"/>
        </w:rPr>
        <w:object w:dxaOrig="320" w:dyaOrig="380">
          <v:shape id="_x0000_i1078" type="#_x0000_t75" style="width:16.25pt;height:18.75pt" o:ole="" fillcolor="window">
            <v:imagedata r:id="rId113" o:title=""/>
          </v:shape>
          <o:OLEObject Type="Embed" ProgID="Equation.3" ShapeID="_x0000_i1078" DrawAspect="Content" ObjectID="_1381729990" r:id="rId114"/>
        </w:object>
      </w:r>
      <w:r w:rsidR="00225D83">
        <w:rPr>
          <w:lang w:val="en-US"/>
        </w:rPr>
        <w:t xml:space="preserve"> </w:t>
      </w:r>
      <w:r>
        <w:rPr>
          <w:lang w:val="en-US"/>
        </w:rPr>
        <w:t>are, respectively, the second and third unit vectors. Hence the fundamental value of the price-income ratio is generated by a combination of the present value model and the forecasting assumptions.</w:t>
      </w:r>
    </w:p>
    <w:p w:rsidR="00D31CF2" w:rsidRDefault="00D31CF2" w:rsidP="005412DB">
      <w:pPr>
        <w:pStyle w:val="normals"/>
        <w:ind w:left="0" w:firstLine="720"/>
        <w:jc w:val="both"/>
        <w:rPr>
          <w:lang w:val="en-US"/>
        </w:rPr>
      </w:pPr>
      <w:r>
        <w:rPr>
          <w:lang w:val="en-US"/>
        </w:rPr>
        <w:t xml:space="preserve">Therefore </w:t>
      </w:r>
      <w:r>
        <w:rPr>
          <w:i/>
          <w:lang w:val="en-US"/>
        </w:rPr>
        <w:t>pq</w:t>
      </w:r>
      <w:r>
        <w:rPr>
          <w:i/>
          <w:vertAlign w:val="subscript"/>
          <w:lang w:val="en-US"/>
        </w:rPr>
        <w:t>t</w:t>
      </w:r>
      <w:r>
        <w:rPr>
          <w:i/>
          <w:lang w:val="en-US"/>
        </w:rPr>
        <w:t>*</w:t>
      </w:r>
      <w:r>
        <w:rPr>
          <w:lang w:val="en-US"/>
        </w:rPr>
        <w:t xml:space="preserve"> provides a measure of the fundamental house price series once we have estimated the VAR coefficients and the constants </w:t>
      </w:r>
      <w:r>
        <w:rPr>
          <w:i/>
          <w:lang w:val="en-US"/>
        </w:rPr>
        <w:sym w:font="Symbol" w:char="F06D"/>
      </w:r>
      <w:r>
        <w:rPr>
          <w:lang w:val="en-US"/>
        </w:rPr>
        <w:t xml:space="preserve">, </w:t>
      </w:r>
      <w:r>
        <w:rPr>
          <w:i/>
          <w:lang w:val="en-US"/>
        </w:rPr>
        <w:t xml:space="preserve">k, </w:t>
      </w:r>
      <w:r>
        <w:rPr>
          <w:lang w:val="en-US"/>
        </w:rPr>
        <w:t xml:space="preserve">and </w:t>
      </w:r>
      <w:r w:rsidRPr="00FC6FCD">
        <w:rPr>
          <w:i/>
          <w:lang w:val="en-US"/>
        </w:rPr>
        <w:t>f</w:t>
      </w:r>
      <w:r>
        <w:rPr>
          <w:lang w:val="en-US"/>
        </w:rPr>
        <w:t>.  Given that we wish to generate a series for real house prices that is warranted by (predicted) income growth, we generate (the log of) fundamental house prices as:</w:t>
      </w:r>
    </w:p>
    <w:p w:rsidR="005412DB" w:rsidRDefault="005412DB" w:rsidP="005412DB">
      <w:pPr>
        <w:pStyle w:val="normals"/>
        <w:ind w:left="0" w:firstLine="720"/>
        <w:jc w:val="both"/>
        <w:rPr>
          <w:lang w:val="en-US"/>
        </w:rPr>
      </w:pPr>
    </w:p>
    <w:p w:rsidR="00D31CF2" w:rsidRDefault="00D31CF2" w:rsidP="005412DB">
      <w:pPr>
        <w:pStyle w:val="normals"/>
        <w:ind w:left="0" w:right="-154" w:firstLine="0"/>
        <w:jc w:val="both"/>
        <w:rPr>
          <w:lang w:val="en-US"/>
        </w:rPr>
      </w:pPr>
      <w:r>
        <w:rPr>
          <w:i/>
          <w:lang w:val="en-US"/>
        </w:rPr>
        <w:t>p</w:t>
      </w:r>
      <w:r>
        <w:rPr>
          <w:i/>
          <w:vertAlign w:val="subscript"/>
          <w:lang w:val="en-US"/>
        </w:rPr>
        <w:t>t</w:t>
      </w:r>
      <w:r>
        <w:rPr>
          <w:i/>
          <w:lang w:val="en-US"/>
        </w:rPr>
        <w:t>* = pq</w:t>
      </w:r>
      <w:r>
        <w:rPr>
          <w:i/>
          <w:vertAlign w:val="subscript"/>
          <w:lang w:val="en-US"/>
        </w:rPr>
        <w:t>t</w:t>
      </w:r>
      <w:r>
        <w:rPr>
          <w:i/>
          <w:lang w:val="en-US"/>
        </w:rPr>
        <w:t>* + q</w:t>
      </w:r>
      <w:r>
        <w:rPr>
          <w:i/>
          <w:vertAlign w:val="subscript"/>
          <w:lang w:val="en-US"/>
        </w:rPr>
        <w:t>t</w:t>
      </w:r>
      <w:r>
        <w:rPr>
          <w:lang w:val="en-US"/>
        </w:rPr>
        <w:tab/>
      </w:r>
      <w:r>
        <w:rPr>
          <w:lang w:val="en-US"/>
        </w:rPr>
        <w:tab/>
      </w:r>
      <w:r>
        <w:rPr>
          <w:lang w:val="en-US"/>
        </w:rPr>
        <w:tab/>
      </w:r>
      <w:r>
        <w:rPr>
          <w:lang w:val="en-US"/>
        </w:rPr>
        <w:tab/>
      </w:r>
      <w:r>
        <w:rPr>
          <w:lang w:val="en-US"/>
        </w:rPr>
        <w:tab/>
      </w:r>
      <w:r>
        <w:rPr>
          <w:lang w:val="en-US"/>
        </w:rPr>
        <w:tab/>
      </w:r>
      <w:r>
        <w:rPr>
          <w:lang w:val="en-US"/>
        </w:rPr>
        <w:tab/>
      </w:r>
      <w:r>
        <w:rPr>
          <w:lang w:val="en-US"/>
        </w:rPr>
        <w:tab/>
      </w:r>
      <w:r>
        <w:rPr>
          <w:lang w:val="en-US"/>
        </w:rPr>
        <w:tab/>
        <w:t>(</w:t>
      </w:r>
      <w:r w:rsidR="00266D7F">
        <w:rPr>
          <w:lang w:val="en-US"/>
        </w:rPr>
        <w:t>A15</w:t>
      </w:r>
      <w:r>
        <w:rPr>
          <w:lang w:val="en-US"/>
        </w:rPr>
        <w:t>)</w:t>
      </w:r>
    </w:p>
    <w:p w:rsidR="005412DB" w:rsidRDefault="005412DB" w:rsidP="005412DB">
      <w:pPr>
        <w:pStyle w:val="normals"/>
        <w:ind w:left="0" w:firstLine="720"/>
        <w:jc w:val="both"/>
        <w:rPr>
          <w:lang w:val="en-US"/>
        </w:rPr>
      </w:pPr>
    </w:p>
    <w:p w:rsidR="00D31CF2" w:rsidRDefault="00D31CF2" w:rsidP="005412DB">
      <w:pPr>
        <w:pStyle w:val="normals"/>
        <w:ind w:left="0" w:firstLine="720"/>
        <w:jc w:val="both"/>
        <w:rPr>
          <w:lang w:val="en-US"/>
        </w:rPr>
      </w:pPr>
      <w:r>
        <w:rPr>
          <w:lang w:val="en-US"/>
        </w:rPr>
        <w:t xml:space="preserve">Equation </w:t>
      </w:r>
      <w:r w:rsidRPr="00283523">
        <w:rPr>
          <w:lang w:val="en-US"/>
        </w:rPr>
        <w:t>(</w:t>
      </w:r>
      <w:r w:rsidR="00F64E41" w:rsidRPr="00283523">
        <w:rPr>
          <w:lang w:val="en-US"/>
        </w:rPr>
        <w:t>A</w:t>
      </w:r>
      <w:r w:rsidRPr="00283523">
        <w:rPr>
          <w:lang w:val="en-US"/>
        </w:rPr>
        <w:t>1</w:t>
      </w:r>
      <w:r w:rsidR="00225D83">
        <w:rPr>
          <w:lang w:val="en-US"/>
        </w:rPr>
        <w:t>4</w:t>
      </w:r>
      <w:r w:rsidRPr="00283523">
        <w:rPr>
          <w:lang w:val="en-US"/>
        </w:rPr>
        <w:t>)</w:t>
      </w:r>
      <w:r>
        <w:rPr>
          <w:lang w:val="en-US"/>
        </w:rPr>
        <w:t xml:space="preserve"> can also be used to derive tests of how far actual house prices deviate from their fundamental value as warranted by real disposable income.  This is simply a test of </w:t>
      </w:r>
      <w:r>
        <w:rPr>
          <w:i/>
          <w:lang w:val="en-US"/>
        </w:rPr>
        <w:t>pq</w:t>
      </w:r>
      <w:r>
        <w:rPr>
          <w:i/>
          <w:vertAlign w:val="subscript"/>
          <w:lang w:val="en-US"/>
        </w:rPr>
        <w:t>t</w:t>
      </w:r>
      <w:r>
        <w:rPr>
          <w:i/>
          <w:lang w:val="en-US"/>
        </w:rPr>
        <w:t xml:space="preserve"> = pq</w:t>
      </w:r>
      <w:r>
        <w:rPr>
          <w:i/>
          <w:vertAlign w:val="subscript"/>
          <w:lang w:val="en-US"/>
        </w:rPr>
        <w:t>t</w:t>
      </w:r>
      <w:r>
        <w:rPr>
          <w:i/>
          <w:lang w:val="en-US"/>
        </w:rPr>
        <w:t>*</w:t>
      </w:r>
      <w:r>
        <w:rPr>
          <w:lang w:val="en-US"/>
        </w:rPr>
        <w:t xml:space="preserve"> for all </w:t>
      </w:r>
      <w:r w:rsidRPr="00225D83">
        <w:rPr>
          <w:i/>
          <w:lang w:val="en-US"/>
        </w:rPr>
        <w:t>t</w:t>
      </w:r>
      <w:r>
        <w:rPr>
          <w:lang w:val="en-US"/>
        </w:rPr>
        <w:t xml:space="preserve">.  Since </w:t>
      </w:r>
      <w:r>
        <w:rPr>
          <w:position w:val="-12"/>
          <w:lang w:val="en-US"/>
        </w:rPr>
        <w:object w:dxaOrig="1120" w:dyaOrig="380">
          <v:shape id="_x0000_i1079" type="#_x0000_t75" style="width:55.75pt;height:18.75pt" o:ole="" fillcolor="window">
            <v:imagedata r:id="rId115" o:title=""/>
          </v:shape>
          <o:OLEObject Type="Embed" ProgID="Equation.3" ShapeID="_x0000_i1079" DrawAspect="Content" ObjectID="_1381729991" r:id="rId116"/>
        </w:object>
      </w:r>
      <w:r>
        <w:rPr>
          <w:lang w:val="en-US"/>
        </w:rPr>
        <w:t xml:space="preserve">where </w:t>
      </w:r>
      <w:r>
        <w:rPr>
          <w:position w:val="-10"/>
          <w:lang w:val="en-US"/>
        </w:rPr>
        <w:object w:dxaOrig="320" w:dyaOrig="360">
          <v:shape id="_x0000_i1080" type="#_x0000_t75" style="width:16.25pt;height:18.25pt" o:ole="" fillcolor="window">
            <v:imagedata r:id="rId117" o:title=""/>
          </v:shape>
          <o:OLEObject Type="Embed" ProgID="Equation.3" ShapeID="_x0000_i1080" DrawAspect="Content" ObjectID="_1381729992" r:id="rId118"/>
        </w:object>
      </w:r>
      <w:r>
        <w:rPr>
          <w:lang w:val="en-US"/>
        </w:rPr>
        <w:t xml:space="preserve"> is the first unit vector, we can write </w:t>
      </w:r>
      <w:r w:rsidRPr="00283523">
        <w:rPr>
          <w:lang w:val="en-US"/>
        </w:rPr>
        <w:t>(</w:t>
      </w:r>
      <w:r w:rsidR="00F64E41" w:rsidRPr="00283523">
        <w:rPr>
          <w:lang w:val="en-US"/>
        </w:rPr>
        <w:t>A</w:t>
      </w:r>
      <w:r w:rsidRPr="00283523">
        <w:rPr>
          <w:lang w:val="en-US"/>
        </w:rPr>
        <w:t>1</w:t>
      </w:r>
      <w:r w:rsidR="00225D83">
        <w:rPr>
          <w:lang w:val="en-US"/>
        </w:rPr>
        <w:t>4</w:t>
      </w:r>
      <w:r w:rsidRPr="00283523">
        <w:rPr>
          <w:lang w:val="en-US"/>
        </w:rPr>
        <w:t>),</w:t>
      </w:r>
      <w:r>
        <w:rPr>
          <w:lang w:val="en-US"/>
        </w:rPr>
        <w:t xml:space="preserve"> after transforming the variables to deviations from their means to remove the constant term, as:</w:t>
      </w:r>
    </w:p>
    <w:p w:rsidR="005412DB" w:rsidRDefault="005412DB" w:rsidP="005412DB">
      <w:pPr>
        <w:pStyle w:val="normals"/>
        <w:ind w:left="0" w:firstLine="720"/>
        <w:jc w:val="both"/>
        <w:rPr>
          <w:lang w:val="en-US"/>
        </w:rPr>
      </w:pPr>
    </w:p>
    <w:p w:rsidR="00D31CF2" w:rsidRDefault="00D31CF2" w:rsidP="005412DB">
      <w:pPr>
        <w:pStyle w:val="normals"/>
        <w:ind w:left="0" w:right="-154" w:firstLine="0"/>
        <w:jc w:val="both"/>
        <w:rPr>
          <w:b/>
          <w:vertAlign w:val="subscript"/>
          <w:lang w:val="en-US"/>
        </w:rPr>
      </w:pPr>
      <w:r>
        <w:rPr>
          <w:b/>
          <w:lang w:val="en-US"/>
        </w:rPr>
        <w:t>e</w:t>
      </w:r>
      <w:r>
        <w:rPr>
          <w:b/>
          <w:vertAlign w:val="subscript"/>
          <w:lang w:val="en-US"/>
        </w:rPr>
        <w:t>1</w:t>
      </w:r>
      <w:r>
        <w:rPr>
          <w:lang w:val="en-US"/>
        </w:rPr>
        <w:sym w:font="Symbol" w:char="F0A2"/>
      </w:r>
      <w:r>
        <w:rPr>
          <w:lang w:val="en-US"/>
        </w:rPr>
        <w:t>(</w:t>
      </w:r>
      <w:r>
        <w:rPr>
          <w:b/>
          <w:lang w:val="en-US"/>
        </w:rPr>
        <w:t>I</w:t>
      </w:r>
      <w:r>
        <w:rPr>
          <w:lang w:val="en-US"/>
        </w:rPr>
        <w:t>-</w:t>
      </w:r>
      <w:r>
        <w:rPr>
          <w:i/>
          <w:lang w:val="en-US"/>
        </w:rPr>
        <w:sym w:font="Symbol" w:char="F06D"/>
      </w:r>
      <w:r>
        <w:rPr>
          <w:b/>
          <w:lang w:val="en-US"/>
        </w:rPr>
        <w:t>A</w:t>
      </w:r>
      <w:r>
        <w:rPr>
          <w:lang w:val="en-US"/>
        </w:rPr>
        <w:t>) = (</w:t>
      </w:r>
      <w:r>
        <w:rPr>
          <w:b/>
          <w:lang w:val="en-US"/>
        </w:rPr>
        <w:t>e</w:t>
      </w:r>
      <w:r>
        <w:rPr>
          <w:b/>
          <w:vertAlign w:val="subscript"/>
          <w:lang w:val="en-US"/>
        </w:rPr>
        <w:t>2</w:t>
      </w:r>
      <w:r>
        <w:rPr>
          <w:lang w:val="en-US"/>
        </w:rPr>
        <w:sym w:font="Symbol" w:char="F0A2"/>
      </w:r>
      <w:r>
        <w:rPr>
          <w:lang w:val="en-US"/>
        </w:rPr>
        <w:t xml:space="preserve"> - </w:t>
      </w:r>
      <w:r>
        <w:rPr>
          <w:b/>
          <w:lang w:val="en-US"/>
        </w:rPr>
        <w:t>e</w:t>
      </w:r>
      <w:r>
        <w:rPr>
          <w:b/>
          <w:vertAlign w:val="subscript"/>
          <w:lang w:val="en-US"/>
        </w:rPr>
        <w:t>3</w:t>
      </w:r>
      <w:r>
        <w:rPr>
          <w:lang w:val="en-US"/>
        </w:rPr>
        <w:sym w:font="Symbol" w:char="F0A2"/>
      </w:r>
      <w:r>
        <w:rPr>
          <w:lang w:val="en-US"/>
        </w:rPr>
        <w:t>)</w:t>
      </w:r>
      <w:r>
        <w:rPr>
          <w:b/>
          <w:lang w:val="en-US"/>
        </w:rPr>
        <w:t xml:space="preserve"> A</w:t>
      </w:r>
      <w:r>
        <w:rPr>
          <w:vertAlign w:val="subscript"/>
          <w:lang w:val="en-US"/>
        </w:rPr>
        <w:tab/>
      </w:r>
      <w:r>
        <w:rPr>
          <w:vertAlign w:val="subscript"/>
          <w:lang w:val="en-US"/>
        </w:rPr>
        <w:tab/>
      </w:r>
      <w:r>
        <w:rPr>
          <w:vertAlign w:val="subscript"/>
          <w:lang w:val="en-US"/>
        </w:rPr>
        <w:tab/>
      </w:r>
      <w:r>
        <w:rPr>
          <w:vertAlign w:val="subscript"/>
          <w:lang w:val="en-US"/>
        </w:rPr>
        <w:tab/>
      </w:r>
      <w:r>
        <w:rPr>
          <w:vertAlign w:val="subscript"/>
          <w:lang w:val="en-US"/>
        </w:rPr>
        <w:tab/>
      </w:r>
      <w:r>
        <w:rPr>
          <w:vertAlign w:val="subscript"/>
          <w:lang w:val="en-US"/>
        </w:rPr>
        <w:tab/>
      </w:r>
      <w:r>
        <w:rPr>
          <w:vertAlign w:val="subscript"/>
          <w:lang w:val="en-US"/>
        </w:rPr>
        <w:tab/>
      </w:r>
      <w:r>
        <w:rPr>
          <w:lang w:val="en-US"/>
        </w:rPr>
        <w:t>(</w:t>
      </w:r>
      <w:r w:rsidR="00266D7F">
        <w:rPr>
          <w:lang w:val="en-US"/>
        </w:rPr>
        <w:t>A16</w:t>
      </w:r>
      <w:r>
        <w:rPr>
          <w:lang w:val="en-US"/>
        </w:rPr>
        <w:t>)</w:t>
      </w:r>
    </w:p>
    <w:p w:rsidR="005412DB" w:rsidRDefault="005412DB" w:rsidP="005412DB">
      <w:pPr>
        <w:pStyle w:val="normals"/>
        <w:ind w:left="0" w:firstLine="720"/>
        <w:jc w:val="both"/>
        <w:rPr>
          <w:lang w:val="en-US"/>
        </w:rPr>
      </w:pPr>
    </w:p>
    <w:p w:rsidR="00D31CF2" w:rsidRDefault="00D31CF2" w:rsidP="005412DB">
      <w:pPr>
        <w:pStyle w:val="normals"/>
        <w:ind w:left="0" w:firstLine="720"/>
        <w:jc w:val="both"/>
        <w:rPr>
          <w:lang w:val="en-US"/>
        </w:rPr>
      </w:pPr>
      <w:r>
        <w:rPr>
          <w:lang w:val="en-US"/>
        </w:rPr>
        <w:t xml:space="preserve">This restriction is linear in the elements of </w:t>
      </w:r>
      <w:r>
        <w:rPr>
          <w:b/>
          <w:lang w:val="en-US"/>
        </w:rPr>
        <w:t xml:space="preserve">A </w:t>
      </w:r>
      <w:r>
        <w:rPr>
          <w:lang w:val="en-US"/>
        </w:rPr>
        <w:t>(denoted a) and in the present case simply amounts to:</w:t>
      </w:r>
    </w:p>
    <w:p w:rsidR="005412DB" w:rsidRDefault="005412DB" w:rsidP="005412DB">
      <w:pPr>
        <w:pStyle w:val="normals"/>
        <w:ind w:left="0" w:firstLine="720"/>
        <w:jc w:val="both"/>
        <w:rPr>
          <w:lang w:val="en-US"/>
        </w:rPr>
      </w:pPr>
    </w:p>
    <w:p w:rsidR="00D31CF2" w:rsidRDefault="00D31CF2" w:rsidP="005412DB">
      <w:pPr>
        <w:pStyle w:val="BodyText3"/>
        <w:numPr>
          <w:ilvl w:val="12"/>
          <w:numId w:val="0"/>
        </w:numPr>
        <w:rPr>
          <w:b w:val="0"/>
          <w:i/>
          <w:lang w:val="en-US"/>
        </w:rPr>
      </w:pPr>
      <w:bookmarkStart w:id="1" w:name="OLE_LINK2"/>
      <w:r>
        <w:rPr>
          <w:b w:val="0"/>
          <w:i/>
          <w:lang w:val="en-US"/>
        </w:rPr>
        <w:sym w:font="Symbol" w:char="F06D"/>
      </w:r>
      <w:bookmarkEnd w:id="1"/>
      <w:r>
        <w:rPr>
          <w:b w:val="0"/>
          <w:lang w:val="en-US"/>
        </w:rPr>
        <w:t>a</w:t>
      </w:r>
      <w:r>
        <w:rPr>
          <w:b w:val="0"/>
          <w:i/>
          <w:vertAlign w:val="subscript"/>
          <w:lang w:val="en-US"/>
        </w:rPr>
        <w:t>11</w:t>
      </w:r>
      <w:r>
        <w:rPr>
          <w:b w:val="0"/>
          <w:i/>
          <w:lang w:val="en-US"/>
        </w:rPr>
        <w:t xml:space="preserve">  - </w:t>
      </w:r>
      <w:r>
        <w:rPr>
          <w:b w:val="0"/>
          <w:i/>
          <w:lang w:val="en-US"/>
        </w:rPr>
        <w:sym w:font="Symbol" w:char="0061"/>
      </w:r>
      <w:r>
        <w:rPr>
          <w:b w:val="0"/>
          <w:lang w:val="en-US"/>
        </w:rPr>
        <w:t>a</w:t>
      </w:r>
      <w:r>
        <w:rPr>
          <w:b w:val="0"/>
          <w:i/>
          <w:vertAlign w:val="subscript"/>
          <w:lang w:val="en-US"/>
        </w:rPr>
        <w:t xml:space="preserve">31 </w:t>
      </w:r>
      <w:r>
        <w:rPr>
          <w:b w:val="0"/>
          <w:i/>
          <w:lang w:val="en-US"/>
        </w:rPr>
        <w:t xml:space="preserve">+   </w:t>
      </w:r>
      <w:r>
        <w:rPr>
          <w:b w:val="0"/>
          <w:lang w:val="en-US"/>
        </w:rPr>
        <w:t>a</w:t>
      </w:r>
      <w:r>
        <w:rPr>
          <w:b w:val="0"/>
          <w:i/>
          <w:vertAlign w:val="subscript"/>
          <w:lang w:val="en-US"/>
        </w:rPr>
        <w:t xml:space="preserve">21   </w:t>
      </w:r>
      <w:r>
        <w:rPr>
          <w:b w:val="0"/>
          <w:i/>
          <w:lang w:val="en-US"/>
        </w:rPr>
        <w:t xml:space="preserve"> </w:t>
      </w:r>
      <w:r>
        <w:rPr>
          <w:b w:val="0"/>
          <w:lang w:val="en-US"/>
        </w:rPr>
        <w:t>= 1;</w:t>
      </w:r>
    </w:p>
    <w:p w:rsidR="00D31CF2" w:rsidRDefault="00D31CF2" w:rsidP="005412DB">
      <w:pPr>
        <w:pStyle w:val="BodyText3"/>
        <w:numPr>
          <w:ilvl w:val="12"/>
          <w:numId w:val="0"/>
        </w:numPr>
        <w:ind w:right="-334"/>
        <w:rPr>
          <w:b w:val="0"/>
          <w:lang w:val="en-US"/>
        </w:rPr>
      </w:pPr>
      <w:r>
        <w:rPr>
          <w:b w:val="0"/>
          <w:i/>
          <w:lang w:val="en-US"/>
        </w:rPr>
        <w:sym w:font="Symbol" w:char="0061"/>
      </w:r>
      <w:r>
        <w:rPr>
          <w:b w:val="0"/>
          <w:lang w:val="en-US"/>
        </w:rPr>
        <w:t>a</w:t>
      </w:r>
      <w:r>
        <w:rPr>
          <w:b w:val="0"/>
          <w:i/>
          <w:vertAlign w:val="subscript"/>
          <w:lang w:val="en-US"/>
        </w:rPr>
        <w:t xml:space="preserve">32  </w:t>
      </w:r>
      <w:r>
        <w:rPr>
          <w:b w:val="0"/>
          <w:i/>
          <w:lang w:val="en-US"/>
        </w:rPr>
        <w:t xml:space="preserve">-   </w:t>
      </w:r>
      <w:r>
        <w:rPr>
          <w:b w:val="0"/>
          <w:lang w:val="en-US"/>
        </w:rPr>
        <w:t>a</w:t>
      </w:r>
      <w:r>
        <w:rPr>
          <w:b w:val="0"/>
          <w:i/>
          <w:vertAlign w:val="subscript"/>
          <w:lang w:val="en-US"/>
        </w:rPr>
        <w:t xml:space="preserve">22   </w:t>
      </w:r>
      <w:r>
        <w:rPr>
          <w:b w:val="0"/>
          <w:i/>
          <w:lang w:val="en-US"/>
        </w:rPr>
        <w:t xml:space="preserve">+ </w:t>
      </w:r>
      <w:r>
        <w:rPr>
          <w:b w:val="0"/>
          <w:i/>
          <w:lang w:val="en-US"/>
        </w:rPr>
        <w:sym w:font="Symbol" w:char="F06D"/>
      </w:r>
      <w:r>
        <w:rPr>
          <w:b w:val="0"/>
          <w:lang w:val="en-US"/>
        </w:rPr>
        <w:t>a</w:t>
      </w:r>
      <w:r>
        <w:rPr>
          <w:b w:val="0"/>
          <w:i/>
          <w:vertAlign w:val="subscript"/>
          <w:lang w:val="en-US"/>
        </w:rPr>
        <w:t>12</w:t>
      </w:r>
      <w:r>
        <w:rPr>
          <w:b w:val="0"/>
          <w:lang w:val="en-US"/>
        </w:rPr>
        <w:t xml:space="preserve">  = 0;</w:t>
      </w:r>
      <w:r>
        <w:rPr>
          <w:b w:val="0"/>
          <w:lang w:val="en-US"/>
        </w:rPr>
        <w:tab/>
      </w:r>
      <w:r>
        <w:rPr>
          <w:b w:val="0"/>
          <w:lang w:val="en-US"/>
        </w:rPr>
        <w:tab/>
      </w:r>
      <w:r>
        <w:rPr>
          <w:b w:val="0"/>
          <w:lang w:val="en-US"/>
        </w:rPr>
        <w:tab/>
      </w:r>
      <w:r>
        <w:rPr>
          <w:b w:val="0"/>
          <w:lang w:val="en-US"/>
        </w:rPr>
        <w:tab/>
      </w:r>
      <w:r>
        <w:rPr>
          <w:b w:val="0"/>
          <w:lang w:val="en-US"/>
        </w:rPr>
        <w:tab/>
      </w:r>
      <w:r>
        <w:rPr>
          <w:b w:val="0"/>
          <w:lang w:val="en-US"/>
        </w:rPr>
        <w:tab/>
      </w:r>
      <w:r>
        <w:rPr>
          <w:b w:val="0"/>
          <w:lang w:val="en-US"/>
        </w:rPr>
        <w:tab/>
        <w:t>(</w:t>
      </w:r>
      <w:r w:rsidR="00266D7F">
        <w:rPr>
          <w:b w:val="0"/>
          <w:lang w:val="en-US"/>
        </w:rPr>
        <w:t>A17</w:t>
      </w:r>
      <w:r>
        <w:rPr>
          <w:b w:val="0"/>
          <w:lang w:val="en-US"/>
        </w:rPr>
        <w:t>)</w:t>
      </w:r>
    </w:p>
    <w:p w:rsidR="00D31CF2" w:rsidRDefault="00D31CF2" w:rsidP="005412DB">
      <w:pPr>
        <w:pStyle w:val="BodyText3"/>
        <w:numPr>
          <w:ilvl w:val="12"/>
          <w:numId w:val="0"/>
        </w:numPr>
        <w:rPr>
          <w:b w:val="0"/>
          <w:lang w:val="en-US"/>
        </w:rPr>
      </w:pPr>
      <w:r>
        <w:rPr>
          <w:b w:val="0"/>
          <w:i/>
          <w:lang w:val="en-US"/>
        </w:rPr>
        <w:sym w:font="Symbol" w:char="0061"/>
      </w:r>
      <w:r>
        <w:rPr>
          <w:b w:val="0"/>
          <w:lang w:val="en-US"/>
        </w:rPr>
        <w:t>a</w:t>
      </w:r>
      <w:r>
        <w:rPr>
          <w:b w:val="0"/>
          <w:i/>
          <w:vertAlign w:val="subscript"/>
          <w:lang w:val="en-US"/>
        </w:rPr>
        <w:t xml:space="preserve">33  </w:t>
      </w:r>
      <w:r>
        <w:rPr>
          <w:b w:val="0"/>
          <w:i/>
          <w:lang w:val="en-US"/>
        </w:rPr>
        <w:t xml:space="preserve">-   </w:t>
      </w:r>
      <w:r>
        <w:rPr>
          <w:b w:val="0"/>
          <w:lang w:val="en-US"/>
        </w:rPr>
        <w:t>a</w:t>
      </w:r>
      <w:r>
        <w:rPr>
          <w:b w:val="0"/>
          <w:i/>
          <w:vertAlign w:val="subscript"/>
          <w:lang w:val="en-US"/>
        </w:rPr>
        <w:t xml:space="preserve">22   </w:t>
      </w:r>
      <w:r>
        <w:rPr>
          <w:b w:val="0"/>
          <w:i/>
          <w:lang w:val="en-US"/>
        </w:rPr>
        <w:t xml:space="preserve">+ </w:t>
      </w:r>
      <w:r>
        <w:rPr>
          <w:b w:val="0"/>
          <w:i/>
          <w:lang w:val="en-US"/>
        </w:rPr>
        <w:sym w:font="Symbol" w:char="F06D"/>
      </w:r>
      <w:r>
        <w:rPr>
          <w:b w:val="0"/>
          <w:lang w:val="en-US"/>
        </w:rPr>
        <w:t>a</w:t>
      </w:r>
      <w:r>
        <w:rPr>
          <w:b w:val="0"/>
          <w:i/>
          <w:vertAlign w:val="subscript"/>
          <w:lang w:val="en-US"/>
        </w:rPr>
        <w:t>13</w:t>
      </w:r>
      <w:r>
        <w:rPr>
          <w:b w:val="0"/>
          <w:i/>
          <w:lang w:val="en-US"/>
        </w:rPr>
        <w:t xml:space="preserve"> </w:t>
      </w:r>
      <w:r>
        <w:rPr>
          <w:b w:val="0"/>
          <w:lang w:val="en-US"/>
        </w:rPr>
        <w:t xml:space="preserve"> = 0.</w:t>
      </w:r>
    </w:p>
    <w:p w:rsidR="00D31CF2" w:rsidRDefault="00D31CF2" w:rsidP="005412DB">
      <w:pPr>
        <w:pStyle w:val="normals"/>
        <w:ind w:left="0" w:firstLine="0"/>
        <w:jc w:val="both"/>
        <w:rPr>
          <w:lang w:val="en-US"/>
        </w:rPr>
      </w:pPr>
    </w:p>
    <w:p w:rsidR="00D31CF2" w:rsidRDefault="00D31CF2" w:rsidP="005412DB">
      <w:pPr>
        <w:pStyle w:val="normals"/>
        <w:ind w:left="0" w:firstLine="0"/>
        <w:jc w:val="both"/>
        <w:rPr>
          <w:lang w:val="en-US"/>
        </w:rPr>
      </w:pPr>
      <w:r>
        <w:rPr>
          <w:lang w:val="en-US"/>
        </w:rPr>
        <w:t xml:space="preserve">and can be tested with a standard Wald test which is asymptotically </w:t>
      </w:r>
      <w:r>
        <w:rPr>
          <w:i/>
          <w:lang w:val="en-US"/>
        </w:rPr>
        <w:sym w:font="Symbol" w:char="F063"/>
      </w:r>
      <w:r>
        <w:rPr>
          <w:vertAlign w:val="superscript"/>
          <w:lang w:val="en-US"/>
        </w:rPr>
        <w:t>2</w:t>
      </w:r>
      <w:r>
        <w:rPr>
          <w:lang w:val="en-US"/>
        </w:rPr>
        <w:t xml:space="preserve">–distributed with 3 degrees of freedom. </w:t>
      </w:r>
    </w:p>
    <w:p w:rsidR="00BE60B6" w:rsidRDefault="00BE60B6" w:rsidP="008D6E1E">
      <w:pPr>
        <w:jc w:val="both"/>
        <w:rPr>
          <w:lang w:val="en-US"/>
        </w:rPr>
      </w:pPr>
      <w:r>
        <w:rPr>
          <w:lang w:val="en-US"/>
        </w:rPr>
        <w:br w:type="page"/>
      </w:r>
      <w:r>
        <w:rPr>
          <w:lang w:val="en-US"/>
        </w:rPr>
        <w:lastRenderedPageBreak/>
        <w:t>Table 1</w:t>
      </w:r>
    </w:p>
    <w:p w:rsidR="00BE60B6" w:rsidRDefault="00BE60B6">
      <w:pPr>
        <w:jc w:val="center"/>
        <w:rPr>
          <w:lang w:val="en-US"/>
        </w:rPr>
      </w:pPr>
      <w:r>
        <w:rPr>
          <w:lang w:val="en-US"/>
        </w:rPr>
        <w:t>Descriptive Statistics</w:t>
      </w:r>
    </w:p>
    <w:p w:rsidR="00BE60B6" w:rsidRDefault="00BE60B6">
      <w:pPr>
        <w:jc w:val="center"/>
        <w:rPr>
          <w:i/>
          <w:lang w:val="en-US"/>
        </w:rPr>
      </w:pPr>
    </w:p>
    <w:tbl>
      <w:tblPr>
        <w:tblW w:w="0" w:type="auto"/>
        <w:jc w:val="center"/>
        <w:tblInd w:w="-6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2025"/>
        <w:gridCol w:w="1420"/>
        <w:gridCol w:w="1420"/>
        <w:gridCol w:w="1420"/>
        <w:gridCol w:w="1421"/>
      </w:tblGrid>
      <w:tr w:rsidR="005A1071">
        <w:tblPrEx>
          <w:tblCellMar>
            <w:top w:w="0" w:type="dxa"/>
            <w:bottom w:w="0" w:type="dxa"/>
          </w:tblCellMar>
        </w:tblPrEx>
        <w:trPr>
          <w:jc w:val="center"/>
        </w:trPr>
        <w:tc>
          <w:tcPr>
            <w:tcW w:w="2025" w:type="dxa"/>
          </w:tcPr>
          <w:p w:rsidR="005A1071" w:rsidRPr="005A1071" w:rsidRDefault="005A1071">
            <w:pPr>
              <w:jc w:val="center"/>
              <w:rPr>
                <w:i/>
                <w:lang w:val="en-US"/>
              </w:rPr>
            </w:pPr>
          </w:p>
        </w:tc>
        <w:tc>
          <w:tcPr>
            <w:tcW w:w="1420" w:type="dxa"/>
          </w:tcPr>
          <w:p w:rsidR="005A1071" w:rsidRDefault="005A1071">
            <w:pPr>
              <w:jc w:val="center"/>
              <w:rPr>
                <w:i/>
                <w:lang w:val="en-US"/>
              </w:rPr>
            </w:pPr>
            <w:r>
              <w:rPr>
                <w:i/>
                <w:lang w:val="en-US"/>
              </w:rPr>
              <w:t>Mean</w:t>
            </w:r>
          </w:p>
        </w:tc>
        <w:tc>
          <w:tcPr>
            <w:tcW w:w="1420" w:type="dxa"/>
          </w:tcPr>
          <w:p w:rsidR="005A1071" w:rsidRDefault="005A1071">
            <w:pPr>
              <w:jc w:val="center"/>
              <w:rPr>
                <w:i/>
                <w:lang w:val="en-US"/>
              </w:rPr>
            </w:pPr>
            <w:r>
              <w:rPr>
                <w:i/>
                <w:lang w:val="en-US"/>
              </w:rPr>
              <w:t>Standard Deviation</w:t>
            </w:r>
          </w:p>
        </w:tc>
        <w:tc>
          <w:tcPr>
            <w:tcW w:w="1420" w:type="dxa"/>
          </w:tcPr>
          <w:p w:rsidR="005A1071" w:rsidRDefault="005A1071">
            <w:pPr>
              <w:jc w:val="center"/>
              <w:rPr>
                <w:i/>
                <w:lang w:val="en-US"/>
              </w:rPr>
            </w:pPr>
            <w:r>
              <w:rPr>
                <w:i/>
                <w:lang w:val="en-US"/>
              </w:rPr>
              <w:t>Jarque-Bera</w:t>
            </w:r>
          </w:p>
          <w:p w:rsidR="005A1071" w:rsidRDefault="005A1071">
            <w:pPr>
              <w:jc w:val="center"/>
              <w:rPr>
                <w:i/>
                <w:lang w:val="en-US"/>
              </w:rPr>
            </w:pPr>
            <w:r>
              <w:rPr>
                <w:i/>
                <w:lang w:val="en-US"/>
              </w:rPr>
              <w:t>(J-B)</w:t>
            </w:r>
          </w:p>
        </w:tc>
        <w:tc>
          <w:tcPr>
            <w:tcW w:w="1421" w:type="dxa"/>
          </w:tcPr>
          <w:p w:rsidR="005A1071" w:rsidRDefault="005A1071">
            <w:pPr>
              <w:jc w:val="both"/>
              <w:rPr>
                <w:i/>
                <w:sz w:val="20"/>
                <w:lang w:val="en-US"/>
              </w:rPr>
            </w:pPr>
            <w:r>
              <w:rPr>
                <w:i/>
                <w:sz w:val="20"/>
                <w:lang w:val="en-US"/>
              </w:rPr>
              <w:t>Unit Root Test</w:t>
            </w:r>
          </w:p>
          <w:p w:rsidR="005A1071" w:rsidRDefault="005A1071">
            <w:pPr>
              <w:jc w:val="both"/>
              <w:rPr>
                <w:i/>
                <w:sz w:val="20"/>
                <w:lang w:val="en-US"/>
              </w:rPr>
            </w:pPr>
            <w:r>
              <w:rPr>
                <w:i/>
                <w:sz w:val="20"/>
                <w:lang w:val="en-US"/>
              </w:rPr>
              <w:t>(DF-GLS)</w:t>
            </w:r>
          </w:p>
        </w:tc>
      </w:tr>
      <w:tr w:rsidR="005A1071">
        <w:tblPrEx>
          <w:tblCellMar>
            <w:top w:w="0" w:type="dxa"/>
            <w:bottom w:w="0" w:type="dxa"/>
          </w:tblCellMar>
        </w:tblPrEx>
        <w:trPr>
          <w:jc w:val="center"/>
        </w:trPr>
        <w:tc>
          <w:tcPr>
            <w:tcW w:w="2025" w:type="dxa"/>
          </w:tcPr>
          <w:p w:rsidR="005A1071" w:rsidRPr="002107A0" w:rsidRDefault="005A1071">
            <w:pPr>
              <w:jc w:val="center"/>
              <w:rPr>
                <w:i/>
                <w:color w:val="000000"/>
                <w:vertAlign w:val="subscript"/>
                <w:lang w:val="en-US"/>
              </w:rPr>
            </w:pPr>
            <w:r w:rsidRPr="002107A0">
              <w:rPr>
                <w:i/>
                <w:color w:val="000000"/>
                <w:lang w:val="en-US"/>
              </w:rPr>
              <w:t>r</w:t>
            </w:r>
            <w:r w:rsidRPr="002107A0">
              <w:rPr>
                <w:i/>
                <w:color w:val="000000"/>
                <w:vertAlign w:val="subscript"/>
                <w:lang w:val="en-US"/>
              </w:rPr>
              <w:t>hp,t</w:t>
            </w:r>
          </w:p>
          <w:p w:rsidR="005A1071" w:rsidRPr="002107A0" w:rsidRDefault="005A1071">
            <w:pPr>
              <w:jc w:val="center"/>
              <w:rPr>
                <w:lang w:val="en-US"/>
              </w:rPr>
            </w:pPr>
            <w:r w:rsidRPr="002107A0">
              <w:rPr>
                <w:i/>
                <w:color w:val="000000"/>
                <w:lang w:val="en-US"/>
              </w:rPr>
              <w:t>(housing returns)</w:t>
            </w:r>
          </w:p>
        </w:tc>
        <w:tc>
          <w:tcPr>
            <w:tcW w:w="1420" w:type="dxa"/>
          </w:tcPr>
          <w:p w:rsidR="005A1071" w:rsidRDefault="005A1071">
            <w:pPr>
              <w:jc w:val="center"/>
              <w:rPr>
                <w:lang w:val="en-US"/>
              </w:rPr>
            </w:pPr>
            <w:r>
              <w:rPr>
                <w:lang w:val="en-US"/>
              </w:rPr>
              <w:t>0.007</w:t>
            </w:r>
          </w:p>
        </w:tc>
        <w:tc>
          <w:tcPr>
            <w:tcW w:w="1420" w:type="dxa"/>
          </w:tcPr>
          <w:p w:rsidR="005A1071" w:rsidRDefault="005A1071">
            <w:pPr>
              <w:jc w:val="center"/>
              <w:rPr>
                <w:lang w:val="en-US"/>
              </w:rPr>
            </w:pPr>
            <w:r>
              <w:rPr>
                <w:lang w:val="en-US"/>
              </w:rPr>
              <w:t>0.024</w:t>
            </w:r>
          </w:p>
        </w:tc>
        <w:tc>
          <w:tcPr>
            <w:tcW w:w="1420" w:type="dxa"/>
          </w:tcPr>
          <w:p w:rsidR="005A1071" w:rsidRDefault="005A1071">
            <w:pPr>
              <w:jc w:val="center"/>
              <w:rPr>
                <w:lang w:val="en-US"/>
              </w:rPr>
            </w:pPr>
            <w:r>
              <w:rPr>
                <w:lang w:val="en-US"/>
              </w:rPr>
              <w:t>3.864</w:t>
            </w:r>
          </w:p>
          <w:p w:rsidR="005A1071" w:rsidRDefault="005A1071">
            <w:pPr>
              <w:jc w:val="center"/>
              <w:rPr>
                <w:lang w:val="en-US"/>
              </w:rPr>
            </w:pPr>
            <w:r>
              <w:rPr>
                <w:lang w:val="en-US"/>
              </w:rPr>
              <w:t>(0.145)</w:t>
            </w:r>
          </w:p>
        </w:tc>
        <w:tc>
          <w:tcPr>
            <w:tcW w:w="1421" w:type="dxa"/>
          </w:tcPr>
          <w:p w:rsidR="005A1071" w:rsidRDefault="005A1071">
            <w:pPr>
              <w:jc w:val="center"/>
              <w:rPr>
                <w:lang w:val="en-US"/>
              </w:rPr>
            </w:pPr>
            <w:r>
              <w:rPr>
                <w:lang w:val="en-US"/>
              </w:rPr>
              <w:t>-4.606</w:t>
            </w:r>
            <w:r w:rsidR="000F086C">
              <w:rPr>
                <w:lang w:val="en-US"/>
              </w:rPr>
              <w:t>***</w:t>
            </w:r>
          </w:p>
          <w:p w:rsidR="005A1071" w:rsidRDefault="005A1071">
            <w:pPr>
              <w:jc w:val="center"/>
              <w:rPr>
                <w:lang w:val="en-US"/>
              </w:rPr>
            </w:pPr>
            <w:r>
              <w:rPr>
                <w:lang w:val="en-US"/>
              </w:rPr>
              <w:t>(constant)</w:t>
            </w:r>
          </w:p>
        </w:tc>
      </w:tr>
      <w:tr w:rsidR="005A1071">
        <w:tblPrEx>
          <w:tblCellMar>
            <w:top w:w="0" w:type="dxa"/>
            <w:bottom w:w="0" w:type="dxa"/>
          </w:tblCellMar>
        </w:tblPrEx>
        <w:trPr>
          <w:jc w:val="center"/>
        </w:trPr>
        <w:tc>
          <w:tcPr>
            <w:tcW w:w="2025" w:type="dxa"/>
          </w:tcPr>
          <w:p w:rsidR="005A1071" w:rsidRPr="002107A0" w:rsidRDefault="005A1071">
            <w:pPr>
              <w:jc w:val="center"/>
              <w:rPr>
                <w:i/>
                <w:color w:val="000000"/>
                <w:vertAlign w:val="subscript"/>
                <w:lang w:val="en-US"/>
              </w:rPr>
            </w:pPr>
            <w:r w:rsidRPr="002107A0">
              <w:rPr>
                <w:i/>
                <w:color w:val="000000"/>
                <w:lang w:val="en-US"/>
              </w:rPr>
              <w:t>r</w:t>
            </w:r>
            <w:r w:rsidRPr="002107A0">
              <w:rPr>
                <w:i/>
                <w:color w:val="000000"/>
                <w:vertAlign w:val="subscript"/>
                <w:lang w:val="en-US"/>
              </w:rPr>
              <w:t>f,t</w:t>
            </w:r>
          </w:p>
          <w:p w:rsidR="005A1071" w:rsidRPr="002107A0" w:rsidRDefault="005A1071">
            <w:pPr>
              <w:jc w:val="center"/>
              <w:rPr>
                <w:lang w:val="en-US"/>
              </w:rPr>
            </w:pPr>
            <w:r w:rsidRPr="002107A0">
              <w:rPr>
                <w:i/>
                <w:color w:val="000000"/>
                <w:lang w:val="en-US"/>
              </w:rPr>
              <w:t>(risk-free rate of return)</w:t>
            </w:r>
          </w:p>
        </w:tc>
        <w:tc>
          <w:tcPr>
            <w:tcW w:w="1420" w:type="dxa"/>
          </w:tcPr>
          <w:p w:rsidR="005A1071" w:rsidRDefault="005A1071">
            <w:pPr>
              <w:jc w:val="center"/>
              <w:rPr>
                <w:lang w:val="en-US"/>
              </w:rPr>
            </w:pPr>
            <w:r>
              <w:rPr>
                <w:lang w:val="en-US"/>
              </w:rPr>
              <w:t>0.004</w:t>
            </w:r>
          </w:p>
        </w:tc>
        <w:tc>
          <w:tcPr>
            <w:tcW w:w="1420" w:type="dxa"/>
          </w:tcPr>
          <w:p w:rsidR="005A1071" w:rsidRDefault="005A1071">
            <w:pPr>
              <w:jc w:val="center"/>
              <w:rPr>
                <w:lang w:val="en-US"/>
              </w:rPr>
            </w:pPr>
            <w:r>
              <w:rPr>
                <w:lang w:val="en-US"/>
              </w:rPr>
              <w:t>0.056</w:t>
            </w:r>
          </w:p>
        </w:tc>
        <w:tc>
          <w:tcPr>
            <w:tcW w:w="1420" w:type="dxa"/>
          </w:tcPr>
          <w:p w:rsidR="005A1071" w:rsidRDefault="005A1071">
            <w:pPr>
              <w:jc w:val="center"/>
              <w:rPr>
                <w:lang w:val="en-US"/>
              </w:rPr>
            </w:pPr>
            <w:r>
              <w:rPr>
                <w:lang w:val="en-US"/>
              </w:rPr>
              <w:t>365.395</w:t>
            </w:r>
          </w:p>
          <w:p w:rsidR="005A1071" w:rsidRDefault="005A1071">
            <w:pPr>
              <w:jc w:val="center"/>
              <w:rPr>
                <w:lang w:val="en-US"/>
              </w:rPr>
            </w:pPr>
            <w:r>
              <w:rPr>
                <w:lang w:val="en-US"/>
              </w:rPr>
              <w:t>(0.000)</w:t>
            </w:r>
          </w:p>
        </w:tc>
        <w:tc>
          <w:tcPr>
            <w:tcW w:w="1421" w:type="dxa"/>
          </w:tcPr>
          <w:p w:rsidR="005A1071" w:rsidRDefault="005A1071">
            <w:pPr>
              <w:jc w:val="center"/>
              <w:rPr>
                <w:lang w:val="en-US"/>
              </w:rPr>
            </w:pPr>
            <w:r>
              <w:rPr>
                <w:lang w:val="en-US"/>
              </w:rPr>
              <w:t>-9.982</w:t>
            </w:r>
            <w:r w:rsidR="000F086C">
              <w:rPr>
                <w:lang w:val="en-US"/>
              </w:rPr>
              <w:t>***</w:t>
            </w:r>
          </w:p>
          <w:p w:rsidR="005A1071" w:rsidRDefault="005A1071">
            <w:pPr>
              <w:jc w:val="center"/>
              <w:rPr>
                <w:lang w:val="en-US"/>
              </w:rPr>
            </w:pPr>
            <w:r>
              <w:rPr>
                <w:lang w:val="en-US"/>
              </w:rPr>
              <w:t>(constant)</w:t>
            </w:r>
          </w:p>
        </w:tc>
      </w:tr>
      <w:tr w:rsidR="005A1071">
        <w:tblPrEx>
          <w:tblCellMar>
            <w:top w:w="0" w:type="dxa"/>
            <w:bottom w:w="0" w:type="dxa"/>
          </w:tblCellMar>
        </w:tblPrEx>
        <w:trPr>
          <w:jc w:val="center"/>
        </w:trPr>
        <w:tc>
          <w:tcPr>
            <w:tcW w:w="2025" w:type="dxa"/>
          </w:tcPr>
          <w:p w:rsidR="005A1071" w:rsidRPr="002107A0" w:rsidRDefault="005A1071">
            <w:pPr>
              <w:jc w:val="center"/>
              <w:rPr>
                <w:i/>
                <w:vertAlign w:val="subscript"/>
                <w:lang w:val="en-US"/>
              </w:rPr>
            </w:pPr>
            <w:r w:rsidRPr="002107A0">
              <w:rPr>
                <w:i/>
                <w:lang w:val="en-US"/>
              </w:rPr>
              <w:t>pq</w:t>
            </w:r>
            <w:r w:rsidRPr="002107A0">
              <w:rPr>
                <w:i/>
                <w:vertAlign w:val="subscript"/>
                <w:lang w:val="en-US"/>
              </w:rPr>
              <w:t>di</w:t>
            </w:r>
            <w:r w:rsidR="002107A0" w:rsidRPr="002107A0">
              <w:rPr>
                <w:i/>
                <w:vertAlign w:val="subscript"/>
                <w:lang w:val="en-US"/>
              </w:rPr>
              <w:t>,t</w:t>
            </w:r>
          </w:p>
          <w:p w:rsidR="005A1071" w:rsidRPr="002107A0" w:rsidRDefault="005A1071">
            <w:pPr>
              <w:jc w:val="center"/>
              <w:rPr>
                <w:lang w:val="en-US"/>
              </w:rPr>
            </w:pPr>
            <w:r w:rsidRPr="002107A0">
              <w:rPr>
                <w:i/>
                <w:lang w:val="en-US"/>
              </w:rPr>
              <w:t>(price-income ratio)</w:t>
            </w:r>
          </w:p>
        </w:tc>
        <w:tc>
          <w:tcPr>
            <w:tcW w:w="1420" w:type="dxa"/>
          </w:tcPr>
          <w:p w:rsidR="005A1071" w:rsidRDefault="005A1071">
            <w:pPr>
              <w:jc w:val="center"/>
              <w:rPr>
                <w:lang w:val="en-US"/>
              </w:rPr>
            </w:pPr>
            <w:r>
              <w:rPr>
                <w:lang w:val="en-US"/>
              </w:rPr>
              <w:t>7.549</w:t>
            </w:r>
          </w:p>
        </w:tc>
        <w:tc>
          <w:tcPr>
            <w:tcW w:w="1420" w:type="dxa"/>
          </w:tcPr>
          <w:p w:rsidR="005A1071" w:rsidRDefault="005A1071">
            <w:pPr>
              <w:jc w:val="center"/>
              <w:rPr>
                <w:lang w:val="en-US"/>
              </w:rPr>
            </w:pPr>
            <w:r>
              <w:rPr>
                <w:lang w:val="en-US"/>
              </w:rPr>
              <w:t>0.119</w:t>
            </w:r>
          </w:p>
        </w:tc>
        <w:tc>
          <w:tcPr>
            <w:tcW w:w="1420" w:type="dxa"/>
          </w:tcPr>
          <w:p w:rsidR="005A1071" w:rsidRDefault="005A1071">
            <w:pPr>
              <w:jc w:val="center"/>
              <w:rPr>
                <w:lang w:val="en-US"/>
              </w:rPr>
            </w:pPr>
            <w:r>
              <w:rPr>
                <w:lang w:val="en-US"/>
              </w:rPr>
              <w:t>17.956</w:t>
            </w:r>
          </w:p>
          <w:p w:rsidR="005A1071" w:rsidRDefault="005A1071">
            <w:pPr>
              <w:jc w:val="center"/>
              <w:rPr>
                <w:lang w:val="en-US"/>
              </w:rPr>
            </w:pPr>
            <w:r>
              <w:rPr>
                <w:lang w:val="en-US"/>
              </w:rPr>
              <w:t>(0.000)</w:t>
            </w:r>
          </w:p>
        </w:tc>
        <w:tc>
          <w:tcPr>
            <w:tcW w:w="1421" w:type="dxa"/>
          </w:tcPr>
          <w:p w:rsidR="005A1071" w:rsidRDefault="005A1071">
            <w:pPr>
              <w:jc w:val="center"/>
              <w:rPr>
                <w:lang w:val="en-US"/>
              </w:rPr>
            </w:pPr>
            <w:r>
              <w:rPr>
                <w:lang w:val="en-US"/>
              </w:rPr>
              <w:t>-2.012</w:t>
            </w:r>
            <w:r w:rsidR="000F086C">
              <w:rPr>
                <w:lang w:val="en-US"/>
              </w:rPr>
              <w:t>**</w:t>
            </w:r>
          </w:p>
          <w:p w:rsidR="005A1071" w:rsidRDefault="005A1071">
            <w:pPr>
              <w:jc w:val="center"/>
              <w:rPr>
                <w:lang w:val="en-US"/>
              </w:rPr>
            </w:pPr>
            <w:r>
              <w:rPr>
                <w:lang w:val="en-US"/>
              </w:rPr>
              <w:t>(constant)</w:t>
            </w:r>
          </w:p>
        </w:tc>
      </w:tr>
      <w:tr w:rsidR="005A1071">
        <w:tblPrEx>
          <w:tblCellMar>
            <w:top w:w="0" w:type="dxa"/>
            <w:bottom w:w="0" w:type="dxa"/>
          </w:tblCellMar>
        </w:tblPrEx>
        <w:trPr>
          <w:jc w:val="center"/>
        </w:trPr>
        <w:tc>
          <w:tcPr>
            <w:tcW w:w="2025" w:type="dxa"/>
          </w:tcPr>
          <w:p w:rsidR="005A1071" w:rsidRPr="002107A0" w:rsidRDefault="005A1071">
            <w:pPr>
              <w:jc w:val="center"/>
              <w:rPr>
                <w:i/>
                <w:vertAlign w:val="subscript"/>
                <w:lang w:val="en-US"/>
              </w:rPr>
            </w:pPr>
            <w:r w:rsidRPr="002107A0">
              <w:rPr>
                <w:i/>
                <w:lang w:val="en-US"/>
              </w:rPr>
              <w:sym w:font="Symbol" w:char="F044"/>
            </w:r>
            <w:r w:rsidRPr="002107A0">
              <w:rPr>
                <w:i/>
                <w:lang w:val="en-US"/>
              </w:rPr>
              <w:t>q</w:t>
            </w:r>
            <w:r w:rsidRPr="002107A0">
              <w:rPr>
                <w:i/>
                <w:vertAlign w:val="subscript"/>
                <w:lang w:val="en-US"/>
              </w:rPr>
              <w:t>di</w:t>
            </w:r>
            <w:r w:rsidR="002107A0" w:rsidRPr="002107A0">
              <w:rPr>
                <w:i/>
                <w:vertAlign w:val="subscript"/>
                <w:lang w:val="en-US"/>
              </w:rPr>
              <w:t>,t</w:t>
            </w:r>
          </w:p>
          <w:p w:rsidR="005A1071" w:rsidRPr="002107A0" w:rsidRDefault="005A1071">
            <w:pPr>
              <w:jc w:val="center"/>
              <w:rPr>
                <w:lang w:val="en-US"/>
              </w:rPr>
            </w:pPr>
            <w:r w:rsidRPr="002107A0">
              <w:rPr>
                <w:i/>
                <w:lang w:val="en-US"/>
              </w:rPr>
              <w:t>(real income growth)</w:t>
            </w:r>
          </w:p>
        </w:tc>
        <w:tc>
          <w:tcPr>
            <w:tcW w:w="1420" w:type="dxa"/>
          </w:tcPr>
          <w:p w:rsidR="005A1071" w:rsidRDefault="005A1071">
            <w:pPr>
              <w:jc w:val="center"/>
              <w:rPr>
                <w:lang w:val="en-US"/>
              </w:rPr>
            </w:pPr>
            <w:r>
              <w:rPr>
                <w:lang w:val="en-US"/>
              </w:rPr>
              <w:t>0.006</w:t>
            </w:r>
          </w:p>
        </w:tc>
        <w:tc>
          <w:tcPr>
            <w:tcW w:w="1420" w:type="dxa"/>
          </w:tcPr>
          <w:p w:rsidR="005A1071" w:rsidRDefault="005A1071">
            <w:pPr>
              <w:jc w:val="center"/>
              <w:rPr>
                <w:lang w:val="en-US"/>
              </w:rPr>
            </w:pPr>
            <w:r>
              <w:rPr>
                <w:lang w:val="en-US"/>
              </w:rPr>
              <w:t>0.012</w:t>
            </w:r>
          </w:p>
        </w:tc>
        <w:tc>
          <w:tcPr>
            <w:tcW w:w="1420" w:type="dxa"/>
          </w:tcPr>
          <w:p w:rsidR="005A1071" w:rsidRDefault="005A1071">
            <w:pPr>
              <w:jc w:val="center"/>
              <w:rPr>
                <w:lang w:val="en-US"/>
              </w:rPr>
            </w:pPr>
            <w:r>
              <w:rPr>
                <w:lang w:val="en-US"/>
              </w:rPr>
              <w:t>24.754</w:t>
            </w:r>
          </w:p>
          <w:p w:rsidR="005A1071" w:rsidRDefault="005A1071">
            <w:pPr>
              <w:jc w:val="center"/>
              <w:rPr>
                <w:lang w:val="en-US"/>
              </w:rPr>
            </w:pPr>
            <w:r>
              <w:rPr>
                <w:lang w:val="en-US"/>
              </w:rPr>
              <w:t>(0.000)</w:t>
            </w:r>
          </w:p>
        </w:tc>
        <w:tc>
          <w:tcPr>
            <w:tcW w:w="1421" w:type="dxa"/>
          </w:tcPr>
          <w:p w:rsidR="005A1071" w:rsidRDefault="005A1071">
            <w:pPr>
              <w:jc w:val="center"/>
              <w:rPr>
                <w:lang w:val="en-US"/>
              </w:rPr>
            </w:pPr>
            <w:r>
              <w:rPr>
                <w:lang w:val="en-US"/>
              </w:rPr>
              <w:t>-4.453</w:t>
            </w:r>
            <w:r w:rsidR="000F086C">
              <w:rPr>
                <w:lang w:val="en-US"/>
              </w:rPr>
              <w:t>***</w:t>
            </w:r>
          </w:p>
          <w:p w:rsidR="005A1071" w:rsidRDefault="005A1071">
            <w:pPr>
              <w:jc w:val="center"/>
              <w:rPr>
                <w:lang w:val="en-US"/>
              </w:rPr>
            </w:pPr>
            <w:r>
              <w:rPr>
                <w:lang w:val="en-US"/>
              </w:rPr>
              <w:t>(constant &amp; trend)</w:t>
            </w:r>
          </w:p>
        </w:tc>
      </w:tr>
      <w:tr w:rsidR="005A1071">
        <w:tblPrEx>
          <w:tblCellMar>
            <w:top w:w="0" w:type="dxa"/>
            <w:bottom w:w="0" w:type="dxa"/>
          </w:tblCellMar>
        </w:tblPrEx>
        <w:trPr>
          <w:jc w:val="center"/>
        </w:trPr>
        <w:tc>
          <w:tcPr>
            <w:tcW w:w="2025" w:type="dxa"/>
          </w:tcPr>
          <w:p w:rsidR="005A1071" w:rsidRPr="002107A0" w:rsidRDefault="005A1071">
            <w:pPr>
              <w:jc w:val="center"/>
              <w:rPr>
                <w:i/>
                <w:vertAlign w:val="subscript"/>
                <w:lang w:val="en-US"/>
              </w:rPr>
            </w:pPr>
            <w:r w:rsidRPr="002107A0">
              <w:rPr>
                <w:i/>
                <w:lang w:val="en-US"/>
              </w:rPr>
              <w:sym w:font="Symbol" w:char="F073"/>
            </w:r>
            <w:r w:rsidRPr="002107A0">
              <w:rPr>
                <w:i/>
                <w:vertAlign w:val="superscript"/>
                <w:lang w:val="en-US"/>
              </w:rPr>
              <w:t>2</w:t>
            </w:r>
            <w:r w:rsidRPr="002107A0">
              <w:rPr>
                <w:i/>
                <w:vertAlign w:val="subscript"/>
                <w:lang w:val="en-US"/>
              </w:rPr>
              <w:t>hp,t</w:t>
            </w:r>
          </w:p>
          <w:p w:rsidR="00623EBC" w:rsidRPr="002107A0" w:rsidRDefault="00623EBC">
            <w:pPr>
              <w:jc w:val="center"/>
              <w:rPr>
                <w:lang w:val="en-US"/>
              </w:rPr>
            </w:pPr>
            <w:r w:rsidRPr="002107A0">
              <w:rPr>
                <w:i/>
                <w:lang w:val="en-US"/>
              </w:rPr>
              <w:t>(housing return variance)</w:t>
            </w:r>
          </w:p>
        </w:tc>
        <w:tc>
          <w:tcPr>
            <w:tcW w:w="1420" w:type="dxa"/>
          </w:tcPr>
          <w:p w:rsidR="005A1071" w:rsidRDefault="005A1071">
            <w:pPr>
              <w:jc w:val="center"/>
              <w:rPr>
                <w:lang w:val="en-US"/>
              </w:rPr>
            </w:pPr>
            <w:r>
              <w:rPr>
                <w:lang w:val="en-US"/>
              </w:rPr>
              <w:t>0.001</w:t>
            </w:r>
          </w:p>
        </w:tc>
        <w:tc>
          <w:tcPr>
            <w:tcW w:w="1420" w:type="dxa"/>
          </w:tcPr>
          <w:p w:rsidR="005A1071" w:rsidRDefault="005A1071">
            <w:pPr>
              <w:jc w:val="center"/>
              <w:rPr>
                <w:lang w:val="en-US"/>
              </w:rPr>
            </w:pPr>
            <w:r>
              <w:rPr>
                <w:lang w:val="en-US"/>
              </w:rPr>
              <w:t>0.001</w:t>
            </w:r>
          </w:p>
        </w:tc>
        <w:tc>
          <w:tcPr>
            <w:tcW w:w="1420" w:type="dxa"/>
          </w:tcPr>
          <w:p w:rsidR="005A1071" w:rsidRDefault="005A1071">
            <w:pPr>
              <w:jc w:val="center"/>
              <w:rPr>
                <w:lang w:val="en-US"/>
              </w:rPr>
            </w:pPr>
            <w:r>
              <w:rPr>
                <w:lang w:val="en-US"/>
              </w:rPr>
              <w:t>978.974</w:t>
            </w:r>
          </w:p>
          <w:p w:rsidR="005A1071" w:rsidRDefault="005A1071">
            <w:pPr>
              <w:jc w:val="center"/>
              <w:rPr>
                <w:lang w:val="en-US"/>
              </w:rPr>
            </w:pPr>
            <w:r>
              <w:rPr>
                <w:lang w:val="en-US"/>
              </w:rPr>
              <w:t>(0.000)</w:t>
            </w:r>
          </w:p>
        </w:tc>
        <w:tc>
          <w:tcPr>
            <w:tcW w:w="1421" w:type="dxa"/>
          </w:tcPr>
          <w:p w:rsidR="005A1071" w:rsidRDefault="005A1071">
            <w:pPr>
              <w:jc w:val="center"/>
              <w:rPr>
                <w:lang w:val="en-US"/>
              </w:rPr>
            </w:pPr>
            <w:r>
              <w:rPr>
                <w:lang w:val="en-US"/>
              </w:rPr>
              <w:t>-5.141</w:t>
            </w:r>
            <w:r w:rsidR="000F086C">
              <w:rPr>
                <w:lang w:val="en-US"/>
              </w:rPr>
              <w:t>***</w:t>
            </w:r>
          </w:p>
          <w:p w:rsidR="005A1071" w:rsidRDefault="005A1071">
            <w:pPr>
              <w:jc w:val="center"/>
              <w:rPr>
                <w:lang w:val="en-US"/>
              </w:rPr>
            </w:pPr>
            <w:r>
              <w:rPr>
                <w:lang w:val="en-US"/>
              </w:rPr>
              <w:t>(constant)</w:t>
            </w:r>
          </w:p>
        </w:tc>
      </w:tr>
    </w:tbl>
    <w:p w:rsidR="00BE60B6" w:rsidRDefault="00BE60B6">
      <w:pPr>
        <w:jc w:val="both"/>
        <w:rPr>
          <w:b/>
          <w:sz w:val="20"/>
          <w:lang w:val="en-US"/>
        </w:rPr>
      </w:pPr>
    </w:p>
    <w:p w:rsidR="00BE60B6" w:rsidRDefault="00BE60B6">
      <w:pPr>
        <w:jc w:val="both"/>
        <w:rPr>
          <w:sz w:val="20"/>
          <w:lang w:val="en-US"/>
        </w:rPr>
      </w:pPr>
      <w:r>
        <w:rPr>
          <w:rFonts w:ascii="Arial" w:hAnsi="Arial"/>
          <w:i/>
          <w:color w:val="000000"/>
          <w:sz w:val="20"/>
          <w:lang w:val="en-US"/>
        </w:rPr>
        <w:t>r</w:t>
      </w:r>
      <w:r>
        <w:rPr>
          <w:rFonts w:ascii="Arial" w:hAnsi="Arial"/>
          <w:i/>
          <w:color w:val="000000"/>
          <w:sz w:val="20"/>
          <w:vertAlign w:val="subscript"/>
          <w:lang w:val="en-US"/>
        </w:rPr>
        <w:t>hp,t</w:t>
      </w:r>
      <w:r>
        <w:rPr>
          <w:rFonts w:ascii="Arial" w:hAnsi="Arial"/>
          <w:color w:val="000000"/>
          <w:sz w:val="20"/>
          <w:vertAlign w:val="subscript"/>
          <w:lang w:val="en-US"/>
        </w:rPr>
        <w:t xml:space="preserve"> </w:t>
      </w:r>
      <w:r>
        <w:rPr>
          <w:rFonts w:ascii="Arial" w:hAnsi="Arial"/>
          <w:color w:val="000000"/>
          <w:sz w:val="20"/>
          <w:lang w:val="en-US"/>
        </w:rPr>
        <w:t xml:space="preserve"> </w:t>
      </w:r>
      <w:r>
        <w:rPr>
          <w:color w:val="000000"/>
          <w:sz w:val="20"/>
          <w:lang w:val="en-US"/>
        </w:rPr>
        <w:t xml:space="preserve">is the continuously compounded quarterly return from </w:t>
      </w:r>
      <w:smartTag w:uri="urn:schemas-microsoft-com:office:smarttags" w:element="place">
        <w:smartTag w:uri="urn:schemas-microsoft-com:office:smarttags" w:element="country-region">
          <w:r>
            <w:rPr>
              <w:color w:val="000000"/>
              <w:sz w:val="20"/>
              <w:lang w:val="en-US"/>
            </w:rPr>
            <w:t>New Zealand</w:t>
          </w:r>
        </w:smartTag>
      </w:smartTag>
      <w:r>
        <w:rPr>
          <w:color w:val="000000"/>
          <w:sz w:val="20"/>
          <w:lang w:val="en-US"/>
        </w:rPr>
        <w:t xml:space="preserve"> residential housing</w:t>
      </w:r>
      <w:r w:rsidRPr="002107A0">
        <w:rPr>
          <w:color w:val="000000"/>
          <w:sz w:val="20"/>
          <w:lang w:val="en-US"/>
        </w:rPr>
        <w:t>,</w:t>
      </w:r>
      <w:r w:rsidRPr="002107A0">
        <w:rPr>
          <w:i/>
          <w:lang w:val="en-US"/>
        </w:rPr>
        <w:t xml:space="preserve"> </w:t>
      </w:r>
      <w:r w:rsidRPr="002107A0">
        <w:rPr>
          <w:i/>
          <w:color w:val="000000"/>
          <w:sz w:val="20"/>
          <w:lang w:val="en-US"/>
        </w:rPr>
        <w:t>r</w:t>
      </w:r>
      <w:r w:rsidRPr="002107A0">
        <w:rPr>
          <w:i/>
          <w:color w:val="000000"/>
          <w:sz w:val="20"/>
          <w:vertAlign w:val="subscript"/>
          <w:lang w:val="en-US"/>
        </w:rPr>
        <w:t>f,t</w:t>
      </w:r>
      <w:r w:rsidR="002107A0">
        <w:rPr>
          <w:sz w:val="20"/>
          <w:lang w:val="en-US"/>
        </w:rPr>
        <w:t xml:space="preserve">, </w:t>
      </w:r>
      <w:r>
        <w:rPr>
          <w:sz w:val="20"/>
          <w:lang w:val="en-US"/>
        </w:rPr>
        <w:t xml:space="preserve">is the continuously compounded quarterly return on a Long-Term Government bond. </w:t>
      </w:r>
      <w:r w:rsidR="002107A0">
        <w:rPr>
          <w:sz w:val="20"/>
          <w:lang w:val="en-US"/>
        </w:rPr>
        <w:t xml:space="preserve"> </w:t>
      </w:r>
      <w:r w:rsidRPr="002107A0">
        <w:rPr>
          <w:i/>
          <w:sz w:val="20"/>
          <w:szCs w:val="20"/>
          <w:lang w:val="en-US"/>
        </w:rPr>
        <w:t>pq</w:t>
      </w:r>
      <w:r w:rsidRPr="002107A0">
        <w:rPr>
          <w:i/>
          <w:sz w:val="20"/>
          <w:szCs w:val="20"/>
          <w:vertAlign w:val="subscript"/>
          <w:lang w:val="en-US"/>
        </w:rPr>
        <w:t>di</w:t>
      </w:r>
      <w:r w:rsidR="002107A0">
        <w:rPr>
          <w:i/>
          <w:sz w:val="20"/>
          <w:szCs w:val="20"/>
          <w:vertAlign w:val="subscript"/>
          <w:lang w:val="en-US"/>
        </w:rPr>
        <w:t>,t</w:t>
      </w:r>
      <w:r>
        <w:rPr>
          <w:sz w:val="20"/>
          <w:lang w:val="en-US"/>
        </w:rPr>
        <w:t xml:space="preserve"> is the constructed price-(scaled) real disposable income ratio, </w:t>
      </w:r>
      <w:r w:rsidRPr="002107A0">
        <w:rPr>
          <w:i/>
          <w:sz w:val="20"/>
          <w:szCs w:val="20"/>
          <w:lang w:val="en-US"/>
        </w:rPr>
        <w:sym w:font="Symbol" w:char="F044"/>
      </w:r>
      <w:r w:rsidRPr="002107A0">
        <w:rPr>
          <w:i/>
          <w:sz w:val="20"/>
          <w:szCs w:val="20"/>
          <w:lang w:val="en-US"/>
        </w:rPr>
        <w:t>q</w:t>
      </w:r>
      <w:r w:rsidRPr="002107A0">
        <w:rPr>
          <w:i/>
          <w:sz w:val="20"/>
          <w:szCs w:val="20"/>
          <w:vertAlign w:val="subscript"/>
          <w:lang w:val="en-US"/>
        </w:rPr>
        <w:t>di</w:t>
      </w:r>
      <w:r w:rsidR="002107A0">
        <w:rPr>
          <w:i/>
          <w:sz w:val="20"/>
          <w:szCs w:val="20"/>
          <w:vertAlign w:val="subscript"/>
          <w:lang w:val="en-US"/>
        </w:rPr>
        <w:t>,t</w:t>
      </w:r>
      <w:r>
        <w:rPr>
          <w:sz w:val="20"/>
          <w:lang w:val="en-US"/>
        </w:rPr>
        <w:t xml:space="preserve"> is the rate of growth of real disposable income and </w:t>
      </w:r>
      <w:r w:rsidRPr="002107A0">
        <w:rPr>
          <w:i/>
          <w:sz w:val="20"/>
          <w:szCs w:val="20"/>
          <w:lang w:val="en-US"/>
        </w:rPr>
        <w:sym w:font="Symbol" w:char="F073"/>
      </w:r>
      <w:r w:rsidRPr="002107A0">
        <w:rPr>
          <w:i/>
          <w:sz w:val="20"/>
          <w:szCs w:val="20"/>
          <w:vertAlign w:val="superscript"/>
          <w:lang w:val="en-US"/>
        </w:rPr>
        <w:t>2</w:t>
      </w:r>
      <w:r w:rsidRPr="002107A0">
        <w:rPr>
          <w:i/>
          <w:sz w:val="20"/>
          <w:szCs w:val="20"/>
          <w:vertAlign w:val="subscript"/>
          <w:lang w:val="en-US"/>
        </w:rPr>
        <w:t>hp,t</w:t>
      </w:r>
      <w:r>
        <w:rPr>
          <w:sz w:val="20"/>
          <w:lang w:val="en-US"/>
        </w:rPr>
        <w:t xml:space="preserve"> is the </w:t>
      </w:r>
      <w:r>
        <w:rPr>
          <w:i/>
          <w:sz w:val="20"/>
          <w:lang w:val="en-US"/>
        </w:rPr>
        <w:t>t-</w:t>
      </w:r>
      <w:r>
        <w:rPr>
          <w:sz w:val="20"/>
          <w:lang w:val="en-US"/>
        </w:rPr>
        <w:t xml:space="preserve">period variance of the housing return series. </w:t>
      </w:r>
      <w:r w:rsidR="002107A0">
        <w:rPr>
          <w:sz w:val="20"/>
          <w:lang w:val="en-US"/>
        </w:rPr>
        <w:t xml:space="preserve"> </w:t>
      </w:r>
      <w:r>
        <w:rPr>
          <w:sz w:val="20"/>
          <w:lang w:val="en-US"/>
        </w:rPr>
        <w:t xml:space="preserve">The sample period is 1970:1 through 2005:4. The figures in parenthesis below the J-B statistics are marginal significance levels. </w:t>
      </w:r>
      <w:r w:rsidR="002107A0">
        <w:rPr>
          <w:sz w:val="20"/>
          <w:lang w:val="en-US"/>
        </w:rPr>
        <w:t xml:space="preserve"> </w:t>
      </w:r>
      <w:r>
        <w:rPr>
          <w:sz w:val="20"/>
          <w:lang w:val="en-US"/>
        </w:rPr>
        <w:t xml:space="preserve">The test for unit roots in the series is the DF GLS whereby all exogenous variables are removed from the series prior to running the test regressions. </w:t>
      </w:r>
      <w:r w:rsidR="00BE2638">
        <w:rPr>
          <w:sz w:val="20"/>
          <w:lang w:val="en-US"/>
        </w:rPr>
        <w:t xml:space="preserve"> </w:t>
      </w:r>
      <w:r>
        <w:rPr>
          <w:sz w:val="20"/>
          <w:lang w:val="en-US"/>
        </w:rPr>
        <w:t>The bracket term below the test statistic denotes the exogenous variable removed (constant or constant &amp; trend)</w:t>
      </w:r>
      <w:r w:rsidR="002107A0">
        <w:rPr>
          <w:sz w:val="20"/>
          <w:lang w:val="en-US"/>
        </w:rPr>
        <w:t>,</w:t>
      </w:r>
      <w:r w:rsidR="000F086C">
        <w:rPr>
          <w:sz w:val="20"/>
          <w:lang w:val="en-US"/>
        </w:rPr>
        <w:t xml:space="preserve"> while the</w:t>
      </w:r>
      <w:r w:rsidR="007A3A20">
        <w:rPr>
          <w:sz w:val="20"/>
          <w:lang w:val="en-US"/>
        </w:rPr>
        <w:t xml:space="preserve"> asterisk</w:t>
      </w:r>
      <w:r w:rsidR="000F086C">
        <w:rPr>
          <w:sz w:val="20"/>
          <w:lang w:val="en-US"/>
        </w:rPr>
        <w:t xml:space="preserve">s denote rejection of the null of non-stationarity at </w:t>
      </w:r>
      <w:r w:rsidR="00B53987">
        <w:rPr>
          <w:sz w:val="20"/>
          <w:lang w:val="en-US"/>
        </w:rPr>
        <w:t>10%(*); 5%(**) and 1% (***) levels of significance.</w:t>
      </w:r>
      <w:r w:rsidR="00BE2638">
        <w:rPr>
          <w:sz w:val="20"/>
          <w:lang w:val="en-US"/>
        </w:rPr>
        <w:t xml:space="preserve">  </w:t>
      </w:r>
      <w:r w:rsidR="00BE2638" w:rsidRPr="004863F9">
        <w:rPr>
          <w:sz w:val="20"/>
          <w:lang w:val="en-US"/>
        </w:rPr>
        <w:t>Critical values for the DF-GL</w:t>
      </w:r>
      <w:r w:rsidR="00BE2638">
        <w:rPr>
          <w:sz w:val="20"/>
          <w:lang w:val="en-US"/>
        </w:rPr>
        <w:t xml:space="preserve">S statistics with an intercept </w:t>
      </w:r>
      <w:r w:rsidR="00BE2638" w:rsidRPr="004863F9">
        <w:rPr>
          <w:sz w:val="20"/>
          <w:lang w:val="en-US"/>
        </w:rPr>
        <w:t>removed are: 1% -2.58; 5% -1.94; 10% -1.62, while with an intercept and trend removed they are: 1% -3.54; 5% -3.00; 10% -2.71.</w:t>
      </w:r>
    </w:p>
    <w:p w:rsidR="00BE60B6" w:rsidRDefault="00BE60B6">
      <w:pPr>
        <w:rPr>
          <w:lang w:val="en-US"/>
        </w:rPr>
      </w:pPr>
    </w:p>
    <w:p w:rsidR="00BE60B6" w:rsidRDefault="00BE60B6">
      <w:pPr>
        <w:autoSpaceDE w:val="0"/>
        <w:autoSpaceDN w:val="0"/>
        <w:adjustRightInd w:val="0"/>
        <w:rPr>
          <w:rFonts w:ascii="Arial" w:hAnsi="Arial"/>
          <w:sz w:val="20"/>
          <w:lang w:val="en-US"/>
        </w:rPr>
      </w:pPr>
      <w:r>
        <w:rPr>
          <w:rFonts w:ascii="Arial" w:hAnsi="Arial"/>
          <w:sz w:val="20"/>
          <w:lang w:val="en-US"/>
        </w:rPr>
        <w:t xml:space="preserve"> </w:t>
      </w:r>
    </w:p>
    <w:p w:rsidR="00BE60B6" w:rsidRDefault="00BE60B6">
      <w:pPr>
        <w:rPr>
          <w:lang w:val="en-US"/>
        </w:rPr>
      </w:pPr>
    </w:p>
    <w:p w:rsidR="00BE60B6" w:rsidRDefault="00BE60B6">
      <w:pPr>
        <w:spacing w:line="480" w:lineRule="auto"/>
        <w:jc w:val="both"/>
        <w:rPr>
          <w:lang w:val="en-US"/>
        </w:rPr>
      </w:pPr>
    </w:p>
    <w:p w:rsidR="00BE60B6" w:rsidRDefault="00BE60B6">
      <w:pPr>
        <w:spacing w:line="480" w:lineRule="auto"/>
        <w:jc w:val="both"/>
        <w:rPr>
          <w:lang w:val="en-US"/>
        </w:rPr>
        <w:sectPr w:rsidR="00BE60B6">
          <w:type w:val="continuous"/>
          <w:pgSz w:w="11906" w:h="16838" w:code="9"/>
          <w:pgMar w:top="1440" w:right="1797" w:bottom="1191" w:left="1797" w:header="720" w:footer="510" w:gutter="0"/>
          <w:pgNumType w:start="1"/>
          <w:cols w:space="708"/>
          <w:docGrid w:linePitch="360"/>
        </w:sectPr>
      </w:pPr>
    </w:p>
    <w:p w:rsidR="00BE60B6" w:rsidRDefault="00BE60B6">
      <w:pPr>
        <w:pStyle w:val="FootnoteText"/>
        <w:jc w:val="center"/>
        <w:outlineLvl w:val="0"/>
        <w:rPr>
          <w:sz w:val="24"/>
          <w:lang w:val="en-US"/>
        </w:rPr>
      </w:pPr>
      <w:r>
        <w:rPr>
          <w:sz w:val="24"/>
          <w:lang w:val="en-US"/>
        </w:rPr>
        <w:lastRenderedPageBreak/>
        <w:t>Table 2</w:t>
      </w:r>
    </w:p>
    <w:p w:rsidR="00BE60B6" w:rsidRDefault="00BE60B6">
      <w:pPr>
        <w:pStyle w:val="FootnoteText"/>
        <w:jc w:val="center"/>
        <w:rPr>
          <w:i/>
          <w:sz w:val="24"/>
          <w:lang w:val="en-US"/>
        </w:rPr>
      </w:pPr>
      <w:r>
        <w:rPr>
          <w:lang w:val="en-US"/>
        </w:rPr>
        <w:t>VAR Statistics and Tests for the Estimation of the Time-Varying Risk Present Value Model</w:t>
      </w:r>
    </w:p>
    <w:p w:rsidR="00BE60B6" w:rsidRDefault="00BE60B6">
      <w:pPr>
        <w:pStyle w:val="Footer"/>
        <w:tabs>
          <w:tab w:val="clear" w:pos="4153"/>
          <w:tab w:val="clear" w:pos="8306"/>
        </w:tabs>
        <w:jc w:val="center"/>
        <w:rPr>
          <w:i/>
          <w:sz w:val="22"/>
          <w:lang w:val="en-US"/>
        </w:rPr>
      </w:pPr>
      <w:r>
        <w:rPr>
          <w:b/>
          <w:i/>
          <w:lang w:val="en-US"/>
        </w:rPr>
        <w:t>z</w:t>
      </w:r>
      <w:r>
        <w:rPr>
          <w:i/>
          <w:vertAlign w:val="subscript"/>
          <w:lang w:val="en-US"/>
        </w:rPr>
        <w:t>t+1</w:t>
      </w:r>
      <w:r>
        <w:rPr>
          <w:i/>
          <w:lang w:val="en-US"/>
        </w:rPr>
        <w:t xml:space="preserve"> = </w:t>
      </w:r>
      <w:r>
        <w:rPr>
          <w:b/>
          <w:i/>
          <w:lang w:val="en-US"/>
        </w:rPr>
        <w:t>Az</w:t>
      </w:r>
      <w:r>
        <w:rPr>
          <w:i/>
          <w:vertAlign w:val="subscript"/>
          <w:lang w:val="en-US"/>
        </w:rPr>
        <w:t>t</w:t>
      </w:r>
      <w:r>
        <w:rPr>
          <w:i/>
          <w:lang w:val="en-US"/>
        </w:rPr>
        <w:t xml:space="preserve"> + </w:t>
      </w:r>
      <w:r>
        <w:rPr>
          <w:b/>
          <w:i/>
          <w:lang w:val="en-US"/>
        </w:rPr>
        <w:sym w:font="Symbol" w:char="F065"/>
      </w:r>
      <w:r>
        <w:rPr>
          <w:i/>
          <w:vertAlign w:val="subscript"/>
          <w:lang w:val="en-US"/>
        </w:rPr>
        <w:t>t+1</w:t>
      </w:r>
      <w:r w:rsidR="00FD5A9C">
        <w:rPr>
          <w:i/>
          <w:lang w:val="en-US"/>
        </w:rPr>
        <w:t xml:space="preserve">;  </w:t>
      </w:r>
      <w:r w:rsidR="00FD5A9C">
        <w:rPr>
          <w:i/>
          <w:sz w:val="22"/>
          <w:lang w:val="en-US"/>
        </w:rPr>
        <w:sym w:font="Symbol" w:char="F061"/>
      </w:r>
      <w:r w:rsidR="00FD5A9C">
        <w:rPr>
          <w:i/>
          <w:sz w:val="22"/>
          <w:lang w:val="en-US"/>
        </w:rPr>
        <w:t xml:space="preserve"> = 1.415</w:t>
      </w:r>
    </w:p>
    <w:p w:rsidR="00082031" w:rsidRPr="00FD5A9C" w:rsidRDefault="00082031">
      <w:pPr>
        <w:pStyle w:val="Footer"/>
        <w:tabs>
          <w:tab w:val="clear" w:pos="4153"/>
          <w:tab w:val="clear" w:pos="8306"/>
        </w:tabs>
        <w:jc w:val="center"/>
        <w:rPr>
          <w:i/>
          <w:lang w:val="en-US"/>
        </w:rPr>
      </w:pPr>
    </w:p>
    <w:tbl>
      <w:tblPr>
        <w:tblW w:w="1126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2628"/>
        <w:gridCol w:w="3060"/>
        <w:gridCol w:w="2880"/>
        <w:gridCol w:w="2700"/>
      </w:tblGrid>
      <w:tr w:rsidR="00BF2229">
        <w:tblPrEx>
          <w:tblCellMar>
            <w:top w:w="0" w:type="dxa"/>
            <w:bottom w:w="0" w:type="dxa"/>
          </w:tblCellMar>
        </w:tblPrEx>
        <w:trPr>
          <w:jc w:val="center"/>
        </w:trPr>
        <w:tc>
          <w:tcPr>
            <w:tcW w:w="2628" w:type="dxa"/>
          </w:tcPr>
          <w:p w:rsidR="00BF2229" w:rsidRDefault="00BF2229">
            <w:pPr>
              <w:pStyle w:val="Footer"/>
              <w:tabs>
                <w:tab w:val="clear" w:pos="4153"/>
                <w:tab w:val="clear" w:pos="8306"/>
              </w:tabs>
              <w:jc w:val="center"/>
              <w:rPr>
                <w:i/>
                <w:sz w:val="22"/>
                <w:lang w:val="en-US"/>
              </w:rPr>
            </w:pPr>
            <w:r>
              <w:rPr>
                <w:i/>
                <w:sz w:val="22"/>
                <w:lang w:val="en-US"/>
              </w:rPr>
              <w:t>z</w:t>
            </w:r>
            <w:r>
              <w:rPr>
                <w:i/>
                <w:sz w:val="22"/>
                <w:vertAlign w:val="subscript"/>
                <w:lang w:val="en-US"/>
              </w:rPr>
              <w:t>t+1</w:t>
            </w:r>
          </w:p>
        </w:tc>
        <w:tc>
          <w:tcPr>
            <w:tcW w:w="3060" w:type="dxa"/>
          </w:tcPr>
          <w:p w:rsidR="00BF2229" w:rsidRDefault="00BF2229">
            <w:pPr>
              <w:pStyle w:val="Footer"/>
              <w:tabs>
                <w:tab w:val="clear" w:pos="4153"/>
                <w:tab w:val="clear" w:pos="8306"/>
              </w:tabs>
              <w:jc w:val="center"/>
              <w:rPr>
                <w:i/>
                <w:sz w:val="22"/>
                <w:vertAlign w:val="superscript"/>
                <w:lang w:val="en-US"/>
              </w:rPr>
            </w:pPr>
            <w:r>
              <w:rPr>
                <w:i/>
                <w:position w:val="-4"/>
                <w:sz w:val="22"/>
                <w:vertAlign w:val="superscript"/>
                <w:lang w:val="en-US"/>
              </w:rPr>
              <w:object w:dxaOrig="360" w:dyaOrig="340">
                <v:shape id="_x0000_i1081" type="#_x0000_t75" style="width:18.25pt;height:17.25pt" o:ole="" fillcolor="window">
                  <v:imagedata r:id="rId119" o:title=""/>
                </v:shape>
                <o:OLEObject Type="Embed" ProgID="Equation.3" ShapeID="_x0000_i1081" DrawAspect="Content" ObjectID="_1381729993" r:id="rId120"/>
              </w:object>
            </w:r>
          </w:p>
        </w:tc>
        <w:tc>
          <w:tcPr>
            <w:tcW w:w="2880" w:type="dxa"/>
          </w:tcPr>
          <w:p w:rsidR="00BF2229" w:rsidRDefault="00BF2229">
            <w:pPr>
              <w:pStyle w:val="Footer"/>
              <w:tabs>
                <w:tab w:val="clear" w:pos="4153"/>
                <w:tab w:val="clear" w:pos="8306"/>
              </w:tabs>
              <w:jc w:val="center"/>
              <w:rPr>
                <w:i/>
                <w:sz w:val="22"/>
                <w:lang w:val="en-US"/>
              </w:rPr>
            </w:pPr>
            <w:r>
              <w:rPr>
                <w:i/>
                <w:sz w:val="22"/>
                <w:lang w:val="en-US"/>
              </w:rPr>
              <w:t>Q</w:t>
            </w:r>
          </w:p>
        </w:tc>
        <w:tc>
          <w:tcPr>
            <w:tcW w:w="2700" w:type="dxa"/>
          </w:tcPr>
          <w:p w:rsidR="00BF2229" w:rsidRDefault="00BF2229" w:rsidP="007959D1">
            <w:pPr>
              <w:pStyle w:val="Footer"/>
              <w:tabs>
                <w:tab w:val="clear" w:pos="4153"/>
                <w:tab w:val="clear" w:pos="8306"/>
              </w:tabs>
              <w:jc w:val="center"/>
              <w:rPr>
                <w:i/>
                <w:sz w:val="22"/>
                <w:lang w:val="en-US"/>
              </w:rPr>
            </w:pPr>
            <w:r>
              <w:rPr>
                <w:i/>
                <w:sz w:val="22"/>
                <w:lang w:val="en-US"/>
              </w:rPr>
              <w:t>Linear Wald Restrictions</w:t>
            </w:r>
          </w:p>
          <w:p w:rsidR="00BF2229" w:rsidRDefault="00BF2229" w:rsidP="007959D1">
            <w:pPr>
              <w:pStyle w:val="Footer"/>
              <w:tabs>
                <w:tab w:val="clear" w:pos="4153"/>
                <w:tab w:val="clear" w:pos="8306"/>
              </w:tabs>
              <w:jc w:val="center"/>
              <w:rPr>
                <w:i/>
                <w:sz w:val="22"/>
                <w:vertAlign w:val="subscript"/>
                <w:lang w:val="en-US"/>
              </w:rPr>
            </w:pPr>
          </w:p>
        </w:tc>
      </w:tr>
      <w:tr w:rsidR="00BF2229">
        <w:tblPrEx>
          <w:tblCellMar>
            <w:top w:w="0" w:type="dxa"/>
            <w:bottom w:w="0" w:type="dxa"/>
          </w:tblCellMar>
        </w:tblPrEx>
        <w:trPr>
          <w:jc w:val="center"/>
        </w:trPr>
        <w:tc>
          <w:tcPr>
            <w:tcW w:w="2628" w:type="dxa"/>
          </w:tcPr>
          <w:p w:rsidR="00BF2229" w:rsidRPr="00D92ABC" w:rsidRDefault="00BF2229">
            <w:pPr>
              <w:jc w:val="center"/>
              <w:rPr>
                <w:i/>
                <w:vertAlign w:val="subscript"/>
                <w:lang w:val="en-US"/>
              </w:rPr>
            </w:pPr>
            <w:r w:rsidRPr="00D92ABC">
              <w:rPr>
                <w:i/>
                <w:lang w:val="en-US"/>
              </w:rPr>
              <w:t>pq</w:t>
            </w:r>
            <w:r w:rsidRPr="00D92ABC">
              <w:rPr>
                <w:i/>
                <w:vertAlign w:val="subscript"/>
                <w:lang w:val="en-US"/>
              </w:rPr>
              <w:t>di</w:t>
            </w:r>
            <w:r w:rsidR="00D92ABC">
              <w:rPr>
                <w:i/>
                <w:vertAlign w:val="subscript"/>
                <w:lang w:val="en-US"/>
              </w:rPr>
              <w:t>,t</w:t>
            </w:r>
          </w:p>
          <w:p w:rsidR="00BF2229" w:rsidRPr="00D92ABC" w:rsidRDefault="00BF2229">
            <w:pPr>
              <w:jc w:val="center"/>
              <w:rPr>
                <w:vertAlign w:val="subscript"/>
                <w:lang w:val="en-US"/>
              </w:rPr>
            </w:pPr>
            <w:r w:rsidRPr="00D92ABC">
              <w:rPr>
                <w:i/>
                <w:lang w:val="en-US"/>
              </w:rPr>
              <w:t>(price-income ratio)</w:t>
            </w:r>
          </w:p>
        </w:tc>
        <w:tc>
          <w:tcPr>
            <w:tcW w:w="3060" w:type="dxa"/>
          </w:tcPr>
          <w:p w:rsidR="00BF2229" w:rsidRDefault="00BF2229">
            <w:pPr>
              <w:pStyle w:val="Footer"/>
              <w:tabs>
                <w:tab w:val="clear" w:pos="4153"/>
                <w:tab w:val="clear" w:pos="8306"/>
              </w:tabs>
              <w:jc w:val="center"/>
              <w:rPr>
                <w:sz w:val="22"/>
                <w:lang w:val="en-US"/>
              </w:rPr>
            </w:pPr>
            <w:r>
              <w:rPr>
                <w:sz w:val="22"/>
                <w:lang w:val="en-US"/>
              </w:rPr>
              <w:t>0.979</w:t>
            </w:r>
          </w:p>
        </w:tc>
        <w:tc>
          <w:tcPr>
            <w:tcW w:w="2880" w:type="dxa"/>
          </w:tcPr>
          <w:p w:rsidR="00BF2229" w:rsidRDefault="00BF2229">
            <w:pPr>
              <w:pStyle w:val="Footer"/>
              <w:tabs>
                <w:tab w:val="clear" w:pos="4153"/>
                <w:tab w:val="clear" w:pos="8306"/>
              </w:tabs>
              <w:jc w:val="center"/>
              <w:rPr>
                <w:sz w:val="22"/>
                <w:lang w:val="en-US"/>
              </w:rPr>
            </w:pPr>
            <w:r>
              <w:rPr>
                <w:sz w:val="22"/>
                <w:lang w:val="en-US"/>
              </w:rPr>
              <w:t>0.430</w:t>
            </w:r>
          </w:p>
          <w:p w:rsidR="00BF2229" w:rsidRDefault="00BF2229">
            <w:pPr>
              <w:pStyle w:val="Footer"/>
              <w:tabs>
                <w:tab w:val="clear" w:pos="4153"/>
                <w:tab w:val="clear" w:pos="8306"/>
              </w:tabs>
              <w:jc w:val="center"/>
              <w:rPr>
                <w:sz w:val="22"/>
                <w:lang w:val="en-US"/>
              </w:rPr>
            </w:pPr>
            <w:r>
              <w:rPr>
                <w:sz w:val="22"/>
                <w:lang w:val="en-US"/>
              </w:rPr>
              <w:t>(0.980)</w:t>
            </w:r>
          </w:p>
        </w:tc>
        <w:tc>
          <w:tcPr>
            <w:tcW w:w="2700" w:type="dxa"/>
          </w:tcPr>
          <w:p w:rsidR="00BF2229" w:rsidRDefault="00BF2229" w:rsidP="007959D1">
            <w:pPr>
              <w:pStyle w:val="Footer"/>
              <w:tabs>
                <w:tab w:val="clear" w:pos="4153"/>
                <w:tab w:val="clear" w:pos="8306"/>
              </w:tabs>
              <w:jc w:val="center"/>
              <w:rPr>
                <w:sz w:val="22"/>
                <w:lang w:val="en-US"/>
              </w:rPr>
            </w:pPr>
            <w:r>
              <w:rPr>
                <w:sz w:val="22"/>
                <w:lang w:val="en-US"/>
              </w:rPr>
              <w:t xml:space="preserve"> 36.352</w:t>
            </w:r>
          </w:p>
          <w:p w:rsidR="00BF2229" w:rsidRDefault="00BF2229" w:rsidP="007959D1">
            <w:pPr>
              <w:pStyle w:val="Footer"/>
              <w:tabs>
                <w:tab w:val="clear" w:pos="4153"/>
                <w:tab w:val="clear" w:pos="8306"/>
              </w:tabs>
              <w:jc w:val="center"/>
              <w:rPr>
                <w:i/>
                <w:sz w:val="22"/>
                <w:vertAlign w:val="subscript"/>
                <w:lang w:val="en-US"/>
              </w:rPr>
            </w:pPr>
            <w:r>
              <w:rPr>
                <w:sz w:val="22"/>
                <w:lang w:val="en-US"/>
              </w:rPr>
              <w:t>(0.000)</w:t>
            </w:r>
          </w:p>
        </w:tc>
      </w:tr>
      <w:tr w:rsidR="00BF2229">
        <w:tblPrEx>
          <w:tblCellMar>
            <w:top w:w="0" w:type="dxa"/>
            <w:bottom w:w="0" w:type="dxa"/>
          </w:tblCellMar>
        </w:tblPrEx>
        <w:trPr>
          <w:jc w:val="center"/>
        </w:trPr>
        <w:tc>
          <w:tcPr>
            <w:tcW w:w="2628" w:type="dxa"/>
          </w:tcPr>
          <w:p w:rsidR="00BF2229" w:rsidRPr="00D92ABC" w:rsidRDefault="00BF2229">
            <w:pPr>
              <w:jc w:val="center"/>
              <w:rPr>
                <w:i/>
                <w:vertAlign w:val="subscript"/>
                <w:lang w:val="en-US"/>
              </w:rPr>
            </w:pPr>
            <w:r w:rsidRPr="00D92ABC">
              <w:rPr>
                <w:i/>
                <w:lang w:val="en-US"/>
              </w:rPr>
              <w:sym w:font="Symbol" w:char="F044"/>
            </w:r>
            <w:r w:rsidRPr="00D92ABC">
              <w:rPr>
                <w:i/>
                <w:lang w:val="en-US"/>
              </w:rPr>
              <w:t>q</w:t>
            </w:r>
            <w:r w:rsidRPr="00D92ABC">
              <w:rPr>
                <w:i/>
                <w:vertAlign w:val="subscript"/>
                <w:lang w:val="en-US"/>
              </w:rPr>
              <w:t>di</w:t>
            </w:r>
            <w:r w:rsidR="00D92ABC">
              <w:rPr>
                <w:i/>
                <w:vertAlign w:val="subscript"/>
                <w:lang w:val="en-US"/>
              </w:rPr>
              <w:t>,t</w:t>
            </w:r>
          </w:p>
          <w:p w:rsidR="00BF2229" w:rsidRPr="00D92ABC" w:rsidRDefault="00BF2229">
            <w:pPr>
              <w:jc w:val="center"/>
              <w:rPr>
                <w:lang w:val="en-US"/>
              </w:rPr>
            </w:pPr>
            <w:r w:rsidRPr="00D92ABC">
              <w:rPr>
                <w:i/>
                <w:lang w:val="en-US"/>
              </w:rPr>
              <w:t>(real income growth)</w:t>
            </w:r>
          </w:p>
        </w:tc>
        <w:tc>
          <w:tcPr>
            <w:tcW w:w="3060" w:type="dxa"/>
          </w:tcPr>
          <w:p w:rsidR="00BF2229" w:rsidRDefault="00BF2229">
            <w:pPr>
              <w:pStyle w:val="Footer"/>
              <w:tabs>
                <w:tab w:val="clear" w:pos="4153"/>
                <w:tab w:val="clear" w:pos="8306"/>
              </w:tabs>
              <w:jc w:val="center"/>
              <w:rPr>
                <w:sz w:val="22"/>
                <w:lang w:val="en-US"/>
              </w:rPr>
            </w:pPr>
            <w:r>
              <w:rPr>
                <w:sz w:val="22"/>
                <w:lang w:val="en-US"/>
              </w:rPr>
              <w:t>0.217</w:t>
            </w:r>
          </w:p>
        </w:tc>
        <w:tc>
          <w:tcPr>
            <w:tcW w:w="2880" w:type="dxa"/>
          </w:tcPr>
          <w:p w:rsidR="00BF2229" w:rsidRDefault="00BF2229">
            <w:pPr>
              <w:pStyle w:val="Footer"/>
              <w:tabs>
                <w:tab w:val="clear" w:pos="4153"/>
                <w:tab w:val="clear" w:pos="8306"/>
              </w:tabs>
              <w:jc w:val="center"/>
              <w:rPr>
                <w:sz w:val="22"/>
                <w:lang w:val="en-US"/>
              </w:rPr>
            </w:pPr>
            <w:r>
              <w:rPr>
                <w:sz w:val="22"/>
                <w:lang w:val="en-US"/>
              </w:rPr>
              <w:t>6.290</w:t>
            </w:r>
          </w:p>
          <w:p w:rsidR="00BF2229" w:rsidRDefault="00BF2229">
            <w:pPr>
              <w:pStyle w:val="Footer"/>
              <w:tabs>
                <w:tab w:val="clear" w:pos="4153"/>
                <w:tab w:val="clear" w:pos="8306"/>
              </w:tabs>
              <w:jc w:val="center"/>
              <w:rPr>
                <w:sz w:val="22"/>
                <w:lang w:val="en-US"/>
              </w:rPr>
            </w:pPr>
            <w:r>
              <w:rPr>
                <w:sz w:val="22"/>
                <w:lang w:val="en-US"/>
              </w:rPr>
              <w:t>(0.179)</w:t>
            </w:r>
          </w:p>
        </w:tc>
        <w:tc>
          <w:tcPr>
            <w:tcW w:w="2700" w:type="dxa"/>
          </w:tcPr>
          <w:p w:rsidR="00BF2229" w:rsidRDefault="00BF2229" w:rsidP="007959D1">
            <w:pPr>
              <w:pStyle w:val="Footer"/>
              <w:tabs>
                <w:tab w:val="clear" w:pos="4153"/>
                <w:tab w:val="clear" w:pos="8306"/>
              </w:tabs>
              <w:jc w:val="center"/>
              <w:rPr>
                <w:i/>
                <w:sz w:val="22"/>
                <w:vertAlign w:val="subscript"/>
                <w:lang w:val="en-US"/>
              </w:rPr>
            </w:pPr>
          </w:p>
        </w:tc>
      </w:tr>
      <w:tr w:rsidR="00BF2229">
        <w:tblPrEx>
          <w:tblCellMar>
            <w:top w:w="0" w:type="dxa"/>
            <w:bottom w:w="0" w:type="dxa"/>
          </w:tblCellMar>
        </w:tblPrEx>
        <w:trPr>
          <w:jc w:val="center"/>
        </w:trPr>
        <w:tc>
          <w:tcPr>
            <w:tcW w:w="2628" w:type="dxa"/>
          </w:tcPr>
          <w:p w:rsidR="00BF2229" w:rsidRPr="00D92ABC" w:rsidRDefault="00BF2229">
            <w:pPr>
              <w:jc w:val="center"/>
              <w:rPr>
                <w:i/>
                <w:vertAlign w:val="subscript"/>
                <w:lang w:val="en-US"/>
              </w:rPr>
            </w:pPr>
            <w:r w:rsidRPr="00D92ABC">
              <w:rPr>
                <w:i/>
                <w:lang w:val="en-US"/>
              </w:rPr>
              <w:sym w:font="Symbol" w:char="F073"/>
            </w:r>
            <w:r w:rsidRPr="00D92ABC">
              <w:rPr>
                <w:i/>
                <w:vertAlign w:val="superscript"/>
                <w:lang w:val="en-US"/>
              </w:rPr>
              <w:t>2</w:t>
            </w:r>
            <w:r w:rsidRPr="00D92ABC">
              <w:rPr>
                <w:i/>
                <w:vertAlign w:val="subscript"/>
                <w:lang w:val="en-US"/>
              </w:rPr>
              <w:t>hpdi,t</w:t>
            </w:r>
          </w:p>
          <w:p w:rsidR="00BF2229" w:rsidRPr="00D92ABC" w:rsidRDefault="00BF2229">
            <w:pPr>
              <w:jc w:val="center"/>
              <w:rPr>
                <w:lang w:val="en-US"/>
              </w:rPr>
            </w:pPr>
            <w:r w:rsidRPr="00D92ABC">
              <w:rPr>
                <w:i/>
                <w:lang w:val="en-US"/>
              </w:rPr>
              <w:t>(housing return variance)</w:t>
            </w:r>
          </w:p>
        </w:tc>
        <w:tc>
          <w:tcPr>
            <w:tcW w:w="3060" w:type="dxa"/>
          </w:tcPr>
          <w:p w:rsidR="00BF2229" w:rsidRDefault="00BF2229">
            <w:pPr>
              <w:pStyle w:val="Footer"/>
              <w:tabs>
                <w:tab w:val="clear" w:pos="4153"/>
                <w:tab w:val="clear" w:pos="8306"/>
              </w:tabs>
              <w:jc w:val="center"/>
              <w:rPr>
                <w:sz w:val="22"/>
                <w:lang w:val="en-US"/>
              </w:rPr>
            </w:pPr>
            <w:r>
              <w:rPr>
                <w:sz w:val="22"/>
                <w:lang w:val="en-US"/>
              </w:rPr>
              <w:t>0.493</w:t>
            </w:r>
          </w:p>
        </w:tc>
        <w:tc>
          <w:tcPr>
            <w:tcW w:w="2880" w:type="dxa"/>
          </w:tcPr>
          <w:p w:rsidR="00BF2229" w:rsidRDefault="00BF2229">
            <w:pPr>
              <w:pStyle w:val="Footer"/>
              <w:tabs>
                <w:tab w:val="clear" w:pos="4153"/>
                <w:tab w:val="clear" w:pos="8306"/>
              </w:tabs>
              <w:jc w:val="center"/>
              <w:rPr>
                <w:sz w:val="22"/>
                <w:lang w:val="en-US"/>
              </w:rPr>
            </w:pPr>
            <w:r>
              <w:rPr>
                <w:sz w:val="22"/>
                <w:lang w:val="en-US"/>
              </w:rPr>
              <w:t>0.230</w:t>
            </w:r>
          </w:p>
          <w:p w:rsidR="00BF2229" w:rsidRDefault="00BF2229">
            <w:pPr>
              <w:pStyle w:val="Footer"/>
              <w:tabs>
                <w:tab w:val="clear" w:pos="4153"/>
                <w:tab w:val="clear" w:pos="8306"/>
              </w:tabs>
              <w:jc w:val="center"/>
              <w:rPr>
                <w:sz w:val="22"/>
                <w:lang w:val="en-US"/>
              </w:rPr>
            </w:pPr>
            <w:r>
              <w:rPr>
                <w:sz w:val="22"/>
                <w:lang w:val="en-US"/>
              </w:rPr>
              <w:t>(0.994)</w:t>
            </w:r>
          </w:p>
        </w:tc>
        <w:tc>
          <w:tcPr>
            <w:tcW w:w="2700" w:type="dxa"/>
          </w:tcPr>
          <w:p w:rsidR="00BF2229" w:rsidRDefault="00BF2229">
            <w:pPr>
              <w:pStyle w:val="Footer"/>
              <w:tabs>
                <w:tab w:val="clear" w:pos="4153"/>
                <w:tab w:val="clear" w:pos="8306"/>
              </w:tabs>
              <w:jc w:val="center"/>
              <w:rPr>
                <w:i/>
                <w:sz w:val="22"/>
                <w:vertAlign w:val="subscript"/>
                <w:lang w:val="en-US"/>
              </w:rPr>
            </w:pPr>
          </w:p>
        </w:tc>
      </w:tr>
    </w:tbl>
    <w:p w:rsidR="00BE60B6" w:rsidRDefault="00FD5A9C" w:rsidP="00082031">
      <w:pPr>
        <w:pStyle w:val="Footer"/>
        <w:tabs>
          <w:tab w:val="clear" w:pos="4153"/>
          <w:tab w:val="clear" w:pos="8306"/>
        </w:tabs>
        <w:ind w:left="1440" w:right="1358"/>
        <w:jc w:val="both"/>
        <w:rPr>
          <w:sz w:val="20"/>
          <w:lang w:val="en-US"/>
        </w:rPr>
      </w:pPr>
      <w:r w:rsidRPr="00BF2229">
        <w:rPr>
          <w:i/>
          <w:sz w:val="20"/>
          <w:szCs w:val="20"/>
          <w:lang w:val="en-US"/>
        </w:rPr>
        <w:sym w:font="Symbol" w:char="F061"/>
      </w:r>
      <w:r w:rsidRPr="00BF2229">
        <w:rPr>
          <w:sz w:val="20"/>
          <w:szCs w:val="20"/>
          <w:lang w:val="en-US"/>
        </w:rPr>
        <w:t xml:space="preserve">, is the coefficient of relative risk aversion </w:t>
      </w:r>
      <w:r w:rsidRPr="00BF2229">
        <w:rPr>
          <w:i/>
          <w:sz w:val="20"/>
          <w:szCs w:val="20"/>
          <w:lang w:val="en-US"/>
        </w:rPr>
        <w:t>(CRRA)</w:t>
      </w:r>
      <w:r w:rsidR="00BF2229" w:rsidRPr="00BF2229">
        <w:rPr>
          <w:sz w:val="20"/>
          <w:szCs w:val="20"/>
          <w:lang w:val="en-US"/>
        </w:rPr>
        <w:t xml:space="preserve"> </w:t>
      </w:r>
      <w:r w:rsidR="008924C6">
        <w:rPr>
          <w:sz w:val="20"/>
          <w:szCs w:val="20"/>
          <w:lang w:val="en-US"/>
        </w:rPr>
        <w:t>imposed on the model</w:t>
      </w:r>
      <w:r w:rsidR="00BF2229" w:rsidRPr="00BF2229">
        <w:rPr>
          <w:sz w:val="20"/>
          <w:szCs w:val="20"/>
        </w:rPr>
        <w:t>.</w:t>
      </w:r>
      <w:r w:rsidR="00BF2229" w:rsidRPr="00BF2229">
        <w:rPr>
          <w:sz w:val="20"/>
          <w:szCs w:val="20"/>
          <w:lang w:val="en-US"/>
        </w:rPr>
        <w:t xml:space="preserve"> </w:t>
      </w:r>
      <w:r w:rsidR="00BE60B6">
        <w:rPr>
          <w:i/>
          <w:lang w:val="en-US"/>
        </w:rPr>
        <w:t xml:space="preserve"> </w:t>
      </w:r>
      <w:r w:rsidR="00BE60B6" w:rsidRPr="00D92ABC">
        <w:rPr>
          <w:i/>
          <w:sz w:val="20"/>
          <w:szCs w:val="20"/>
          <w:lang w:val="en-US"/>
        </w:rPr>
        <w:t>pq</w:t>
      </w:r>
      <w:r w:rsidR="00BE60B6" w:rsidRPr="00D92ABC">
        <w:rPr>
          <w:i/>
          <w:sz w:val="20"/>
          <w:szCs w:val="20"/>
          <w:vertAlign w:val="subscript"/>
          <w:lang w:val="en-US"/>
        </w:rPr>
        <w:t>di</w:t>
      </w:r>
      <w:r w:rsidR="00D92ABC">
        <w:rPr>
          <w:i/>
          <w:sz w:val="20"/>
          <w:szCs w:val="20"/>
          <w:vertAlign w:val="subscript"/>
          <w:lang w:val="en-US"/>
        </w:rPr>
        <w:t>,t</w:t>
      </w:r>
      <w:r w:rsidR="00BE60B6">
        <w:rPr>
          <w:sz w:val="20"/>
          <w:lang w:val="en-US"/>
        </w:rPr>
        <w:t xml:space="preserve"> is the constructed price-(scaled) real disposable income ratio, </w:t>
      </w:r>
      <w:r w:rsidR="00D92ABC" w:rsidRPr="002107A0">
        <w:rPr>
          <w:i/>
          <w:sz w:val="20"/>
          <w:szCs w:val="20"/>
          <w:lang w:val="en-US"/>
        </w:rPr>
        <w:sym w:font="Symbol" w:char="F044"/>
      </w:r>
      <w:r w:rsidR="00D92ABC" w:rsidRPr="002107A0">
        <w:rPr>
          <w:i/>
          <w:sz w:val="20"/>
          <w:szCs w:val="20"/>
          <w:lang w:val="en-US"/>
        </w:rPr>
        <w:t>q</w:t>
      </w:r>
      <w:r w:rsidR="00D92ABC" w:rsidRPr="002107A0">
        <w:rPr>
          <w:i/>
          <w:sz w:val="20"/>
          <w:szCs w:val="20"/>
          <w:vertAlign w:val="subscript"/>
          <w:lang w:val="en-US"/>
        </w:rPr>
        <w:t>di</w:t>
      </w:r>
      <w:r w:rsidR="00D92ABC">
        <w:rPr>
          <w:i/>
          <w:sz w:val="20"/>
          <w:szCs w:val="20"/>
          <w:vertAlign w:val="subscript"/>
          <w:lang w:val="en-US"/>
        </w:rPr>
        <w:t>,t</w:t>
      </w:r>
      <w:r w:rsidR="00D92ABC">
        <w:rPr>
          <w:sz w:val="20"/>
          <w:lang w:val="en-US"/>
        </w:rPr>
        <w:t xml:space="preserve"> </w:t>
      </w:r>
      <w:r w:rsidR="00BE60B6">
        <w:rPr>
          <w:sz w:val="20"/>
          <w:lang w:val="en-US"/>
        </w:rPr>
        <w:t xml:space="preserve">is the rate of growth of real disposable income and </w:t>
      </w:r>
      <w:r w:rsidR="00BE60B6">
        <w:rPr>
          <w:i/>
          <w:lang w:val="en-US"/>
        </w:rPr>
        <w:sym w:font="Symbol" w:char="F073"/>
      </w:r>
      <w:r w:rsidR="00BE60B6">
        <w:rPr>
          <w:i/>
          <w:vertAlign w:val="superscript"/>
          <w:lang w:val="en-US"/>
        </w:rPr>
        <w:t>2</w:t>
      </w:r>
      <w:r w:rsidR="00BE60B6">
        <w:rPr>
          <w:i/>
          <w:vertAlign w:val="subscript"/>
          <w:lang w:val="en-US"/>
        </w:rPr>
        <w:t>hp,t</w:t>
      </w:r>
      <w:r w:rsidR="00BE60B6">
        <w:rPr>
          <w:sz w:val="20"/>
          <w:lang w:val="en-US"/>
        </w:rPr>
        <w:t xml:space="preserve"> is the </w:t>
      </w:r>
      <w:r w:rsidR="00BE60B6">
        <w:rPr>
          <w:i/>
          <w:sz w:val="20"/>
          <w:lang w:val="en-US"/>
        </w:rPr>
        <w:t>t-</w:t>
      </w:r>
      <w:r w:rsidR="00BE60B6">
        <w:rPr>
          <w:sz w:val="20"/>
          <w:lang w:val="en-US"/>
        </w:rPr>
        <w:t xml:space="preserve">period variance of  the housing return series.  </w:t>
      </w:r>
      <w:r w:rsidR="00BE60B6" w:rsidRPr="00D92ABC">
        <w:rPr>
          <w:i/>
          <w:sz w:val="20"/>
          <w:szCs w:val="20"/>
          <w:lang w:val="en-US"/>
        </w:rPr>
        <w:t>pd</w:t>
      </w:r>
      <w:r w:rsidR="00BE60B6" w:rsidRPr="00D92ABC">
        <w:rPr>
          <w:i/>
          <w:sz w:val="20"/>
          <w:szCs w:val="20"/>
          <w:vertAlign w:val="subscript"/>
          <w:lang w:val="en-US"/>
        </w:rPr>
        <w:t>t</w:t>
      </w:r>
      <w:r w:rsidR="00BE60B6" w:rsidRPr="00D92ABC">
        <w:rPr>
          <w:sz w:val="20"/>
          <w:szCs w:val="20"/>
          <w:lang w:val="en-US"/>
        </w:rPr>
        <w:t xml:space="preserve"> </w:t>
      </w:r>
      <w:r w:rsidR="00BE60B6">
        <w:rPr>
          <w:sz w:val="20"/>
          <w:lang w:val="en-US"/>
        </w:rPr>
        <w:t xml:space="preserve"> is the dividend- stock price ratio.  The sample period is 1970:1 through 2005:4.  The model was estimated using </w:t>
      </w:r>
      <w:smartTag w:uri="urn:schemas-microsoft-com:office:smarttags" w:element="place">
        <w:smartTag w:uri="urn:schemas-microsoft-com:office:smarttags" w:element="country-region">
          <w:r w:rsidR="00BE60B6">
            <w:rPr>
              <w:sz w:val="20"/>
              <w:lang w:val="en-US"/>
            </w:rPr>
            <w:t>SUR.</w:t>
          </w:r>
        </w:smartTag>
      </w:smartTag>
      <w:r w:rsidR="00BE60B6">
        <w:rPr>
          <w:sz w:val="20"/>
          <w:lang w:val="en-US"/>
        </w:rPr>
        <w:t xml:space="preserve"> </w:t>
      </w:r>
      <w:r w:rsidR="00D92ABC">
        <w:rPr>
          <w:sz w:val="20"/>
          <w:lang w:val="en-US"/>
        </w:rPr>
        <w:t xml:space="preserve"> </w:t>
      </w:r>
      <w:r w:rsidR="00BE60B6">
        <w:rPr>
          <w:i/>
          <w:sz w:val="20"/>
          <w:lang w:val="en-US"/>
        </w:rPr>
        <w:t>R</w:t>
      </w:r>
      <w:r w:rsidR="00BE60B6">
        <w:rPr>
          <w:i/>
          <w:sz w:val="20"/>
          <w:vertAlign w:val="superscript"/>
          <w:lang w:val="en-US"/>
        </w:rPr>
        <w:t>2</w:t>
      </w:r>
      <w:r w:rsidR="00BE60B6">
        <w:rPr>
          <w:i/>
          <w:sz w:val="20"/>
          <w:lang w:val="en-US"/>
        </w:rPr>
        <w:t xml:space="preserve"> </w:t>
      </w:r>
      <w:r w:rsidR="00BE60B6">
        <w:rPr>
          <w:sz w:val="20"/>
          <w:lang w:val="en-US"/>
        </w:rPr>
        <w:t xml:space="preserve">is the coefficient of determination adjusted for lag length.  The </w:t>
      </w:r>
      <w:r w:rsidR="00BE60B6">
        <w:rPr>
          <w:i/>
          <w:sz w:val="20"/>
          <w:lang w:val="en-US"/>
        </w:rPr>
        <w:t xml:space="preserve">Q </w:t>
      </w:r>
      <w:r w:rsidR="00BE60B6">
        <w:rPr>
          <w:sz w:val="20"/>
          <w:lang w:val="en-US"/>
        </w:rPr>
        <w:t xml:space="preserve">statistic is the Ljung-Box test statistic for significance of up to the fourth autocorrelation coefficient.  Figures in parentheses below the </w:t>
      </w:r>
      <w:r w:rsidR="00BE60B6">
        <w:rPr>
          <w:i/>
          <w:sz w:val="20"/>
          <w:lang w:val="en-US"/>
        </w:rPr>
        <w:t xml:space="preserve">Q </w:t>
      </w:r>
      <w:r w:rsidR="00BE60B6">
        <w:rPr>
          <w:sz w:val="20"/>
          <w:lang w:val="en-US"/>
        </w:rPr>
        <w:t xml:space="preserve">statistic are marginal significance levels. </w:t>
      </w:r>
      <w:r w:rsidR="00D92ABC">
        <w:rPr>
          <w:sz w:val="20"/>
          <w:lang w:val="en-US"/>
        </w:rPr>
        <w:t xml:space="preserve"> </w:t>
      </w:r>
      <w:r w:rsidR="00BE60B6">
        <w:rPr>
          <w:i/>
          <w:sz w:val="20"/>
          <w:lang w:val="en-US"/>
        </w:rPr>
        <w:t>R</w:t>
      </w:r>
      <w:r w:rsidR="00BE60B6">
        <w:rPr>
          <w:i/>
          <w:sz w:val="20"/>
          <w:vertAlign w:val="superscript"/>
          <w:lang w:val="en-US"/>
        </w:rPr>
        <w:t>2</w:t>
      </w:r>
      <w:r w:rsidR="00BE60B6">
        <w:rPr>
          <w:sz w:val="20"/>
          <w:vertAlign w:val="superscript"/>
          <w:lang w:val="en-US"/>
        </w:rPr>
        <w:t xml:space="preserve"> </w:t>
      </w:r>
      <w:r w:rsidR="00BE60B6">
        <w:rPr>
          <w:sz w:val="20"/>
          <w:lang w:val="en-US"/>
        </w:rPr>
        <w:t>is the adjusted coefficient of determination. The Wald test statistic corresponds to a test of restrictions i</w:t>
      </w:r>
      <w:r w:rsidR="00E91AD0">
        <w:rPr>
          <w:sz w:val="20"/>
          <w:lang w:val="en-US"/>
        </w:rPr>
        <w:t>mposed on the VAR</w:t>
      </w:r>
      <w:r w:rsidR="00370D07">
        <w:rPr>
          <w:sz w:val="20"/>
          <w:lang w:val="en-US"/>
        </w:rPr>
        <w:t xml:space="preserve"> as described by equation (A17)</w:t>
      </w:r>
      <w:r w:rsidR="00E91AD0">
        <w:rPr>
          <w:sz w:val="20"/>
          <w:lang w:val="en-US"/>
        </w:rPr>
        <w:t>.</w:t>
      </w:r>
      <w:r w:rsidR="00BE60B6">
        <w:rPr>
          <w:i/>
          <w:sz w:val="20"/>
          <w:lang w:val="en-US"/>
        </w:rPr>
        <w:t xml:space="preserve">  </w:t>
      </w:r>
      <w:r w:rsidR="00BE60B6">
        <w:rPr>
          <w:sz w:val="20"/>
          <w:lang w:val="en-US"/>
        </w:rPr>
        <w:t xml:space="preserve">Under the hypothesis that the model is true, the Wald statistic is asymptotically </w:t>
      </w:r>
      <w:r w:rsidR="00BE60B6">
        <w:rPr>
          <w:i/>
          <w:sz w:val="20"/>
          <w:lang w:val="en-US"/>
        </w:rPr>
        <w:sym w:font="Symbol" w:char="F063"/>
      </w:r>
      <w:r w:rsidR="00BE60B6">
        <w:rPr>
          <w:i/>
          <w:sz w:val="20"/>
          <w:vertAlign w:val="superscript"/>
          <w:lang w:val="en-US"/>
        </w:rPr>
        <w:t>2</w:t>
      </w:r>
      <w:r w:rsidR="00BE60B6">
        <w:rPr>
          <w:sz w:val="20"/>
          <w:lang w:val="en-US"/>
        </w:rPr>
        <w:t xml:space="preserve">-distributed with degrees of freedom equal to the number of restrictions imposed; the marginal significance level appears in parentheses below the reported Wald statistic.  </w:t>
      </w:r>
    </w:p>
    <w:p w:rsidR="00BE60B6" w:rsidRDefault="00BE60B6" w:rsidP="00082031">
      <w:pPr>
        <w:pStyle w:val="Footer"/>
        <w:tabs>
          <w:tab w:val="clear" w:pos="4153"/>
          <w:tab w:val="clear" w:pos="8306"/>
        </w:tabs>
        <w:ind w:left="1440"/>
        <w:jc w:val="both"/>
        <w:rPr>
          <w:b/>
          <w:i/>
          <w:sz w:val="20"/>
          <w:lang w:val="en-US"/>
        </w:rPr>
        <w:sectPr w:rsidR="00BE60B6">
          <w:pgSz w:w="16838" w:h="11906" w:orient="landscape" w:code="9"/>
          <w:pgMar w:top="1797" w:right="1440" w:bottom="1797" w:left="1440" w:header="720" w:footer="720" w:gutter="0"/>
          <w:cols w:space="708"/>
          <w:docGrid w:linePitch="360"/>
        </w:sectPr>
      </w:pPr>
    </w:p>
    <w:p w:rsidR="00BE60B6" w:rsidRDefault="00BE60B6">
      <w:pPr>
        <w:rPr>
          <w:lang w:val="en-US"/>
        </w:rPr>
      </w:pPr>
    </w:p>
    <w:p w:rsidR="00BE60B6" w:rsidRDefault="00BE60B6">
      <w:pPr>
        <w:jc w:val="center"/>
        <w:rPr>
          <w:lang w:val="en-US"/>
        </w:rPr>
      </w:pPr>
      <w:r>
        <w:rPr>
          <w:lang w:val="en-US"/>
        </w:rPr>
        <w:t>Table 3</w:t>
      </w:r>
    </w:p>
    <w:p w:rsidR="00BE60B6" w:rsidRDefault="00BE60B6">
      <w:pPr>
        <w:jc w:val="center"/>
        <w:rPr>
          <w:lang w:val="en-US"/>
        </w:rPr>
      </w:pPr>
      <w:r>
        <w:rPr>
          <w:lang w:val="en-US"/>
        </w:rPr>
        <w:t>Summary Statistics on Price Deviations from Fundamental Value</w:t>
      </w:r>
    </w:p>
    <w:p w:rsidR="00BE60B6" w:rsidRDefault="00BE60B6">
      <w:pPr>
        <w:jc w:val="center"/>
        <w:rPr>
          <w:i/>
          <w:lang w:val="en-US"/>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2840"/>
        <w:gridCol w:w="3208"/>
      </w:tblGrid>
      <w:tr w:rsidR="00BE60B6">
        <w:tblPrEx>
          <w:tblCellMar>
            <w:top w:w="0" w:type="dxa"/>
            <w:bottom w:w="0" w:type="dxa"/>
          </w:tblCellMar>
        </w:tblPrEx>
        <w:trPr>
          <w:jc w:val="center"/>
        </w:trPr>
        <w:tc>
          <w:tcPr>
            <w:tcW w:w="2840" w:type="dxa"/>
          </w:tcPr>
          <w:p w:rsidR="00BE60B6" w:rsidRDefault="00BE60B6">
            <w:pPr>
              <w:spacing w:line="480" w:lineRule="auto"/>
              <w:jc w:val="center"/>
              <w:rPr>
                <w:i/>
                <w:lang w:val="en-US"/>
              </w:rPr>
            </w:pPr>
            <w:r>
              <w:rPr>
                <w:i/>
                <w:lang w:val="en-US"/>
              </w:rPr>
              <w:t>Corr(deviations,income)</w:t>
            </w:r>
          </w:p>
        </w:tc>
        <w:tc>
          <w:tcPr>
            <w:tcW w:w="3208" w:type="dxa"/>
          </w:tcPr>
          <w:p w:rsidR="00BE60B6" w:rsidRDefault="00BE60B6">
            <w:pPr>
              <w:spacing w:line="480" w:lineRule="auto"/>
              <w:jc w:val="center"/>
              <w:rPr>
                <w:i/>
                <w:lang w:val="en-US"/>
              </w:rPr>
            </w:pPr>
            <w:r>
              <w:rPr>
                <w:i/>
                <w:lang w:val="en-US"/>
              </w:rPr>
              <w:t>Corr(deviations,house prices)</w:t>
            </w:r>
          </w:p>
        </w:tc>
      </w:tr>
      <w:tr w:rsidR="00BE60B6">
        <w:tblPrEx>
          <w:tblCellMar>
            <w:top w:w="0" w:type="dxa"/>
            <w:bottom w:w="0" w:type="dxa"/>
          </w:tblCellMar>
        </w:tblPrEx>
        <w:trPr>
          <w:jc w:val="center"/>
        </w:trPr>
        <w:tc>
          <w:tcPr>
            <w:tcW w:w="2840" w:type="dxa"/>
          </w:tcPr>
          <w:p w:rsidR="00BE60B6" w:rsidRDefault="00BE60B6">
            <w:pPr>
              <w:jc w:val="center"/>
              <w:rPr>
                <w:lang w:val="en-US"/>
              </w:rPr>
            </w:pPr>
            <w:r>
              <w:rPr>
                <w:lang w:val="en-US"/>
              </w:rPr>
              <w:t>0.155</w:t>
            </w:r>
            <w:r w:rsidR="00351653">
              <w:rPr>
                <w:lang w:val="en-US"/>
              </w:rPr>
              <w:t>*</w:t>
            </w:r>
          </w:p>
          <w:p w:rsidR="00BE60B6" w:rsidRDefault="00BE60B6">
            <w:pPr>
              <w:jc w:val="center"/>
              <w:rPr>
                <w:lang w:val="en-US"/>
              </w:rPr>
            </w:pPr>
            <w:r>
              <w:rPr>
                <w:lang w:val="en-US"/>
              </w:rPr>
              <w:t>(t=1.845)</w:t>
            </w:r>
          </w:p>
        </w:tc>
        <w:tc>
          <w:tcPr>
            <w:tcW w:w="3208" w:type="dxa"/>
          </w:tcPr>
          <w:p w:rsidR="00BE60B6" w:rsidRDefault="00BE60B6">
            <w:pPr>
              <w:jc w:val="center"/>
              <w:rPr>
                <w:lang w:val="en-US"/>
              </w:rPr>
            </w:pPr>
            <w:r>
              <w:rPr>
                <w:lang w:val="en-US"/>
              </w:rPr>
              <w:t>0.442</w:t>
            </w:r>
            <w:r w:rsidR="00AB2CA7">
              <w:rPr>
                <w:lang w:val="en-US"/>
              </w:rPr>
              <w:t>***</w:t>
            </w:r>
          </w:p>
          <w:p w:rsidR="00BE60B6" w:rsidRDefault="00BE60B6">
            <w:pPr>
              <w:jc w:val="center"/>
              <w:rPr>
                <w:lang w:val="en-US"/>
              </w:rPr>
            </w:pPr>
            <w:r>
              <w:rPr>
                <w:lang w:val="en-US"/>
              </w:rPr>
              <w:t>(t=5.725)</w:t>
            </w:r>
          </w:p>
        </w:tc>
      </w:tr>
    </w:tbl>
    <w:p w:rsidR="00BE60B6" w:rsidRDefault="00BE60B6">
      <w:pPr>
        <w:ind w:left="1080" w:right="1106"/>
        <w:jc w:val="both"/>
        <w:rPr>
          <w:sz w:val="20"/>
          <w:lang w:val="en-US"/>
        </w:rPr>
      </w:pPr>
      <w:r>
        <w:rPr>
          <w:sz w:val="20"/>
          <w:lang w:val="en-US"/>
        </w:rPr>
        <w:t xml:space="preserve">Deviations denotes (logged) actual real house prices less (logged) fundamental house prices </w:t>
      </w:r>
      <w:r>
        <w:rPr>
          <w:i/>
          <w:position w:val="-12"/>
          <w:lang w:val="en-US"/>
        </w:rPr>
        <w:object w:dxaOrig="1020" w:dyaOrig="380">
          <v:shape id="_x0000_i1082" type="#_x0000_t75" style="width:51.2pt;height:18.75pt" o:ole="" fillcolor="window">
            <v:imagedata r:id="rId121" o:title=""/>
          </v:shape>
          <o:OLEObject Type="Embed" ProgID="Equation.3" ShapeID="_x0000_i1082" DrawAspect="Content" ObjectID="_1381729994" r:id="rId122"/>
        </w:object>
      </w:r>
      <w:r>
        <w:rPr>
          <w:sz w:val="20"/>
          <w:lang w:val="en-US"/>
        </w:rPr>
        <w:t xml:space="preserve">. Income denotes (log) demeaned and </w:t>
      </w:r>
    </w:p>
    <w:p w:rsidR="00BE60B6" w:rsidRDefault="00BE60B6">
      <w:pPr>
        <w:ind w:left="1080" w:right="1106"/>
        <w:jc w:val="both"/>
        <w:rPr>
          <w:sz w:val="20"/>
          <w:lang w:val="en-US"/>
        </w:rPr>
      </w:pPr>
      <w:r>
        <w:rPr>
          <w:sz w:val="20"/>
          <w:lang w:val="en-US"/>
        </w:rPr>
        <w:t>detrended real disposable income (</w:t>
      </w:r>
      <w:r>
        <w:rPr>
          <w:i/>
          <w:sz w:val="20"/>
          <w:lang w:val="en-US"/>
        </w:rPr>
        <w:t>q</w:t>
      </w:r>
      <w:r>
        <w:rPr>
          <w:i/>
          <w:sz w:val="20"/>
          <w:vertAlign w:val="subscript"/>
          <w:lang w:val="en-US"/>
        </w:rPr>
        <w:t>t</w:t>
      </w:r>
      <w:r>
        <w:rPr>
          <w:i/>
          <w:sz w:val="20"/>
          <w:lang w:val="en-US"/>
        </w:rPr>
        <w:t>)</w:t>
      </w:r>
      <w:r>
        <w:rPr>
          <w:i/>
          <w:sz w:val="20"/>
          <w:vertAlign w:val="subscript"/>
          <w:lang w:val="en-US"/>
        </w:rPr>
        <w:t xml:space="preserve"> </w:t>
      </w:r>
      <w:r>
        <w:rPr>
          <w:sz w:val="20"/>
          <w:lang w:val="en-US"/>
        </w:rPr>
        <w:t xml:space="preserve">and house prices, the (log) of actual real house prices </w:t>
      </w:r>
      <w:r>
        <w:rPr>
          <w:i/>
          <w:position w:val="-12"/>
          <w:lang w:val="en-US"/>
        </w:rPr>
        <w:object w:dxaOrig="480" w:dyaOrig="360">
          <v:shape id="_x0000_i1083" type="#_x0000_t75" style="width:23.85pt;height:18.25pt" o:ole="" fillcolor="window">
            <v:imagedata r:id="rId123" o:title=""/>
          </v:shape>
          <o:OLEObject Type="Embed" ProgID="Equation.3" ShapeID="_x0000_i1083" DrawAspect="Content" ObjectID="_1381729995" r:id="rId124"/>
        </w:object>
      </w:r>
      <w:r>
        <w:rPr>
          <w:sz w:val="20"/>
          <w:lang w:val="en-US"/>
        </w:rPr>
        <w:t xml:space="preserve">.  Corr(.) denotes the correlation coefficient. The t-statistic is calculated as </w:t>
      </w:r>
      <w:r>
        <w:rPr>
          <w:position w:val="-10"/>
          <w:sz w:val="20"/>
          <w:lang w:val="en-US"/>
        </w:rPr>
        <w:object w:dxaOrig="2600" w:dyaOrig="420">
          <v:shape id="_x0000_i1084" type="#_x0000_t75" style="width:129.8pt;height:20.8pt" o:ole="" fillcolor="window">
            <v:imagedata r:id="rId125" o:title=""/>
          </v:shape>
          <o:OLEObject Type="Embed" ProgID="Equation.3" ShapeID="_x0000_i1084" DrawAspect="Content" ObjectID="_1381729996" r:id="rId126"/>
        </w:object>
      </w:r>
      <w:r>
        <w:rPr>
          <w:sz w:val="20"/>
          <w:lang w:val="en-US"/>
        </w:rPr>
        <w:t xml:space="preserve">, where </w:t>
      </w:r>
      <w:r>
        <w:rPr>
          <w:i/>
          <w:sz w:val="20"/>
          <w:lang w:val="en-US"/>
        </w:rPr>
        <w:t>corr</w:t>
      </w:r>
      <w:r>
        <w:rPr>
          <w:sz w:val="20"/>
          <w:lang w:val="en-US"/>
        </w:rPr>
        <w:t xml:space="preserve">  is the correlation coefficient and </w:t>
      </w:r>
      <w:r>
        <w:rPr>
          <w:i/>
          <w:sz w:val="20"/>
          <w:lang w:val="en-US"/>
        </w:rPr>
        <w:t>corr</w:t>
      </w:r>
      <w:r>
        <w:rPr>
          <w:sz w:val="20"/>
          <w:vertAlign w:val="superscript"/>
          <w:lang w:val="en-US"/>
        </w:rPr>
        <w:t>2</w:t>
      </w:r>
      <w:r>
        <w:rPr>
          <w:sz w:val="20"/>
          <w:vertAlign w:val="subscript"/>
          <w:lang w:val="en-US"/>
        </w:rPr>
        <w:t xml:space="preserve"> </w:t>
      </w:r>
      <w:r>
        <w:rPr>
          <w:sz w:val="20"/>
          <w:lang w:val="en-US"/>
        </w:rPr>
        <w:t xml:space="preserve">is the squared correlation coefficient. </w:t>
      </w:r>
      <w:r w:rsidR="00351653">
        <w:rPr>
          <w:sz w:val="20"/>
          <w:lang w:val="en-US"/>
        </w:rPr>
        <w:t xml:space="preserve"> Asterisks denote rejection of the null of zero correlation at 10%(*) and 1% (***) levels of significance.</w:t>
      </w:r>
    </w:p>
    <w:p w:rsidR="00BE60B6" w:rsidRDefault="00BE60B6">
      <w:pPr>
        <w:ind w:left="1080" w:right="1106"/>
        <w:jc w:val="both"/>
        <w:rPr>
          <w:sz w:val="20"/>
          <w:lang w:val="en-US"/>
        </w:rPr>
      </w:pPr>
    </w:p>
    <w:p w:rsidR="00BE60B6" w:rsidRDefault="00BE60B6">
      <w:pPr>
        <w:jc w:val="center"/>
        <w:rPr>
          <w:lang w:val="en-US"/>
        </w:rPr>
      </w:pPr>
    </w:p>
    <w:p w:rsidR="00BE60B6" w:rsidRDefault="00BE60B6">
      <w:pPr>
        <w:jc w:val="center"/>
        <w:rPr>
          <w:lang w:val="en-US"/>
        </w:rPr>
      </w:pPr>
    </w:p>
    <w:p w:rsidR="00BE60B6" w:rsidRDefault="00BE60B6">
      <w:pPr>
        <w:jc w:val="center"/>
        <w:rPr>
          <w:lang w:val="en-US"/>
        </w:rPr>
      </w:pPr>
    </w:p>
    <w:p w:rsidR="00BE60B6" w:rsidRDefault="00BE60B6">
      <w:pPr>
        <w:jc w:val="center"/>
        <w:rPr>
          <w:lang w:val="en-US"/>
        </w:rPr>
      </w:pPr>
    </w:p>
    <w:p w:rsidR="00BE60B6" w:rsidRDefault="00BE60B6">
      <w:pPr>
        <w:jc w:val="center"/>
        <w:rPr>
          <w:lang w:val="en-US"/>
        </w:rPr>
      </w:pPr>
      <w:r>
        <w:rPr>
          <w:lang w:val="en-US"/>
        </w:rPr>
        <w:t>Table 4</w:t>
      </w:r>
    </w:p>
    <w:p w:rsidR="00BE60B6" w:rsidRDefault="00BE60B6">
      <w:pPr>
        <w:jc w:val="center"/>
        <w:rPr>
          <w:lang w:val="en-US"/>
        </w:rPr>
      </w:pPr>
      <w:r>
        <w:rPr>
          <w:lang w:val="en-US"/>
        </w:rPr>
        <w:t>Regression of Deviations from Present Value on Income</w:t>
      </w:r>
    </w:p>
    <w:p w:rsidR="00BE60B6" w:rsidRDefault="00BE60B6">
      <w:pPr>
        <w:jc w:val="center"/>
        <w:rPr>
          <w:lang w:val="en-US"/>
        </w:rPr>
      </w:pPr>
      <w:r>
        <w:rPr>
          <w:position w:val="-12"/>
          <w:lang w:val="en-US"/>
        </w:rPr>
        <w:object w:dxaOrig="2380" w:dyaOrig="380">
          <v:shape id="_x0000_i1085" type="#_x0000_t75" style="width:119.15pt;height:18.75pt" o:ole="" fillcolor="window">
            <v:imagedata r:id="rId127" o:title=""/>
          </v:shape>
          <o:OLEObject Type="Embed" ProgID="Equation.3" ShapeID="_x0000_i1085" DrawAspect="Content" ObjectID="_1381729997" r:id="rId128"/>
        </w:objec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2207"/>
        <w:gridCol w:w="2215"/>
        <w:gridCol w:w="2116"/>
        <w:gridCol w:w="1984"/>
      </w:tblGrid>
      <w:tr w:rsidR="00BE60B6">
        <w:tblPrEx>
          <w:tblCellMar>
            <w:top w:w="0" w:type="dxa"/>
            <w:bottom w:w="0" w:type="dxa"/>
          </w:tblCellMar>
        </w:tblPrEx>
        <w:tc>
          <w:tcPr>
            <w:tcW w:w="2207" w:type="dxa"/>
          </w:tcPr>
          <w:p w:rsidR="00BE60B6" w:rsidRDefault="00BE60B6">
            <w:pPr>
              <w:jc w:val="center"/>
              <w:rPr>
                <w:lang w:val="en-US"/>
              </w:rPr>
            </w:pPr>
            <w:r>
              <w:rPr>
                <w:position w:val="-6"/>
                <w:lang w:val="en-US"/>
              </w:rPr>
              <w:object w:dxaOrig="240" w:dyaOrig="279">
                <v:shape id="_x0000_i1086" type="#_x0000_t75" style="width:12.15pt;height:14.2pt" o:ole="" fillcolor="window">
                  <v:imagedata r:id="rId129" o:title=""/>
                </v:shape>
                <o:OLEObject Type="Embed" ProgID="Equation.3" ShapeID="_x0000_i1086" DrawAspect="Content" ObjectID="_1381729998" r:id="rId130"/>
              </w:object>
            </w:r>
          </w:p>
        </w:tc>
        <w:tc>
          <w:tcPr>
            <w:tcW w:w="2215" w:type="dxa"/>
          </w:tcPr>
          <w:p w:rsidR="00BE60B6" w:rsidRDefault="00BE60B6">
            <w:pPr>
              <w:jc w:val="center"/>
              <w:rPr>
                <w:lang w:val="en-US"/>
              </w:rPr>
            </w:pPr>
            <w:r>
              <w:rPr>
                <w:position w:val="-6"/>
                <w:lang w:val="en-US"/>
              </w:rPr>
              <w:object w:dxaOrig="260" w:dyaOrig="279">
                <v:shape id="_x0000_i1087" type="#_x0000_t75" style="width:13.2pt;height:14.2pt" o:ole="" fillcolor="window">
                  <v:imagedata r:id="rId131" o:title=""/>
                </v:shape>
                <o:OLEObject Type="Embed" ProgID="Equation.3" ShapeID="_x0000_i1087" DrawAspect="Content" ObjectID="_1381729999" r:id="rId132"/>
              </w:object>
            </w:r>
          </w:p>
        </w:tc>
        <w:tc>
          <w:tcPr>
            <w:tcW w:w="2116" w:type="dxa"/>
          </w:tcPr>
          <w:p w:rsidR="00BE60B6" w:rsidRDefault="00BE60B6">
            <w:pPr>
              <w:jc w:val="center"/>
              <w:rPr>
                <w:i/>
                <w:vertAlign w:val="superscript"/>
                <w:lang w:val="en-US"/>
              </w:rPr>
            </w:pPr>
            <w:r>
              <w:rPr>
                <w:i/>
                <w:lang w:val="en-US"/>
              </w:rPr>
              <w:t>R</w:t>
            </w:r>
            <w:r>
              <w:rPr>
                <w:i/>
                <w:vertAlign w:val="superscript"/>
                <w:lang w:val="en-US"/>
              </w:rPr>
              <w:t>2</w:t>
            </w:r>
          </w:p>
        </w:tc>
        <w:tc>
          <w:tcPr>
            <w:tcW w:w="1984" w:type="dxa"/>
          </w:tcPr>
          <w:p w:rsidR="00BE60B6" w:rsidRDefault="00BE60B6">
            <w:pPr>
              <w:jc w:val="both"/>
              <w:rPr>
                <w:i/>
                <w:sz w:val="20"/>
                <w:lang w:val="en-US"/>
              </w:rPr>
            </w:pPr>
            <w:r>
              <w:rPr>
                <w:i/>
                <w:sz w:val="20"/>
                <w:lang w:val="en-US"/>
              </w:rPr>
              <w:t>Unit Root Test</w:t>
            </w:r>
          </w:p>
          <w:p w:rsidR="00BE60B6" w:rsidRDefault="00BE60B6">
            <w:pPr>
              <w:jc w:val="center"/>
              <w:rPr>
                <w:i/>
                <w:lang w:val="en-US"/>
              </w:rPr>
            </w:pPr>
            <w:r>
              <w:rPr>
                <w:i/>
                <w:sz w:val="20"/>
                <w:lang w:val="en-US"/>
              </w:rPr>
              <w:t>(ADF)</w:t>
            </w:r>
            <w:r>
              <w:rPr>
                <w:i/>
                <w:lang w:val="en-US"/>
              </w:rPr>
              <w:t xml:space="preserve"> (</w:t>
            </w:r>
            <w:r>
              <w:rPr>
                <w:position w:val="-12"/>
                <w:lang w:val="en-US"/>
              </w:rPr>
              <w:object w:dxaOrig="300" w:dyaOrig="360">
                <v:shape id="_x0000_i1088" type="#_x0000_t75" style="width:15.2pt;height:18.25pt" o:ole="" fillcolor="window">
                  <v:imagedata r:id="rId133" o:title=""/>
                </v:shape>
                <o:OLEObject Type="Embed" ProgID="Equation.3" ShapeID="_x0000_i1088" DrawAspect="Content" ObjectID="_1381730000" r:id="rId134"/>
              </w:object>
            </w:r>
            <w:r>
              <w:rPr>
                <w:lang w:val="en-US"/>
              </w:rPr>
              <w:t>)</w:t>
            </w:r>
          </w:p>
        </w:tc>
      </w:tr>
      <w:tr w:rsidR="00BE60B6">
        <w:tblPrEx>
          <w:tblCellMar>
            <w:top w:w="0" w:type="dxa"/>
            <w:bottom w:w="0" w:type="dxa"/>
          </w:tblCellMar>
        </w:tblPrEx>
        <w:tc>
          <w:tcPr>
            <w:tcW w:w="2207" w:type="dxa"/>
          </w:tcPr>
          <w:p w:rsidR="00BE60B6" w:rsidRDefault="00BE60B6">
            <w:pPr>
              <w:jc w:val="center"/>
              <w:rPr>
                <w:lang w:val="en-US"/>
              </w:rPr>
            </w:pPr>
            <w:r>
              <w:rPr>
                <w:lang w:val="en-US"/>
              </w:rPr>
              <w:t>-0.0007</w:t>
            </w:r>
          </w:p>
          <w:p w:rsidR="00BE60B6" w:rsidRDefault="00BE60B6">
            <w:pPr>
              <w:jc w:val="center"/>
              <w:rPr>
                <w:lang w:val="en-US"/>
              </w:rPr>
            </w:pPr>
            <w:r>
              <w:rPr>
                <w:lang w:val="en-US"/>
              </w:rPr>
              <w:t>(0.020)</w:t>
            </w:r>
          </w:p>
        </w:tc>
        <w:tc>
          <w:tcPr>
            <w:tcW w:w="2215" w:type="dxa"/>
          </w:tcPr>
          <w:p w:rsidR="00BE60B6" w:rsidRDefault="00BE60B6">
            <w:pPr>
              <w:jc w:val="center"/>
              <w:rPr>
                <w:lang w:val="en-US"/>
              </w:rPr>
            </w:pPr>
            <w:r>
              <w:rPr>
                <w:lang w:val="en-US"/>
              </w:rPr>
              <w:t>0.332</w:t>
            </w:r>
          </w:p>
          <w:p w:rsidR="00BE60B6" w:rsidRDefault="00BE60B6">
            <w:pPr>
              <w:jc w:val="center"/>
              <w:rPr>
                <w:lang w:val="en-US"/>
              </w:rPr>
            </w:pPr>
            <w:r>
              <w:rPr>
                <w:lang w:val="en-US"/>
              </w:rPr>
              <w:t>(0.363)</w:t>
            </w:r>
          </w:p>
        </w:tc>
        <w:tc>
          <w:tcPr>
            <w:tcW w:w="2116" w:type="dxa"/>
          </w:tcPr>
          <w:p w:rsidR="00BE60B6" w:rsidRDefault="00BE60B6">
            <w:pPr>
              <w:jc w:val="center"/>
              <w:rPr>
                <w:lang w:val="en-US"/>
              </w:rPr>
            </w:pPr>
            <w:r>
              <w:rPr>
                <w:lang w:val="en-US"/>
              </w:rPr>
              <w:t>0.024</w:t>
            </w:r>
          </w:p>
        </w:tc>
        <w:tc>
          <w:tcPr>
            <w:tcW w:w="1984" w:type="dxa"/>
          </w:tcPr>
          <w:p w:rsidR="00BE60B6" w:rsidRDefault="00B50A56">
            <w:pPr>
              <w:jc w:val="center"/>
              <w:rPr>
                <w:lang w:val="en-US"/>
              </w:rPr>
            </w:pPr>
            <w:r>
              <w:rPr>
                <w:lang w:val="en-US"/>
              </w:rPr>
              <w:t>-1.415</w:t>
            </w:r>
          </w:p>
        </w:tc>
      </w:tr>
    </w:tbl>
    <w:p w:rsidR="00BE60B6" w:rsidRDefault="00BE60B6">
      <w:pPr>
        <w:jc w:val="both"/>
        <w:rPr>
          <w:sz w:val="20"/>
          <w:lang w:val="en-US"/>
        </w:rPr>
      </w:pPr>
      <w:r>
        <w:rPr>
          <w:position w:val="-12"/>
          <w:sz w:val="20"/>
          <w:lang w:val="en-US"/>
        </w:rPr>
        <w:object w:dxaOrig="780" w:dyaOrig="380">
          <v:shape id="_x0000_i1089" type="#_x0000_t75" style="width:39.05pt;height:18.75pt" o:ole="" fillcolor="window">
            <v:imagedata r:id="rId135" o:title=""/>
          </v:shape>
          <o:OLEObject Type="Embed" ProgID="Equation.3" ShapeID="_x0000_i1089" DrawAspect="Content" ObjectID="_1381730001" r:id="rId136"/>
        </w:object>
      </w:r>
      <w:r>
        <w:rPr>
          <w:sz w:val="20"/>
          <w:lang w:val="en-US"/>
        </w:rPr>
        <w:t xml:space="preserve"> denotes (logged) house price deviations from present value, </w:t>
      </w:r>
      <w:r>
        <w:rPr>
          <w:position w:val="-14"/>
          <w:lang w:val="en-US"/>
        </w:rPr>
        <w:object w:dxaOrig="380" w:dyaOrig="400">
          <v:shape id="_x0000_i1090" type="#_x0000_t75" style="width:18.75pt;height:19.75pt" o:ole="" fillcolor="window">
            <v:imagedata r:id="rId137" o:title=""/>
          </v:shape>
          <o:OLEObject Type="Embed" ProgID="Equation.3" ShapeID="_x0000_i1090" DrawAspect="Content" ObjectID="_1381730002" r:id="rId138"/>
        </w:object>
      </w:r>
      <w:r>
        <w:rPr>
          <w:lang w:val="en-US"/>
        </w:rPr>
        <w:t xml:space="preserve"> </w:t>
      </w:r>
      <w:r>
        <w:rPr>
          <w:sz w:val="20"/>
          <w:lang w:val="en-US"/>
        </w:rPr>
        <w:t>is</w:t>
      </w:r>
      <w:r>
        <w:rPr>
          <w:lang w:val="en-US"/>
        </w:rPr>
        <w:t xml:space="preserve"> </w:t>
      </w:r>
      <w:r>
        <w:rPr>
          <w:sz w:val="20"/>
          <w:lang w:val="en-US"/>
        </w:rPr>
        <w:t xml:space="preserve">demeaned and detrended real disposable income and </w:t>
      </w:r>
      <w:r>
        <w:rPr>
          <w:position w:val="-12"/>
          <w:lang w:val="en-US"/>
        </w:rPr>
        <w:object w:dxaOrig="300" w:dyaOrig="360">
          <v:shape id="_x0000_i1091" type="#_x0000_t75" style="width:15.2pt;height:18.25pt" o:ole="" fillcolor="window">
            <v:imagedata r:id="rId133" o:title=""/>
          </v:shape>
          <o:OLEObject Type="Embed" ProgID="Equation.3" ShapeID="_x0000_i1091" DrawAspect="Content" ObjectID="_1381730003" r:id="rId139"/>
        </w:object>
      </w:r>
      <w:r>
        <w:rPr>
          <w:lang w:val="en-US"/>
        </w:rPr>
        <w:t xml:space="preserve"> </w:t>
      </w:r>
      <w:r>
        <w:rPr>
          <w:sz w:val="20"/>
          <w:lang w:val="en-US"/>
        </w:rPr>
        <w:t xml:space="preserve">is the error term of the regression. </w:t>
      </w:r>
      <w:r w:rsidR="00D92ABC">
        <w:rPr>
          <w:sz w:val="20"/>
          <w:lang w:val="en-US"/>
        </w:rPr>
        <w:t xml:space="preserve"> </w:t>
      </w:r>
      <w:r>
        <w:rPr>
          <w:position w:val="-10"/>
          <w:lang w:val="en-US"/>
        </w:rPr>
        <w:object w:dxaOrig="560" w:dyaOrig="320">
          <v:shape id="_x0000_i1092" type="#_x0000_t75" style="width:27.9pt;height:16.25pt" o:ole="" fillcolor="window">
            <v:imagedata r:id="rId140" o:title=""/>
          </v:shape>
          <o:OLEObject Type="Embed" ProgID="Equation.3" ShapeID="_x0000_i1092" DrawAspect="Content" ObjectID="_1381730004" r:id="rId141"/>
        </w:object>
      </w:r>
      <w:r>
        <w:rPr>
          <w:lang w:val="en-US"/>
        </w:rPr>
        <w:t xml:space="preserve"> </w:t>
      </w:r>
      <w:r>
        <w:rPr>
          <w:sz w:val="20"/>
          <w:lang w:val="en-US"/>
        </w:rPr>
        <w:t>are the parameters of interest</w:t>
      </w:r>
      <w:r>
        <w:rPr>
          <w:lang w:val="en-US"/>
        </w:rPr>
        <w:t xml:space="preserve"> </w:t>
      </w:r>
      <w:r>
        <w:rPr>
          <w:sz w:val="20"/>
          <w:lang w:val="en-US"/>
        </w:rPr>
        <w:t xml:space="preserve">with the figures in parenthesis below the coefficient estimates being Newey-West standard errors.  </w:t>
      </w:r>
      <w:r>
        <w:rPr>
          <w:i/>
          <w:lang w:val="en-US"/>
        </w:rPr>
        <w:t>R</w:t>
      </w:r>
      <w:r>
        <w:rPr>
          <w:i/>
          <w:vertAlign w:val="superscript"/>
          <w:lang w:val="en-US"/>
        </w:rPr>
        <w:t>2</w:t>
      </w:r>
      <w:r>
        <w:rPr>
          <w:i/>
          <w:lang w:val="en-US"/>
        </w:rPr>
        <w:t xml:space="preserve"> </w:t>
      </w:r>
      <w:r>
        <w:rPr>
          <w:sz w:val="20"/>
          <w:lang w:val="en-US"/>
        </w:rPr>
        <w:t xml:space="preserve">denotes the coefficient of determination and </w:t>
      </w:r>
      <w:r>
        <w:rPr>
          <w:i/>
          <w:sz w:val="20"/>
          <w:lang w:val="en-US"/>
        </w:rPr>
        <w:t xml:space="preserve">ADF, </w:t>
      </w:r>
      <w:r>
        <w:rPr>
          <w:sz w:val="20"/>
          <w:lang w:val="en-US"/>
        </w:rPr>
        <w:t>the augmented Dickey-Fuller test statistic.  Critical values for the ADF statistics with an intercept and trend removed are:  1% -2.58; 5% -1.94; 10% -1.62.</w:t>
      </w:r>
    </w:p>
    <w:p w:rsidR="00BE60B6" w:rsidRDefault="00BE60B6">
      <w:pPr>
        <w:jc w:val="both"/>
        <w:rPr>
          <w:sz w:val="20"/>
          <w:lang w:val="en-US"/>
        </w:rPr>
      </w:pPr>
    </w:p>
    <w:p w:rsidR="00BE60B6" w:rsidRDefault="00BE60B6">
      <w:pPr>
        <w:ind w:left="360" w:hanging="360"/>
        <w:jc w:val="center"/>
        <w:rPr>
          <w:lang w:val="en-US"/>
        </w:rPr>
      </w:pPr>
      <w:r>
        <w:rPr>
          <w:lang w:val="en-US"/>
        </w:rPr>
        <w:br w:type="page"/>
      </w:r>
      <w:r>
        <w:rPr>
          <w:lang w:val="en-US"/>
        </w:rPr>
        <w:lastRenderedPageBreak/>
        <w:t>Figure 1</w:t>
      </w:r>
    </w:p>
    <w:p w:rsidR="00BE60B6" w:rsidRDefault="00BE60B6">
      <w:pPr>
        <w:jc w:val="center"/>
        <w:outlineLvl w:val="0"/>
        <w:rPr>
          <w:lang w:val="en-US"/>
        </w:rPr>
      </w:pPr>
      <w:r>
        <w:rPr>
          <w:i/>
          <w:lang w:val="en-US"/>
        </w:rPr>
        <w:t xml:space="preserve">  </w:t>
      </w:r>
      <w:r>
        <w:rPr>
          <w:lang w:val="en-US"/>
        </w:rPr>
        <w:t xml:space="preserve">Actual </w:t>
      </w:r>
      <w:r>
        <w:rPr>
          <w:position w:val="-12"/>
          <w:lang w:val="en-US"/>
        </w:rPr>
        <w:object w:dxaOrig="560" w:dyaOrig="380">
          <v:shape id="_x0000_i1093" type="#_x0000_t75" style="width:27.9pt;height:18.75pt" o:ole="" fillcolor="window">
            <v:imagedata r:id="rId142" o:title=""/>
          </v:shape>
          <o:OLEObject Type="Embed" ProgID="Equation.3" ShapeID="_x0000_i1093" DrawAspect="Content" ObjectID="_1381730005" r:id="rId143"/>
        </w:object>
      </w:r>
      <w:r>
        <w:rPr>
          <w:lang w:val="en-US"/>
        </w:rPr>
        <w:t>and Fundamental</w:t>
      </w:r>
      <w:r>
        <w:rPr>
          <w:position w:val="-12"/>
          <w:lang w:val="en-US"/>
        </w:rPr>
        <w:object w:dxaOrig="560" w:dyaOrig="380">
          <v:shape id="_x0000_i1094" type="#_x0000_t75" style="width:27.9pt;height:18.75pt" o:ole="" fillcolor="window">
            <v:imagedata r:id="rId144" o:title=""/>
          </v:shape>
          <o:OLEObject Type="Embed" ProgID="Equation.3" ShapeID="_x0000_i1094" DrawAspect="Content" ObjectID="_1381730006" r:id="rId145"/>
        </w:object>
      </w:r>
      <w:r>
        <w:rPr>
          <w:lang w:val="en-US"/>
        </w:rPr>
        <w:t xml:space="preserve"> Real Residential House Prices as Warranted by Real Disposable Income</w:t>
      </w:r>
    </w:p>
    <w:p w:rsidR="00BE60B6" w:rsidRDefault="007544EC">
      <w:pPr>
        <w:jc w:val="center"/>
        <w:rPr>
          <w:lang w:val="en-US"/>
        </w:rPr>
      </w:pPr>
      <w:r>
        <w:rPr>
          <w:noProof/>
        </w:rPr>
        <w:drawing>
          <wp:inline distT="0" distB="0" distL="0" distR="0">
            <wp:extent cx="4469130" cy="3973195"/>
            <wp:effectExtent l="19050" t="0" r="7620" b="0"/>
            <wp:docPr id="71" name="Picture 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1"/>
                    <pic:cNvPicPr>
                      <a:picLocks noChangeAspect="1" noChangeArrowheads="1"/>
                    </pic:cNvPicPr>
                  </pic:nvPicPr>
                  <pic:blipFill>
                    <a:blip r:embed="rId146" cstate="print"/>
                    <a:srcRect/>
                    <a:stretch>
                      <a:fillRect/>
                    </a:stretch>
                  </pic:blipFill>
                  <pic:spPr bwMode="auto">
                    <a:xfrm>
                      <a:off x="0" y="0"/>
                      <a:ext cx="4469130" cy="3973195"/>
                    </a:xfrm>
                    <a:prstGeom prst="rect">
                      <a:avLst/>
                    </a:prstGeom>
                    <a:noFill/>
                    <a:ln w="9525">
                      <a:noFill/>
                      <a:miter lim="800000"/>
                      <a:headEnd/>
                      <a:tailEnd/>
                    </a:ln>
                  </pic:spPr>
                </pic:pic>
              </a:graphicData>
            </a:graphic>
          </wp:inline>
        </w:drawing>
      </w:r>
    </w:p>
    <w:p w:rsidR="00BE60B6" w:rsidRDefault="00BE60B6">
      <w:pPr>
        <w:rPr>
          <w:lang w:val="en-US"/>
        </w:rPr>
      </w:pPr>
      <w:r>
        <w:rPr>
          <w:lang w:val="en-US"/>
        </w:rPr>
        <w:br w:type="page"/>
      </w:r>
    </w:p>
    <w:p w:rsidR="00BE60B6" w:rsidRDefault="00BE60B6">
      <w:pPr>
        <w:ind w:left="360" w:hanging="360"/>
        <w:jc w:val="center"/>
        <w:rPr>
          <w:lang w:val="en-US"/>
        </w:rPr>
      </w:pPr>
      <w:r>
        <w:rPr>
          <w:lang w:val="en-US"/>
        </w:rPr>
        <w:t>Figure 2</w:t>
      </w:r>
    </w:p>
    <w:p w:rsidR="00BE60B6" w:rsidRDefault="00BE60B6">
      <w:pPr>
        <w:jc w:val="center"/>
        <w:outlineLvl w:val="0"/>
        <w:rPr>
          <w:lang w:val="en-US"/>
        </w:rPr>
      </w:pPr>
      <w:r>
        <w:rPr>
          <w:i/>
          <w:lang w:val="en-US"/>
        </w:rPr>
        <w:t xml:space="preserve">  </w:t>
      </w:r>
      <w:r>
        <w:rPr>
          <w:lang w:val="en-US"/>
        </w:rPr>
        <w:t xml:space="preserve">Actual </w:t>
      </w:r>
      <w:r>
        <w:rPr>
          <w:position w:val="-12"/>
          <w:lang w:val="en-US"/>
        </w:rPr>
        <w:object w:dxaOrig="560" w:dyaOrig="380">
          <v:shape id="_x0000_i1096" type="#_x0000_t75" style="width:27.9pt;height:18.75pt" o:ole="" fillcolor="window">
            <v:imagedata r:id="rId147" o:title=""/>
          </v:shape>
          <o:OLEObject Type="Embed" ProgID="Equation.3" ShapeID="_x0000_i1096" DrawAspect="Content" ObjectID="_1381730007" r:id="rId148"/>
        </w:object>
      </w:r>
      <w:r w:rsidR="00D92ABC">
        <w:rPr>
          <w:lang w:val="en-US"/>
        </w:rPr>
        <w:t xml:space="preserve"> </w:t>
      </w:r>
      <w:r>
        <w:rPr>
          <w:lang w:val="en-US"/>
        </w:rPr>
        <w:t>and Fundamental Real Stock Prices as Warranted by Real Dividends (1988Q1-2005Q4)</w:t>
      </w:r>
    </w:p>
    <w:p w:rsidR="00BE60B6" w:rsidRDefault="007544EC" w:rsidP="00F44D95">
      <w:pPr>
        <w:jc w:val="center"/>
        <w:rPr>
          <w:lang w:val="en-US"/>
        </w:rPr>
      </w:pPr>
      <w:r>
        <w:rPr>
          <w:noProof/>
        </w:rPr>
        <w:drawing>
          <wp:inline distT="0" distB="0" distL="0" distR="0">
            <wp:extent cx="4469130" cy="3799205"/>
            <wp:effectExtent l="19050" t="0" r="7620" b="0"/>
            <wp:docPr id="73" name="Picture 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3"/>
                    <pic:cNvPicPr>
                      <a:picLocks noChangeAspect="1" noChangeArrowheads="1"/>
                    </pic:cNvPicPr>
                  </pic:nvPicPr>
                  <pic:blipFill>
                    <a:blip r:embed="rId149" cstate="print"/>
                    <a:srcRect/>
                    <a:stretch>
                      <a:fillRect/>
                    </a:stretch>
                  </pic:blipFill>
                  <pic:spPr bwMode="auto">
                    <a:xfrm>
                      <a:off x="0" y="0"/>
                      <a:ext cx="4469130" cy="3799205"/>
                    </a:xfrm>
                    <a:prstGeom prst="rect">
                      <a:avLst/>
                    </a:prstGeom>
                    <a:noFill/>
                    <a:ln w="9525">
                      <a:noFill/>
                      <a:miter lim="800000"/>
                      <a:headEnd/>
                      <a:tailEnd/>
                    </a:ln>
                  </pic:spPr>
                </pic:pic>
              </a:graphicData>
            </a:graphic>
          </wp:inline>
        </w:drawing>
      </w:r>
    </w:p>
    <w:p w:rsidR="00BE60B6" w:rsidRDefault="00BE60B6">
      <w:pPr>
        <w:jc w:val="center"/>
        <w:outlineLvl w:val="0"/>
        <w:rPr>
          <w:i/>
          <w:lang w:val="en-US"/>
        </w:rPr>
      </w:pPr>
      <w:r>
        <w:rPr>
          <w:lang w:val="en-US"/>
        </w:rPr>
        <w:br w:type="page"/>
      </w:r>
      <w:r>
        <w:rPr>
          <w:lang w:val="en-US"/>
        </w:rPr>
        <w:lastRenderedPageBreak/>
        <w:t>Figure 3</w:t>
      </w:r>
    </w:p>
    <w:p w:rsidR="00BE60B6" w:rsidRDefault="00BE60B6">
      <w:pPr>
        <w:jc w:val="both"/>
        <w:outlineLvl w:val="0"/>
        <w:rPr>
          <w:lang w:val="en-US"/>
        </w:rPr>
      </w:pPr>
      <w:r>
        <w:rPr>
          <w:lang w:val="en-US"/>
        </w:rPr>
        <w:t xml:space="preserve">Real (logged) House Price Deviations from Fundamental Value </w:t>
      </w:r>
      <w:r>
        <w:rPr>
          <w:position w:val="-12"/>
          <w:lang w:val="en-US"/>
        </w:rPr>
        <w:object w:dxaOrig="1020" w:dyaOrig="380">
          <v:shape id="_x0000_i1098" type="#_x0000_t75" style="width:51.2pt;height:18.75pt" o:ole="" fillcolor="window">
            <v:imagedata r:id="rId150" o:title=""/>
          </v:shape>
          <o:OLEObject Type="Embed" ProgID="Equation.3" ShapeID="_x0000_i1098" DrawAspect="Content" ObjectID="_1381730008" r:id="rId151"/>
        </w:object>
      </w:r>
      <w:r>
        <w:rPr>
          <w:lang w:val="en-US"/>
        </w:rPr>
        <w:t xml:space="preserve"> and the Real Disposable Income Gap (log real disposable income (q</w:t>
      </w:r>
      <w:r>
        <w:rPr>
          <w:vertAlign w:val="subscript"/>
          <w:lang w:val="en-US"/>
        </w:rPr>
        <w:t>t</w:t>
      </w:r>
      <w:r>
        <w:rPr>
          <w:lang w:val="en-US"/>
        </w:rPr>
        <w:t>) demeaned and detrended).</w:t>
      </w:r>
    </w:p>
    <w:p w:rsidR="00BE60B6" w:rsidRDefault="007544EC">
      <w:pPr>
        <w:jc w:val="center"/>
        <w:rPr>
          <w:lang w:val="en-US"/>
        </w:rPr>
      </w:pPr>
      <w:r>
        <w:rPr>
          <w:noProof/>
        </w:rPr>
        <w:drawing>
          <wp:inline distT="0" distB="0" distL="0" distR="0">
            <wp:extent cx="4469130" cy="3973195"/>
            <wp:effectExtent l="19050" t="0" r="7620" b="0"/>
            <wp:docPr id="75" name="Picture 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5"/>
                    <pic:cNvPicPr>
                      <a:picLocks noChangeAspect="1" noChangeArrowheads="1"/>
                    </pic:cNvPicPr>
                  </pic:nvPicPr>
                  <pic:blipFill>
                    <a:blip r:embed="rId152" cstate="print"/>
                    <a:srcRect/>
                    <a:stretch>
                      <a:fillRect/>
                    </a:stretch>
                  </pic:blipFill>
                  <pic:spPr bwMode="auto">
                    <a:xfrm>
                      <a:off x="0" y="0"/>
                      <a:ext cx="4469130" cy="3973195"/>
                    </a:xfrm>
                    <a:prstGeom prst="rect">
                      <a:avLst/>
                    </a:prstGeom>
                    <a:noFill/>
                    <a:ln w="9525">
                      <a:noFill/>
                      <a:miter lim="800000"/>
                      <a:headEnd/>
                      <a:tailEnd/>
                    </a:ln>
                  </pic:spPr>
                </pic:pic>
              </a:graphicData>
            </a:graphic>
          </wp:inline>
        </w:drawing>
      </w:r>
    </w:p>
    <w:p w:rsidR="00BE60B6" w:rsidRDefault="00BE60B6">
      <w:pPr>
        <w:spacing w:line="480" w:lineRule="auto"/>
        <w:ind w:right="-154" w:firstLine="720"/>
        <w:jc w:val="center"/>
        <w:rPr>
          <w:lang w:val="en-US"/>
        </w:rPr>
      </w:pPr>
      <w:r>
        <w:rPr>
          <w:lang w:val="en-US"/>
        </w:rPr>
        <w:br w:type="page"/>
      </w:r>
      <w:r>
        <w:rPr>
          <w:lang w:val="en-US"/>
        </w:rPr>
        <w:lastRenderedPageBreak/>
        <w:t>Figure 4</w:t>
      </w:r>
    </w:p>
    <w:p w:rsidR="00BE60B6" w:rsidRDefault="00BE60B6">
      <w:pPr>
        <w:ind w:right="-153"/>
        <w:jc w:val="center"/>
        <w:rPr>
          <w:lang w:val="en-US"/>
        </w:rPr>
      </w:pPr>
      <w:r>
        <w:rPr>
          <w:lang w:val="en-US"/>
        </w:rPr>
        <w:t>Actual (real) House Prices (P</w:t>
      </w:r>
      <w:r>
        <w:rPr>
          <w:vertAlign w:val="subscript"/>
          <w:lang w:val="en-US"/>
        </w:rPr>
        <w:t>t</w:t>
      </w:r>
      <w:r>
        <w:rPr>
          <w:lang w:val="en-US"/>
        </w:rPr>
        <w:t xml:space="preserve">), Fundamental (Present Value) House Prices </w:t>
      </w:r>
      <w:r>
        <w:rPr>
          <w:position w:val="-12"/>
          <w:lang w:val="en-US"/>
        </w:rPr>
        <w:object w:dxaOrig="560" w:dyaOrig="380">
          <v:shape id="_x0000_i1100" type="#_x0000_t75" style="width:27.9pt;height:18.75pt" o:ole="" fillcolor="window">
            <v:imagedata r:id="rId144" o:title=""/>
          </v:shape>
          <o:OLEObject Type="Embed" ProgID="Equation.3" ShapeID="_x0000_i1100" DrawAspect="Content" ObjectID="_1381730009" r:id="rId153"/>
        </w:object>
      </w:r>
      <w:r>
        <w:rPr>
          <w:lang w:val="en-US"/>
        </w:rPr>
        <w:t xml:space="preserve">, and Fundamental House Prices with an Intrinsic Bubble </w:t>
      </w:r>
      <w:r>
        <w:rPr>
          <w:position w:val="-12"/>
          <w:lang w:val="en-US"/>
        </w:rPr>
        <w:object w:dxaOrig="1020" w:dyaOrig="380">
          <v:shape id="_x0000_i1101" type="#_x0000_t75" style="width:51.2pt;height:18.75pt" o:ole="" fillcolor="window">
            <v:imagedata r:id="rId71" o:title=""/>
          </v:shape>
          <o:OLEObject Type="Embed" ProgID="Equation.3" ShapeID="_x0000_i1101" DrawAspect="Content" ObjectID="_1381730010" r:id="rId154"/>
        </w:object>
      </w:r>
      <w:r>
        <w:rPr>
          <w:lang w:val="en-US"/>
        </w:rPr>
        <w:t>.</w:t>
      </w:r>
    </w:p>
    <w:p w:rsidR="00BE60B6" w:rsidRDefault="007544EC">
      <w:pPr>
        <w:jc w:val="center"/>
        <w:rPr>
          <w:lang w:val="en-US"/>
        </w:rPr>
      </w:pPr>
      <w:r>
        <w:rPr>
          <w:noProof/>
        </w:rPr>
        <w:drawing>
          <wp:inline distT="0" distB="0" distL="0" distR="0">
            <wp:extent cx="4469130" cy="4153535"/>
            <wp:effectExtent l="19050" t="0" r="7620" b="0"/>
            <wp:docPr id="78" name="Picture 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8"/>
                    <pic:cNvPicPr>
                      <a:picLocks noChangeAspect="1" noChangeArrowheads="1"/>
                    </pic:cNvPicPr>
                  </pic:nvPicPr>
                  <pic:blipFill>
                    <a:blip r:embed="rId155" cstate="print"/>
                    <a:srcRect/>
                    <a:stretch>
                      <a:fillRect/>
                    </a:stretch>
                  </pic:blipFill>
                  <pic:spPr bwMode="auto">
                    <a:xfrm>
                      <a:off x="0" y="0"/>
                      <a:ext cx="4469130" cy="4153535"/>
                    </a:xfrm>
                    <a:prstGeom prst="rect">
                      <a:avLst/>
                    </a:prstGeom>
                    <a:noFill/>
                    <a:ln w="9525">
                      <a:noFill/>
                      <a:miter lim="800000"/>
                      <a:headEnd/>
                      <a:tailEnd/>
                    </a:ln>
                  </pic:spPr>
                </pic:pic>
              </a:graphicData>
            </a:graphic>
          </wp:inline>
        </w:drawing>
      </w:r>
    </w:p>
    <w:sectPr w:rsidR="00BE60B6">
      <w:footerReference w:type="even" r:id="rId156"/>
      <w:footerReference w:type="default" r:id="rId157"/>
      <w:pgSz w:w="11906" w:h="16838"/>
      <w:pgMar w:top="1440" w:right="1800" w:bottom="1440" w:left="1800"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061B07" w:rsidRDefault="00061B07">
      <w:r>
        <w:separator/>
      </w:r>
    </w:p>
  </w:endnote>
  <w:endnote w:type="continuationSeparator" w:id="0">
    <w:p w:rsidR="00061B07" w:rsidRDefault="00061B07">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Garamond">
    <w:panose1 w:val="02020404030301010803"/>
    <w:charset w:val="00"/>
    <w:family w:val="roman"/>
    <w:pitch w:val="variable"/>
    <w:sig w:usb0="00000287" w:usb1="00000000" w:usb2="00000000" w:usb3="00000000" w:csb0="0000009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61002A87" w:usb1="80000000" w:usb2="00000008" w:usb3="00000000" w:csb0="000101FF" w:csb1="00000000"/>
  </w:font>
  <w:font w:name="Arial">
    <w:panose1 w:val="020B0604020202020204"/>
    <w:charset w:val="00"/>
    <w:family w:val="swiss"/>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 w:name="Calibri">
    <w:panose1 w:val="020F0502020204030204"/>
    <w:charset w:val="00"/>
    <w:family w:val="swiss"/>
    <w:pitch w:val="variable"/>
    <w:sig w:usb0="A00002EF" w:usb1="4000207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466D6" w:rsidRDefault="000466D6">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rsidR="000466D6" w:rsidRDefault="000466D6">
    <w:pPr>
      <w:pStyle w:val="Footer"/>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466D6" w:rsidRDefault="000466D6">
    <w:pPr>
      <w:pStyle w:val="Footer"/>
      <w:framePr w:wrap="around" w:vAnchor="text" w:hAnchor="margin" w:xAlign="right" w:y="1"/>
      <w:jc w:val="right"/>
      <w:rPr>
        <w:rStyle w:val="PageNumber"/>
      </w:rPr>
    </w:pPr>
    <w:r>
      <w:rPr>
        <w:rStyle w:val="PageNumber"/>
      </w:rPr>
      <w:fldChar w:fldCharType="begin"/>
    </w:r>
    <w:r>
      <w:rPr>
        <w:rStyle w:val="PageNumber"/>
      </w:rPr>
      <w:instrText xml:space="preserve">PAGE  </w:instrText>
    </w:r>
    <w:r>
      <w:rPr>
        <w:rStyle w:val="PageNumber"/>
      </w:rPr>
      <w:fldChar w:fldCharType="separate"/>
    </w:r>
    <w:r w:rsidR="007544EC">
      <w:rPr>
        <w:rStyle w:val="PageNumber"/>
        <w:noProof/>
      </w:rPr>
      <w:t>26</w:t>
    </w:r>
    <w:r>
      <w:rPr>
        <w:rStyle w:val="PageNumber"/>
      </w:rPr>
      <w:fldChar w:fldCharType="end"/>
    </w:r>
  </w:p>
  <w:p w:rsidR="000466D6" w:rsidRDefault="000466D6">
    <w:pPr>
      <w:pStyle w:val="Footer"/>
      <w:framePr w:wrap="around" w:vAnchor="text" w:hAnchor="margin" w:xAlign="right" w:y="1"/>
      <w:ind w:right="360"/>
      <w:rPr>
        <w:rStyle w:val="PageNumber"/>
      </w:rPr>
    </w:pPr>
  </w:p>
  <w:p w:rsidR="000466D6" w:rsidRDefault="000466D6">
    <w:pPr>
      <w:pStyle w:val="Footer"/>
      <w:ind w:right="360"/>
      <w:jc w:val="right"/>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466D6" w:rsidRDefault="000466D6">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rsidR="000466D6" w:rsidRDefault="000466D6">
    <w:pPr>
      <w:pStyle w:val="Footer"/>
      <w:ind w:right="360"/>
    </w:pP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466D6" w:rsidRDefault="000466D6">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sidR="007544EC">
      <w:rPr>
        <w:rStyle w:val="PageNumber"/>
        <w:noProof/>
      </w:rPr>
      <w:t>31</w:t>
    </w:r>
    <w:r>
      <w:rPr>
        <w:rStyle w:val="PageNumber"/>
      </w:rPr>
      <w:fldChar w:fldCharType="end"/>
    </w:r>
  </w:p>
  <w:p w:rsidR="000466D6" w:rsidRDefault="000466D6">
    <w:pPr>
      <w:pStyle w:val="Footer"/>
      <w:ind w:right="36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061B07" w:rsidRDefault="00061B07">
      <w:r>
        <w:separator/>
      </w:r>
    </w:p>
  </w:footnote>
  <w:footnote w:type="continuationSeparator" w:id="0">
    <w:p w:rsidR="00061B07" w:rsidRDefault="00061B07">
      <w:r>
        <w:continuationSeparator/>
      </w:r>
    </w:p>
  </w:footnote>
  <w:footnote w:id="1">
    <w:p w:rsidR="000466D6" w:rsidRDefault="000466D6">
      <w:pPr>
        <w:pStyle w:val="FootnoteText"/>
        <w:jc w:val="both"/>
      </w:pPr>
      <w:r>
        <w:t xml:space="preserve">* </w:t>
      </w:r>
      <w:smartTag w:uri="urn:schemas-microsoft-com:office:smarttags" w:element="PlaceType">
        <w:r>
          <w:t>University</w:t>
        </w:r>
      </w:smartTag>
      <w:r>
        <w:t xml:space="preserve"> of </w:t>
      </w:r>
      <w:smartTag w:uri="urn:schemas-microsoft-com:office:smarttags" w:element="PlaceName">
        <w:r>
          <w:t>Aberdeen Business</w:t>
        </w:r>
      </w:smartTag>
      <w:r>
        <w:t xml:space="preserve"> School, </w:t>
      </w:r>
      <w:smartTag w:uri="urn:schemas-microsoft-com:office:smarttags" w:element="PlaceType">
        <w:r>
          <w:t>University</w:t>
        </w:r>
      </w:smartTag>
      <w:r>
        <w:t xml:space="preserve"> of </w:t>
      </w:r>
      <w:smartTag w:uri="urn:schemas-microsoft-com:office:smarttags" w:element="PlaceName">
        <w:r>
          <w:t>Aberdeen</w:t>
        </w:r>
      </w:smartTag>
      <w:r>
        <w:t xml:space="preserve">, </w:t>
      </w:r>
      <w:smartTag w:uri="urn:schemas-microsoft-com:office:smarttags" w:element="PlaceName">
        <w:r>
          <w:t>Edward</w:t>
        </w:r>
      </w:smartTag>
      <w:r>
        <w:t xml:space="preserve"> </w:t>
      </w:r>
      <w:smartTag w:uri="urn:schemas-microsoft-com:office:smarttags" w:element="PlaceName">
        <w:r>
          <w:t>Wright</w:t>
        </w:r>
      </w:smartTag>
      <w:r>
        <w:t xml:space="preserve"> </w:t>
      </w:r>
      <w:smartTag w:uri="urn:schemas-microsoft-com:office:smarttags" w:element="PlaceType">
        <w:r>
          <w:t>Building</w:t>
        </w:r>
      </w:smartTag>
      <w:r>
        <w:t xml:space="preserve">, Dunbar Street, Aberdeen AB24 3QK, </w:t>
      </w:r>
      <w:smartTag w:uri="urn:schemas-microsoft-com:office:smarttags" w:element="place">
        <w:smartTag w:uri="urn:schemas-microsoft-com:office:smarttags" w:element="country-region">
          <w:r>
            <w:t>Scotland</w:t>
          </w:r>
        </w:smartTag>
      </w:smartTag>
      <w:r>
        <w:t xml:space="preserve">, email: </w:t>
      </w:r>
      <w:hyperlink r:id="rId1" w:history="1">
        <w:r>
          <w:rPr>
            <w:rStyle w:val="Hyperlink"/>
          </w:rPr>
          <w:t>prof.p.fraser@abdn.ac.uk</w:t>
        </w:r>
      </w:hyperlink>
      <w:r>
        <w:t xml:space="preserve"> </w:t>
      </w:r>
    </w:p>
    <w:p w:rsidR="000466D6" w:rsidRDefault="000466D6">
      <w:pPr>
        <w:pStyle w:val="FootnoteText"/>
        <w:jc w:val="both"/>
      </w:pPr>
      <w:r>
        <w:t>** University of Geneva (</w:t>
      </w:r>
      <w:r w:rsidR="00976AF8">
        <w:t xml:space="preserve">SFI and </w:t>
      </w:r>
      <w:r>
        <w:t>HEC), 40 boulevard du Pont-d’Arve, CH-1211 Geneva 4, Switzerland</w:t>
      </w:r>
      <w:r w:rsidR="003A1733">
        <w:t xml:space="preserve"> and</w:t>
      </w:r>
      <w:r>
        <w:t xml:space="preserve"> University of Aberdeen Business School, University of Aberdeen, Edward Wright Building, Dunbar Street, Aberdeen AB24 3QK, Scotland</w:t>
      </w:r>
      <w:r w:rsidR="00976AF8">
        <w:t xml:space="preserve">, </w:t>
      </w:r>
      <w:r>
        <w:t xml:space="preserve">email: </w:t>
      </w:r>
      <w:hyperlink r:id="rId2" w:history="1">
        <w:r>
          <w:rPr>
            <w:rStyle w:val="Hyperlink"/>
          </w:rPr>
          <w:t>martin.hoesli@hec.unige.ch</w:t>
        </w:r>
      </w:hyperlink>
    </w:p>
    <w:p w:rsidR="000466D6" w:rsidRDefault="000466D6">
      <w:pPr>
        <w:pStyle w:val="FootnoteText"/>
        <w:jc w:val="both"/>
      </w:pPr>
      <w:r>
        <w:t xml:space="preserve">*** Department of Finance &amp; Quantitative Analysis, </w:t>
      </w:r>
      <w:smartTag w:uri="urn:schemas-microsoft-com:office:smarttags" w:element="place">
        <w:smartTag w:uri="urn:schemas-microsoft-com:office:smarttags" w:element="PlaceType">
          <w:r>
            <w:t>University</w:t>
          </w:r>
        </w:smartTag>
        <w:r>
          <w:t xml:space="preserve"> of </w:t>
        </w:r>
        <w:smartTag w:uri="urn:schemas-microsoft-com:office:smarttags" w:element="PlaceName">
          <w:r>
            <w:t>Otago</w:t>
          </w:r>
        </w:smartTag>
      </w:smartTag>
      <w:r>
        <w:t xml:space="preserve">, </w:t>
      </w:r>
      <w:smartTag w:uri="urn:schemas-microsoft-com:office:smarttags" w:element="address">
        <w:smartTag w:uri="urn:schemas-microsoft-com:office:smarttags" w:element="Street">
          <w:r>
            <w:t>P.O. Box 56</w:t>
          </w:r>
        </w:smartTag>
        <w:r>
          <w:t xml:space="preserve">, </w:t>
        </w:r>
        <w:smartTag w:uri="urn:schemas-microsoft-com:office:smarttags" w:element="City">
          <w:r>
            <w:t>Dunedin</w:t>
          </w:r>
        </w:smartTag>
        <w:r>
          <w:t xml:space="preserve">,  </w:t>
        </w:r>
        <w:smartTag w:uri="urn:schemas-microsoft-com:office:smarttags" w:element="country-region">
          <w:r>
            <w:t>New Zealand</w:t>
          </w:r>
        </w:smartTag>
      </w:smartTag>
      <w:r>
        <w:t xml:space="preserve">, email: </w:t>
      </w:r>
      <w:hyperlink r:id="rId3" w:history="1">
        <w:r>
          <w:rPr>
            <w:rStyle w:val="Hyperlink"/>
          </w:rPr>
          <w:t>lmcalevey@business.otago.ac.nz</w:t>
        </w:r>
      </w:hyperlink>
      <w:r>
        <w:t xml:space="preserve"> </w:t>
      </w:r>
    </w:p>
    <w:p w:rsidR="000466D6" w:rsidRDefault="000466D6">
      <w:pPr>
        <w:pStyle w:val="FootnoteText"/>
        <w:jc w:val="both"/>
      </w:pPr>
    </w:p>
    <w:p w:rsidR="000466D6" w:rsidRPr="004274AB" w:rsidRDefault="000466D6">
      <w:pPr>
        <w:pStyle w:val="FootnoteText"/>
        <w:jc w:val="both"/>
        <w:rPr>
          <w:b/>
        </w:rPr>
      </w:pPr>
      <w:r>
        <w:rPr>
          <w:b/>
        </w:rPr>
        <w:t>Acknowledgments</w:t>
      </w:r>
    </w:p>
    <w:p w:rsidR="000466D6" w:rsidRDefault="000466D6">
      <w:pPr>
        <w:pStyle w:val="FootnoteText"/>
        <w:jc w:val="both"/>
      </w:pPr>
    </w:p>
    <w:p w:rsidR="000466D6" w:rsidRPr="004274AB" w:rsidRDefault="000466D6" w:rsidP="004274AB">
      <w:pPr>
        <w:jc w:val="both"/>
        <w:rPr>
          <w:bCs/>
          <w:sz w:val="20"/>
          <w:szCs w:val="20"/>
        </w:rPr>
      </w:pPr>
      <w:r w:rsidRPr="004274AB">
        <w:rPr>
          <w:sz w:val="20"/>
          <w:szCs w:val="20"/>
        </w:rPr>
        <w:t xml:space="preserve">Financial support from the Education Trust of the Royal Institution of Chartered Surveyors (RICS) and the Department of Finance and Quantitative Analysis, </w:t>
      </w:r>
      <w:smartTag w:uri="urn:schemas-microsoft-com:office:smarttags" w:element="place">
        <w:smartTag w:uri="urn:schemas-microsoft-com:office:smarttags" w:element="PlaceType">
          <w:r w:rsidRPr="004274AB">
            <w:rPr>
              <w:sz w:val="20"/>
              <w:szCs w:val="20"/>
            </w:rPr>
            <w:t>University</w:t>
          </w:r>
        </w:smartTag>
        <w:r w:rsidRPr="004274AB">
          <w:rPr>
            <w:sz w:val="20"/>
            <w:szCs w:val="20"/>
          </w:rPr>
          <w:t xml:space="preserve"> of </w:t>
        </w:r>
        <w:smartTag w:uri="urn:schemas-microsoft-com:office:smarttags" w:element="PlaceName">
          <w:r w:rsidRPr="004274AB">
            <w:rPr>
              <w:sz w:val="20"/>
              <w:szCs w:val="20"/>
            </w:rPr>
            <w:t>Otago</w:t>
          </w:r>
        </w:smartTag>
      </w:smartTag>
      <w:r w:rsidRPr="004274AB">
        <w:rPr>
          <w:sz w:val="20"/>
          <w:szCs w:val="20"/>
        </w:rPr>
        <w:t xml:space="preserve"> is gratefully acknowledged.</w:t>
      </w:r>
      <w:r>
        <w:rPr>
          <w:sz w:val="20"/>
          <w:szCs w:val="20"/>
        </w:rPr>
        <w:t xml:space="preserve">  </w:t>
      </w:r>
      <w:r w:rsidRPr="004274AB">
        <w:rPr>
          <w:bCs/>
          <w:sz w:val="20"/>
          <w:szCs w:val="20"/>
        </w:rPr>
        <w:t xml:space="preserve">The authors would </w:t>
      </w:r>
      <w:r>
        <w:rPr>
          <w:bCs/>
          <w:sz w:val="20"/>
          <w:szCs w:val="20"/>
        </w:rPr>
        <w:t xml:space="preserve">also </w:t>
      </w:r>
      <w:r w:rsidRPr="004274AB">
        <w:rPr>
          <w:bCs/>
          <w:sz w:val="20"/>
          <w:szCs w:val="20"/>
        </w:rPr>
        <w:t>like to thank two anonymous referees, Nic Groenewold (</w:t>
      </w:r>
      <w:smartTag w:uri="urn:schemas-microsoft-com:office:smarttags" w:element="PlaceType">
        <w:r w:rsidRPr="004274AB">
          <w:rPr>
            <w:bCs/>
            <w:sz w:val="20"/>
            <w:szCs w:val="20"/>
          </w:rPr>
          <w:t>University</w:t>
        </w:r>
      </w:smartTag>
      <w:r w:rsidRPr="004274AB">
        <w:rPr>
          <w:bCs/>
          <w:sz w:val="20"/>
          <w:szCs w:val="20"/>
        </w:rPr>
        <w:t xml:space="preserve"> of </w:t>
      </w:r>
      <w:smartTag w:uri="urn:schemas-microsoft-com:office:smarttags" w:element="PlaceName">
        <w:r w:rsidRPr="004274AB">
          <w:rPr>
            <w:bCs/>
            <w:sz w:val="20"/>
            <w:szCs w:val="20"/>
          </w:rPr>
          <w:t>Western Australia</w:t>
        </w:r>
      </w:smartTag>
      <w:r w:rsidRPr="004274AB">
        <w:rPr>
          <w:bCs/>
          <w:iCs/>
          <w:sz w:val="20"/>
          <w:szCs w:val="20"/>
        </w:rPr>
        <w:t xml:space="preserve">) and the participants at seminars held at the </w:t>
      </w:r>
      <w:smartTag w:uri="urn:schemas-microsoft-com:office:smarttags" w:element="PlaceType">
        <w:r w:rsidRPr="004274AB">
          <w:rPr>
            <w:bCs/>
            <w:iCs/>
            <w:sz w:val="20"/>
            <w:szCs w:val="20"/>
          </w:rPr>
          <w:t>University</w:t>
        </w:r>
      </w:smartTag>
      <w:r w:rsidRPr="004274AB">
        <w:rPr>
          <w:bCs/>
          <w:iCs/>
          <w:sz w:val="20"/>
          <w:szCs w:val="20"/>
        </w:rPr>
        <w:t xml:space="preserve"> of </w:t>
      </w:r>
      <w:smartTag w:uri="urn:schemas-microsoft-com:office:smarttags" w:element="PlaceName">
        <w:r w:rsidRPr="004274AB">
          <w:rPr>
            <w:bCs/>
            <w:iCs/>
            <w:sz w:val="20"/>
            <w:szCs w:val="20"/>
          </w:rPr>
          <w:t>Aberdeen</w:t>
        </w:r>
      </w:smartTag>
      <w:r w:rsidRPr="004274AB">
        <w:rPr>
          <w:bCs/>
          <w:iCs/>
          <w:sz w:val="20"/>
          <w:szCs w:val="20"/>
        </w:rPr>
        <w:t xml:space="preserve">, the </w:t>
      </w:r>
      <w:smartTag w:uri="urn:schemas-microsoft-com:office:smarttags" w:element="place">
        <w:smartTag w:uri="urn:schemas-microsoft-com:office:smarttags" w:element="PlaceType">
          <w:r w:rsidRPr="004274AB">
            <w:rPr>
              <w:bCs/>
              <w:iCs/>
              <w:sz w:val="20"/>
              <w:szCs w:val="20"/>
            </w:rPr>
            <w:t>University</w:t>
          </w:r>
        </w:smartTag>
        <w:r w:rsidRPr="004274AB">
          <w:rPr>
            <w:bCs/>
            <w:iCs/>
            <w:sz w:val="20"/>
            <w:szCs w:val="20"/>
          </w:rPr>
          <w:t xml:space="preserve"> of </w:t>
        </w:r>
        <w:smartTag w:uri="urn:schemas-microsoft-com:office:smarttags" w:element="PlaceName">
          <w:r w:rsidRPr="004274AB">
            <w:rPr>
              <w:bCs/>
              <w:iCs/>
              <w:sz w:val="20"/>
              <w:szCs w:val="20"/>
            </w:rPr>
            <w:t>Otago</w:t>
          </w:r>
        </w:smartTag>
      </w:smartTag>
      <w:r w:rsidRPr="004274AB">
        <w:rPr>
          <w:bCs/>
          <w:iCs/>
          <w:sz w:val="20"/>
          <w:szCs w:val="20"/>
        </w:rPr>
        <w:t>, and the Res</w:t>
      </w:r>
      <w:r>
        <w:rPr>
          <w:bCs/>
          <w:iCs/>
          <w:sz w:val="20"/>
          <w:szCs w:val="20"/>
        </w:rPr>
        <w:t>erve Bank of New Zealand (RBNZ)</w:t>
      </w:r>
      <w:r w:rsidRPr="004274AB">
        <w:rPr>
          <w:bCs/>
          <w:iCs/>
          <w:sz w:val="20"/>
          <w:szCs w:val="20"/>
        </w:rPr>
        <w:t xml:space="preserve"> </w:t>
      </w:r>
      <w:r w:rsidRPr="004274AB">
        <w:rPr>
          <w:bCs/>
          <w:sz w:val="20"/>
          <w:szCs w:val="20"/>
        </w:rPr>
        <w:t xml:space="preserve">for helpful comments. </w:t>
      </w:r>
      <w:r>
        <w:rPr>
          <w:bCs/>
          <w:sz w:val="20"/>
          <w:szCs w:val="20"/>
        </w:rPr>
        <w:t xml:space="preserve"> </w:t>
      </w:r>
      <w:r w:rsidRPr="004274AB">
        <w:rPr>
          <w:bCs/>
          <w:sz w:val="20"/>
          <w:szCs w:val="20"/>
        </w:rPr>
        <w:t xml:space="preserve">The views expressed in this paper are those of the authors and do not necessarily reflect those of the RBNZ. </w:t>
      </w:r>
      <w:r>
        <w:rPr>
          <w:bCs/>
          <w:sz w:val="20"/>
          <w:szCs w:val="20"/>
        </w:rPr>
        <w:t xml:space="preserve"> </w:t>
      </w:r>
      <w:r w:rsidRPr="004274AB">
        <w:rPr>
          <w:bCs/>
          <w:sz w:val="20"/>
          <w:szCs w:val="20"/>
        </w:rPr>
        <w:t>The responsibility for any remaining errors or ambiguities is the authors alone.</w:t>
      </w:r>
    </w:p>
    <w:p w:rsidR="000466D6" w:rsidRPr="004274AB" w:rsidRDefault="000466D6">
      <w:pPr>
        <w:pStyle w:val="FootnoteText"/>
        <w:jc w:val="both"/>
      </w:pPr>
    </w:p>
  </w:footnote>
  <w:footnote w:id="2">
    <w:p w:rsidR="000466D6" w:rsidRDefault="000466D6">
      <w:pPr>
        <w:pStyle w:val="FootnoteText"/>
      </w:pPr>
      <w:r>
        <w:rPr>
          <w:rStyle w:val="FootnoteReference"/>
        </w:rPr>
        <w:footnoteRef/>
      </w:r>
      <w:r>
        <w:t xml:space="preserve"> These occurred in 1974Q3, 1984Q2, 1989Q1 and 1997Q3.</w:t>
      </w:r>
    </w:p>
  </w:footnote>
  <w:footnote w:id="3">
    <w:p w:rsidR="000466D6" w:rsidRDefault="000466D6" w:rsidP="00266F1A">
      <w:pPr>
        <w:pStyle w:val="FootnoteText"/>
        <w:jc w:val="both"/>
      </w:pPr>
      <w:r>
        <w:rPr>
          <w:rStyle w:val="FootnoteReference"/>
        </w:rPr>
        <w:footnoteRef/>
      </w:r>
      <w:r>
        <w:t xml:space="preserve"> Due to the high incidence of fixed </w:t>
      </w:r>
      <w:r w:rsidR="00655C5B">
        <w:t xml:space="preserve">rate </w:t>
      </w:r>
      <w:r>
        <w:t>mortgage</w:t>
      </w:r>
      <w:r w:rsidR="00655C5B">
        <w:t>s</w:t>
      </w:r>
      <w:r>
        <w:t xml:space="preserve"> </w:t>
      </w:r>
      <w:r w:rsidR="00655C5B">
        <w:t xml:space="preserve">(typically of two to five years) </w:t>
      </w:r>
      <w:r>
        <w:t xml:space="preserve">in </w:t>
      </w:r>
      <w:smartTag w:uri="urn:schemas-microsoft-com:office:smarttags" w:element="country-region">
        <w:smartTag w:uri="urn:schemas-microsoft-com:office:smarttags" w:element="place">
          <w:r>
            <w:t>New Zealand</w:t>
          </w:r>
        </w:smartTag>
      </w:smartTag>
      <w:r>
        <w:t>, an increase in interest rates may take some time to impact fully on market prices.</w:t>
      </w:r>
    </w:p>
  </w:footnote>
  <w:footnote w:id="4">
    <w:p w:rsidR="000466D6" w:rsidRDefault="000466D6" w:rsidP="00266F1A">
      <w:pPr>
        <w:pStyle w:val="FootnoteText"/>
        <w:jc w:val="both"/>
        <w:rPr>
          <w:lang w:val="en-NZ"/>
        </w:rPr>
      </w:pPr>
      <w:r>
        <w:rPr>
          <w:rStyle w:val="FootnoteReference"/>
        </w:rPr>
        <w:footnoteRef/>
      </w:r>
      <w:r>
        <w:t xml:space="preserve"> </w:t>
      </w:r>
      <w:smartTag w:uri="urn:schemas-microsoft-com:office:smarttags" w:element="country-region">
        <w:r>
          <w:t>New Zealand</w:t>
        </w:r>
      </w:smartTag>
      <w:r>
        <w:t xml:space="preserve"> households hold less than 4 percent of total assets in direct holdings of domestic and foreign equities; in the </w:t>
      </w:r>
      <w:smartTag w:uri="urn:schemas-microsoft-com:office:smarttags" w:element="place">
        <w:smartTag w:uri="urn:schemas-microsoft-com:office:smarttags" w:element="country-region">
          <w:r>
            <w:t>U.S.</w:t>
          </w:r>
        </w:smartTag>
      </w:smartTag>
      <w:r>
        <w:t xml:space="preserve">, the comparable figure is 17 percent.  The equivalent figures for indirect ownership of equities (% of GDP) are 4 percent and 35 percent respectively (Reserve Bank of </w:t>
      </w:r>
      <w:smartTag w:uri="urn:schemas-microsoft-com:office:smarttags" w:element="country-region">
        <w:smartTag w:uri="urn:schemas-microsoft-com:office:smarttags" w:element="place">
          <w:r>
            <w:t>New Zealand</w:t>
          </w:r>
        </w:smartTag>
      </w:smartTag>
      <w:r>
        <w:t xml:space="preserve"> Governor’s </w:t>
      </w:r>
      <w:r w:rsidR="006F57ED">
        <w:t>s</w:t>
      </w:r>
      <w:r>
        <w:t>peech, 2006).</w:t>
      </w:r>
    </w:p>
  </w:footnote>
  <w:footnote w:id="5">
    <w:p w:rsidR="000466D6" w:rsidRDefault="000466D6">
      <w:pPr>
        <w:pStyle w:val="FootnoteText"/>
        <w:jc w:val="both"/>
      </w:pPr>
      <w:r>
        <w:rPr>
          <w:rStyle w:val="FootnoteReference"/>
        </w:rPr>
        <w:footnoteRef/>
      </w:r>
      <w:r>
        <w:t xml:space="preserve"> Meen (1996) for example shows that a range of policy shocks can cause a shift in the relationship between prices and income over the long-term, particularly if the user cost of capital is constrained to be constant.</w:t>
      </w:r>
    </w:p>
  </w:footnote>
  <w:footnote w:id="6">
    <w:p w:rsidR="000466D6" w:rsidRDefault="000466D6">
      <w:pPr>
        <w:pStyle w:val="FootnoteText"/>
      </w:pPr>
      <w:r>
        <w:rPr>
          <w:rStyle w:val="FootnoteReference"/>
        </w:rPr>
        <w:footnoteRef/>
      </w:r>
      <w:r>
        <w:t xml:space="preserve"> No consistent time series of equity data is available for </w:t>
      </w:r>
      <w:smartTag w:uri="urn:schemas-microsoft-com:office:smarttags" w:element="place">
        <w:smartTag w:uri="urn:schemas-microsoft-com:office:smarttags" w:element="country-region">
          <w:r>
            <w:t>New Zealand</w:t>
          </w:r>
        </w:smartTag>
      </w:smartTag>
      <w:r>
        <w:t xml:space="preserve"> prior to this date.</w:t>
      </w:r>
    </w:p>
  </w:footnote>
  <w:footnote w:id="7">
    <w:p w:rsidR="000466D6" w:rsidRDefault="000466D6">
      <w:pPr>
        <w:pStyle w:val="FootnoteText"/>
        <w:jc w:val="both"/>
      </w:pPr>
      <w:r>
        <w:rPr>
          <w:rStyle w:val="FootnoteReference"/>
        </w:rPr>
        <w:footnoteRef/>
      </w:r>
      <w:r>
        <w:t xml:space="preserve"> Due to the lack of rental data, it is common in the real estate literature to add 5 percent per annum to the price index to proxy the gross index.</w:t>
      </w:r>
    </w:p>
  </w:footnote>
  <w:footnote w:id="8">
    <w:p w:rsidR="000466D6" w:rsidRDefault="000466D6" w:rsidP="00266F1A">
      <w:pPr>
        <w:pStyle w:val="FootnoteText"/>
        <w:jc w:val="both"/>
      </w:pPr>
      <w:r>
        <w:rPr>
          <w:rStyle w:val="FootnoteReference"/>
        </w:rPr>
        <w:footnoteRef/>
      </w:r>
      <w:r>
        <w:t xml:space="preserve"> The </w:t>
      </w:r>
      <w:r>
        <w:rPr>
          <w:i/>
        </w:rPr>
        <w:t>nominal</w:t>
      </w:r>
      <w:r>
        <w:t xml:space="preserve"> annual capital gain and total return to equity over this sub-period was 1.6 percent and 6.84 percent, respectively. </w:t>
      </w:r>
    </w:p>
  </w:footnote>
  <w:footnote w:id="9">
    <w:p w:rsidR="000466D6" w:rsidRDefault="000466D6" w:rsidP="00FE7A12">
      <w:pPr>
        <w:pStyle w:val="FootnoteText"/>
        <w:jc w:val="both"/>
        <w:rPr>
          <w:lang w:val="en-NZ"/>
        </w:rPr>
      </w:pPr>
      <w:r>
        <w:rPr>
          <w:rStyle w:val="FootnoteReference"/>
        </w:rPr>
        <w:footnoteRef/>
      </w:r>
      <w:r>
        <w:t xml:space="preserve"> </w:t>
      </w:r>
      <w:r>
        <w:rPr>
          <w:lang w:val="en-US"/>
        </w:rPr>
        <w:t>The VAR coefficient estimates (not reported) indicate one-way causality from income growth to the house price to disposable income ratio and dual causality between the price income ratio and house price return variance.</w:t>
      </w:r>
    </w:p>
  </w:footnote>
  <w:footnote w:id="10">
    <w:p w:rsidR="000466D6" w:rsidRDefault="000466D6">
      <w:pPr>
        <w:jc w:val="both"/>
        <w:rPr>
          <w:sz w:val="20"/>
        </w:rPr>
      </w:pPr>
      <w:r w:rsidRPr="00C9099A">
        <w:rPr>
          <w:rStyle w:val="FootnoteReference"/>
          <w:sz w:val="20"/>
          <w:szCs w:val="20"/>
          <w:lang w:val="en-US"/>
        </w:rPr>
        <w:footnoteRef/>
      </w:r>
      <w:r>
        <w:rPr>
          <w:lang w:val="en-US"/>
        </w:rPr>
        <w:t xml:space="preserve"> </w:t>
      </w:r>
      <w:r>
        <w:rPr>
          <w:sz w:val="20"/>
          <w:lang w:val="en-US"/>
        </w:rPr>
        <w:t xml:space="preserve">Inflation peaked in 1980 at 18.4 percent and was 15.2 percent in 1981.  The five years preceding 1980 had inflation of 13.0 percent, 17.6 percent, 13.2 percent, 14.7 percent and 10.6 percent.  Unemployment rose steadily between 1978 and </w:t>
      </w:r>
      <w:smartTag w:uri="urn:schemas-microsoft-com:office:smarttags" w:element="metricconverter">
        <w:smartTagPr>
          <w:attr w:name="ProductID" w:val="1980, in"/>
        </w:smartTagPr>
        <w:r>
          <w:rPr>
            <w:sz w:val="20"/>
            <w:lang w:val="en-US"/>
          </w:rPr>
          <w:t>1980, in</w:t>
        </w:r>
      </w:smartTag>
      <w:r>
        <w:rPr>
          <w:sz w:val="20"/>
          <w:lang w:val="en-US"/>
        </w:rPr>
        <w:t xml:space="preserve"> 1981 it was 3.1 percent.  This latter figure is to be compared with the maximum between 1960 and 1977 which was 0.6 percent.  Employment growth was actually negative for 1981, only the third negative figure in 21 years.  The six years from 1976 through till the end of 1981 were poor for real output growth, over the period it only averaged 0.5 percent.  Real wages were at a level slightly below that of 1972 (Dalziel &amp; Lattimore, 2001).  Real disposable income growth was also negative in 1980 and again during 1982 and 1983.</w:t>
      </w:r>
    </w:p>
    <w:p w:rsidR="000466D6" w:rsidRDefault="000466D6">
      <w:pPr>
        <w:pStyle w:val="FootnoteText"/>
      </w:pPr>
    </w:p>
  </w:footnote>
  <w:footnote w:id="11">
    <w:p w:rsidR="000466D6" w:rsidRDefault="000466D6">
      <w:pPr>
        <w:pStyle w:val="FootnoteText"/>
        <w:jc w:val="both"/>
      </w:pPr>
      <w:r>
        <w:rPr>
          <w:rStyle w:val="FootnoteReference"/>
        </w:rPr>
        <w:footnoteRef/>
      </w:r>
      <w:r>
        <w:t xml:space="preserve"> Over the period 1988Q1 to 2005Q4, the </w:t>
      </w:r>
      <w:smartTag w:uri="urn:schemas-microsoft-com:office:smarttags" w:element="country-region">
        <w:r>
          <w:t>New Zealand</w:t>
        </w:r>
      </w:smartTag>
      <w:r>
        <w:t xml:space="preserve"> real income return was 5.22% compared to 2.36% for the </w:t>
      </w:r>
      <w:smartTag w:uri="urn:schemas-microsoft-com:office:smarttags" w:element="country-region">
        <w:r>
          <w:t>U.S.</w:t>
        </w:r>
      </w:smartTag>
      <w:r>
        <w:t xml:space="preserve">, 3.28% for the </w:t>
      </w:r>
      <w:smartTag w:uri="urn:schemas-microsoft-com:office:smarttags" w:element="country-region">
        <w:r>
          <w:t>U.K.</w:t>
        </w:r>
      </w:smartTag>
      <w:r>
        <w:t xml:space="preserve">, and 4.02% for </w:t>
      </w:r>
      <w:smartTag w:uri="urn:schemas-microsoft-com:office:smarttags" w:element="country-region">
        <w:smartTag w:uri="urn:schemas-microsoft-com:office:smarttags" w:element="place">
          <w:r>
            <w:t>Australia</w:t>
          </w:r>
        </w:smartTag>
      </w:smartTag>
      <w:r>
        <w:t xml:space="preserve"> (Ibbotson Associates database).</w:t>
      </w:r>
    </w:p>
  </w:footnote>
  <w:footnote w:id="12">
    <w:p w:rsidR="000466D6" w:rsidRDefault="000466D6">
      <w:pPr>
        <w:pStyle w:val="FootnoteText"/>
        <w:jc w:val="both"/>
        <w:rPr>
          <w:lang w:val="en-US"/>
        </w:rPr>
      </w:pPr>
      <w:r>
        <w:rPr>
          <w:rStyle w:val="FootnoteReference"/>
          <w:lang w:val="en-US"/>
        </w:rPr>
        <w:footnoteRef/>
      </w:r>
      <w:r>
        <w:rPr>
          <w:lang w:val="en-US"/>
        </w:rPr>
        <w:t xml:space="preserve"> If bubbles are uncorrelated with fundamentals, in order to be arbitrage free they must be expected to grow at a rate of </w:t>
      </w:r>
      <w:r>
        <w:rPr>
          <w:i/>
          <w:lang w:val="en-US"/>
        </w:rPr>
        <w:t>1+</w:t>
      </w:r>
      <w:r>
        <w:rPr>
          <w:i/>
          <w:lang w:val="en-US"/>
        </w:rPr>
        <w:sym w:font="Symbol" w:char="F072"/>
      </w:r>
      <w:r>
        <w:rPr>
          <w:lang w:val="en-US"/>
        </w:rPr>
        <w:t xml:space="preserve"> per period and the bubble and fundamentals will be driven apart at an explosive rate.</w:t>
      </w:r>
    </w:p>
  </w:footnote>
  <w:footnote w:id="13">
    <w:p w:rsidR="000466D6" w:rsidRDefault="000466D6">
      <w:pPr>
        <w:pStyle w:val="FootnoteText"/>
        <w:jc w:val="both"/>
        <w:rPr>
          <w:lang w:val="en-US"/>
        </w:rPr>
      </w:pPr>
      <w:r>
        <w:rPr>
          <w:rStyle w:val="FootnoteReference"/>
          <w:lang w:val="en-US"/>
        </w:rPr>
        <w:footnoteRef/>
      </w:r>
      <w:r>
        <w:rPr>
          <w:lang w:val="en-US"/>
        </w:rPr>
        <w:t xml:space="preserve"> There exists a large literature on stock market overreaction including evidence on predictability (see for example Dissanaike, 1997, using </w:t>
      </w:r>
      <w:smartTag w:uri="urn:schemas-microsoft-com:office:smarttags" w:element="country-region">
        <w:r>
          <w:rPr>
            <w:lang w:val="en-US"/>
          </w:rPr>
          <w:t>U.K.</w:t>
        </w:r>
      </w:smartTag>
      <w:r>
        <w:rPr>
          <w:lang w:val="en-US"/>
        </w:rPr>
        <w:t xml:space="preserve"> data) and overreaction persistence (see for example Chen &amp; Sauer, 1997, using </w:t>
      </w:r>
      <w:smartTag w:uri="urn:schemas-microsoft-com:office:smarttags" w:element="country-region">
        <w:smartTag w:uri="urn:schemas-microsoft-com:office:smarttags" w:element="place">
          <w:r>
            <w:rPr>
              <w:lang w:val="en-US"/>
            </w:rPr>
            <w:t>U.S.</w:t>
          </w:r>
        </w:smartTag>
      </w:smartTag>
      <w:r>
        <w:rPr>
          <w:lang w:val="en-US"/>
        </w:rPr>
        <w:t xml:space="preserve"> data).</w:t>
      </w:r>
    </w:p>
  </w:footnote>
  <w:footnote w:id="14">
    <w:p w:rsidR="000466D6" w:rsidRDefault="000466D6">
      <w:pPr>
        <w:pStyle w:val="Footer"/>
        <w:tabs>
          <w:tab w:val="clear" w:pos="4153"/>
          <w:tab w:val="clear" w:pos="8306"/>
        </w:tabs>
        <w:jc w:val="both"/>
        <w:rPr>
          <w:sz w:val="20"/>
          <w:lang w:val="en-US"/>
        </w:rPr>
      </w:pPr>
      <w:r>
        <w:rPr>
          <w:rStyle w:val="FootnoteReference"/>
          <w:sz w:val="20"/>
          <w:lang w:val="en-US"/>
        </w:rPr>
        <w:footnoteRef/>
      </w:r>
      <w:r>
        <w:rPr>
          <w:lang w:val="en-US"/>
        </w:rPr>
        <w:t xml:space="preserve"> </w:t>
      </w:r>
      <w:r>
        <w:rPr>
          <w:sz w:val="20"/>
          <w:lang w:val="en-US"/>
        </w:rPr>
        <w:t>It is important to note, however, that other ‘rational’ explanations are observationally equivalent to the intrinsic bubble explanation: regime shifts and managed fundamentals, can also explain non-linearities in the price-fundamental process (Froot &amp; Obstfeld, 1991</w:t>
      </w:r>
      <w:r w:rsidR="00315C3A">
        <w:rPr>
          <w:sz w:val="20"/>
          <w:lang w:val="en-US"/>
        </w:rPr>
        <w:t xml:space="preserve">; </w:t>
      </w:r>
      <w:r>
        <w:rPr>
          <w:sz w:val="20"/>
          <w:lang w:val="en-US"/>
        </w:rPr>
        <w:t>Ackert &amp; Hunter, 1999).</w:t>
      </w:r>
    </w:p>
  </w:footnote>
  <w:footnote w:id="15">
    <w:p w:rsidR="000466D6" w:rsidRDefault="000466D6">
      <w:pPr>
        <w:pStyle w:val="FootnoteText"/>
        <w:jc w:val="both"/>
        <w:rPr>
          <w:lang w:val="en-US"/>
        </w:rPr>
      </w:pPr>
      <w:r>
        <w:rPr>
          <w:rStyle w:val="FootnoteReference"/>
          <w:lang w:val="en-US"/>
        </w:rPr>
        <w:footnoteRef/>
      </w:r>
      <w:r>
        <w:rPr>
          <w:lang w:val="en-US"/>
        </w:rPr>
        <w:t xml:space="preserve"> Momentum in the changes in house prices can also result from momentum in the changes in fundamentals.</w:t>
      </w:r>
    </w:p>
  </w:footnote>
  <w:footnote w:id="16">
    <w:p w:rsidR="000466D6" w:rsidRDefault="000466D6">
      <w:pPr>
        <w:pStyle w:val="FootnoteText"/>
        <w:jc w:val="both"/>
      </w:pPr>
      <w:r>
        <w:rPr>
          <w:rStyle w:val="FootnoteReference"/>
        </w:rPr>
        <w:footnoteRef/>
      </w:r>
      <w:r>
        <w:t xml:space="preserve"> The fact that sellers of the residential housing stock tend to use local prices as a benchmark also perpetuates this process.</w:t>
      </w:r>
    </w:p>
  </w:footnote>
  <w:footnote w:id="17">
    <w:p w:rsidR="000466D6" w:rsidRDefault="000466D6" w:rsidP="00D31CF2">
      <w:pPr>
        <w:pStyle w:val="FootnoteText"/>
        <w:jc w:val="both"/>
      </w:pPr>
      <w:r>
        <w:rPr>
          <w:rStyle w:val="FootnoteReference"/>
        </w:rPr>
        <w:footnoteRef/>
      </w:r>
      <w:r>
        <w:t xml:space="preserve"> We also experimented with measures of conditional variance derived from various specifications of GARCH-type models of housing returns.  However, the results were very similar to those reported below.</w:t>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3A158AC"/>
    <w:multiLevelType w:val="hybridMultilevel"/>
    <w:tmpl w:val="44DAC34A"/>
    <w:lvl w:ilvl="0">
      <w:numFmt w:val="bullet"/>
      <w:lvlText w:val=""/>
      <w:lvlJc w:val="left"/>
      <w:pPr>
        <w:tabs>
          <w:tab w:val="num" w:pos="720"/>
        </w:tabs>
        <w:ind w:left="720" w:hanging="360"/>
      </w:pPr>
      <w:rPr>
        <w:rFonts w:ascii="Symbol" w:eastAsia="Times New Roman" w:hAnsi="Symbol" w:cs="Times New Roman" w:hint="default"/>
        <w:i/>
        <w:color w:val="auto"/>
      </w:rPr>
    </w:lvl>
    <w:lvl w:ilvl="1" w:tentative="1">
      <w:start w:val="1"/>
      <w:numFmt w:val="bullet"/>
      <w:lvlText w:val="o"/>
      <w:lvlJc w:val="left"/>
      <w:pPr>
        <w:tabs>
          <w:tab w:val="num" w:pos="1440"/>
        </w:tabs>
        <w:ind w:left="1440" w:hanging="360"/>
      </w:pPr>
      <w:rPr>
        <w:rFonts w:ascii="Courier New" w:hAnsi="Courier New" w:cs="Garamond"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Garamond"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Garamond"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1">
    <w:nsid w:val="114E17D6"/>
    <w:multiLevelType w:val="singleLevel"/>
    <w:tmpl w:val="0809000F"/>
    <w:lvl w:ilvl="0">
      <w:start w:val="4"/>
      <w:numFmt w:val="decimal"/>
      <w:lvlText w:val="%1."/>
      <w:lvlJc w:val="left"/>
      <w:pPr>
        <w:tabs>
          <w:tab w:val="num" w:pos="360"/>
        </w:tabs>
        <w:ind w:left="360" w:hanging="360"/>
      </w:pPr>
      <w:rPr>
        <w:rFonts w:hint="default"/>
      </w:rPr>
    </w:lvl>
  </w:abstractNum>
  <w:abstractNum w:abstractNumId="2">
    <w:nsid w:val="23360806"/>
    <w:multiLevelType w:val="hybridMultilevel"/>
    <w:tmpl w:val="E3B6437A"/>
    <w:lvl w:ilvl="0">
      <w:start w:val="1"/>
      <w:numFmt w:val="lowerRoman"/>
      <w:lvlText w:val="(%1)"/>
      <w:lvlJc w:val="left"/>
      <w:pPr>
        <w:tabs>
          <w:tab w:val="num" w:pos="1080"/>
        </w:tabs>
        <w:ind w:left="1080" w:hanging="720"/>
      </w:pPr>
      <w:rPr>
        <w:rFonts w:hint="default"/>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3">
    <w:nsid w:val="50713457"/>
    <w:multiLevelType w:val="singleLevel"/>
    <w:tmpl w:val="0809000F"/>
    <w:lvl w:ilvl="0">
      <w:start w:val="7"/>
      <w:numFmt w:val="decimal"/>
      <w:lvlText w:val="%1."/>
      <w:lvlJc w:val="left"/>
      <w:pPr>
        <w:tabs>
          <w:tab w:val="num" w:pos="360"/>
        </w:tabs>
        <w:ind w:left="360" w:hanging="360"/>
      </w:pPr>
      <w:rPr>
        <w:rFonts w:hint="default"/>
      </w:rPr>
    </w:lvl>
  </w:abstractNum>
  <w:abstractNum w:abstractNumId="4">
    <w:nsid w:val="739C6D03"/>
    <w:multiLevelType w:val="singleLevel"/>
    <w:tmpl w:val="0809000F"/>
    <w:lvl w:ilvl="0">
      <w:start w:val="6"/>
      <w:numFmt w:val="decimal"/>
      <w:lvlText w:val="%1."/>
      <w:lvlJc w:val="left"/>
      <w:pPr>
        <w:tabs>
          <w:tab w:val="num" w:pos="360"/>
        </w:tabs>
        <w:ind w:left="360" w:hanging="360"/>
      </w:pPr>
      <w:rPr>
        <w:rFonts w:hint="default"/>
      </w:rPr>
    </w:lvl>
  </w:abstractNum>
  <w:abstractNum w:abstractNumId="5">
    <w:nsid w:val="774D23E2"/>
    <w:multiLevelType w:val="hybridMultilevel"/>
    <w:tmpl w:val="34C259DE"/>
    <w:lvl w:ilvl="0">
      <w:start w:val="3"/>
      <w:numFmt w:val="decimal"/>
      <w:lvlText w:val="%1."/>
      <w:lvlJc w:val="left"/>
      <w:pPr>
        <w:tabs>
          <w:tab w:val="num" w:pos="720"/>
        </w:tabs>
        <w:ind w:left="720" w:hanging="360"/>
      </w:pPr>
      <w:rPr>
        <w:rFonts w:hint="default"/>
        <w:b/>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6">
    <w:nsid w:val="7BA07DE0"/>
    <w:multiLevelType w:val="hybridMultilevel"/>
    <w:tmpl w:val="EFAEA1DC"/>
    <w:lvl w:ilvl="0">
      <w:start w:val="3"/>
      <w:numFmt w:val="decimal"/>
      <w:lvlText w:val="%1."/>
      <w:lvlJc w:val="left"/>
      <w:pPr>
        <w:tabs>
          <w:tab w:val="num" w:pos="720"/>
        </w:tabs>
        <w:ind w:left="720" w:hanging="360"/>
      </w:pPr>
      <w:rPr>
        <w:rFonts w:hint="default"/>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7">
    <w:nsid w:val="7D1029ED"/>
    <w:multiLevelType w:val="hybridMultilevel"/>
    <w:tmpl w:val="A59AB288"/>
    <w:lvl w:ilvl="0">
      <w:start w:val="1"/>
      <w:numFmt w:val="decimal"/>
      <w:lvlText w:val="%1."/>
      <w:lvlJc w:val="left"/>
      <w:pPr>
        <w:tabs>
          <w:tab w:val="num" w:pos="720"/>
        </w:tabs>
        <w:ind w:left="720" w:hanging="360"/>
      </w:pPr>
      <w:rPr>
        <w:rFonts w:hint="default"/>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num w:numId="1">
    <w:abstractNumId w:val="7"/>
  </w:num>
  <w:num w:numId="2">
    <w:abstractNumId w:val="5"/>
  </w:num>
  <w:num w:numId="3">
    <w:abstractNumId w:val="6"/>
  </w:num>
  <w:num w:numId="4">
    <w:abstractNumId w:val="0"/>
  </w:num>
  <w:num w:numId="5">
    <w:abstractNumId w:val="2"/>
  </w:num>
  <w:num w:numId="6">
    <w:abstractNumId w:val="3"/>
  </w:num>
  <w:num w:numId="7">
    <w:abstractNumId w:val="1"/>
  </w:num>
  <w:num w:numId="8">
    <w:abstractNumId w:val="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val="bestFit" w:percent="148"/>
  <w:stylePaneFormatFilter w:val="3F01"/>
  <w:trackRevisions/>
  <w:defaultTabStop w:val="720"/>
  <w:noPunctuationKerning/>
  <w:characterSpacingControl w:val="doNotCompress"/>
  <w:footnotePr>
    <w:footnote w:id="-1"/>
    <w:footnote w:id="0"/>
  </w:footnotePr>
  <w:endnotePr>
    <w:endnote w:id="-1"/>
    <w:endnote w:id="0"/>
  </w:endnotePr>
  <w:compat/>
  <w:rsids>
    <w:rsidRoot w:val="00BE60B6"/>
    <w:rsid w:val="00004252"/>
    <w:rsid w:val="00020F76"/>
    <w:rsid w:val="0003598C"/>
    <w:rsid w:val="00037E1E"/>
    <w:rsid w:val="00042698"/>
    <w:rsid w:val="000446E1"/>
    <w:rsid w:val="000466D6"/>
    <w:rsid w:val="000557EB"/>
    <w:rsid w:val="00056AF5"/>
    <w:rsid w:val="00061B07"/>
    <w:rsid w:val="00082031"/>
    <w:rsid w:val="00087516"/>
    <w:rsid w:val="000901CE"/>
    <w:rsid w:val="00094942"/>
    <w:rsid w:val="000A41DE"/>
    <w:rsid w:val="000A60A6"/>
    <w:rsid w:val="000A7C49"/>
    <w:rsid w:val="000B748C"/>
    <w:rsid w:val="000D3D25"/>
    <w:rsid w:val="000D593E"/>
    <w:rsid w:val="000E3314"/>
    <w:rsid w:val="000F086C"/>
    <w:rsid w:val="00126502"/>
    <w:rsid w:val="00131BFF"/>
    <w:rsid w:val="00162CBC"/>
    <w:rsid w:val="00171E17"/>
    <w:rsid w:val="00183B85"/>
    <w:rsid w:val="00190060"/>
    <w:rsid w:val="001C5D58"/>
    <w:rsid w:val="001E264D"/>
    <w:rsid w:val="001E3D77"/>
    <w:rsid w:val="001E4007"/>
    <w:rsid w:val="001F7E95"/>
    <w:rsid w:val="0020394D"/>
    <w:rsid w:val="0020733F"/>
    <w:rsid w:val="002107A0"/>
    <w:rsid w:val="00224DD6"/>
    <w:rsid w:val="00225D83"/>
    <w:rsid w:val="002323C2"/>
    <w:rsid w:val="00237BC4"/>
    <w:rsid w:val="00242BC3"/>
    <w:rsid w:val="00255DD7"/>
    <w:rsid w:val="00256DE8"/>
    <w:rsid w:val="00266D7F"/>
    <w:rsid w:val="00266F1A"/>
    <w:rsid w:val="00283523"/>
    <w:rsid w:val="00284B57"/>
    <w:rsid w:val="002A4787"/>
    <w:rsid w:val="002B3ED0"/>
    <w:rsid w:val="002B5794"/>
    <w:rsid w:val="002C2B7D"/>
    <w:rsid w:val="002C4860"/>
    <w:rsid w:val="002D051E"/>
    <w:rsid w:val="002E7028"/>
    <w:rsid w:val="002F070C"/>
    <w:rsid w:val="002F69B7"/>
    <w:rsid w:val="002F6E8A"/>
    <w:rsid w:val="0030333D"/>
    <w:rsid w:val="003151A7"/>
    <w:rsid w:val="0031530F"/>
    <w:rsid w:val="00315C3A"/>
    <w:rsid w:val="00316407"/>
    <w:rsid w:val="00346D30"/>
    <w:rsid w:val="00351653"/>
    <w:rsid w:val="00354D61"/>
    <w:rsid w:val="00364272"/>
    <w:rsid w:val="00370D07"/>
    <w:rsid w:val="00385411"/>
    <w:rsid w:val="003A1733"/>
    <w:rsid w:val="003A31CA"/>
    <w:rsid w:val="003C6CC4"/>
    <w:rsid w:val="003D0CCB"/>
    <w:rsid w:val="003D1104"/>
    <w:rsid w:val="003D22D8"/>
    <w:rsid w:val="003D3E2A"/>
    <w:rsid w:val="003D6FA3"/>
    <w:rsid w:val="00401A26"/>
    <w:rsid w:val="004031A4"/>
    <w:rsid w:val="004070A4"/>
    <w:rsid w:val="00410922"/>
    <w:rsid w:val="00425C98"/>
    <w:rsid w:val="004274AB"/>
    <w:rsid w:val="0046104C"/>
    <w:rsid w:val="00467FE0"/>
    <w:rsid w:val="00475722"/>
    <w:rsid w:val="00490551"/>
    <w:rsid w:val="004B0C6F"/>
    <w:rsid w:val="004B3CD0"/>
    <w:rsid w:val="004D0150"/>
    <w:rsid w:val="004E25D2"/>
    <w:rsid w:val="004F223C"/>
    <w:rsid w:val="00502BAB"/>
    <w:rsid w:val="00515F68"/>
    <w:rsid w:val="00531FAF"/>
    <w:rsid w:val="005336F5"/>
    <w:rsid w:val="0053734A"/>
    <w:rsid w:val="005412DB"/>
    <w:rsid w:val="005640AE"/>
    <w:rsid w:val="005760DD"/>
    <w:rsid w:val="0058689E"/>
    <w:rsid w:val="005A1071"/>
    <w:rsid w:val="005C243A"/>
    <w:rsid w:val="005D5DE9"/>
    <w:rsid w:val="005D6A8D"/>
    <w:rsid w:val="005F14B6"/>
    <w:rsid w:val="00605810"/>
    <w:rsid w:val="006111E8"/>
    <w:rsid w:val="00623EBC"/>
    <w:rsid w:val="00655C5B"/>
    <w:rsid w:val="0066340A"/>
    <w:rsid w:val="00682121"/>
    <w:rsid w:val="006A36C6"/>
    <w:rsid w:val="006B2109"/>
    <w:rsid w:val="006C2C95"/>
    <w:rsid w:val="006C5601"/>
    <w:rsid w:val="006E03FB"/>
    <w:rsid w:val="006F57ED"/>
    <w:rsid w:val="00700213"/>
    <w:rsid w:val="007003B4"/>
    <w:rsid w:val="00725383"/>
    <w:rsid w:val="00726532"/>
    <w:rsid w:val="0073523B"/>
    <w:rsid w:val="00737B63"/>
    <w:rsid w:val="00746B23"/>
    <w:rsid w:val="007544EC"/>
    <w:rsid w:val="00761536"/>
    <w:rsid w:val="0077186C"/>
    <w:rsid w:val="00786FE4"/>
    <w:rsid w:val="007959D1"/>
    <w:rsid w:val="007A3A20"/>
    <w:rsid w:val="007B0430"/>
    <w:rsid w:val="007D16AC"/>
    <w:rsid w:val="007D7085"/>
    <w:rsid w:val="00811234"/>
    <w:rsid w:val="00811BF1"/>
    <w:rsid w:val="00853ABF"/>
    <w:rsid w:val="008556E9"/>
    <w:rsid w:val="00856CC3"/>
    <w:rsid w:val="008713DA"/>
    <w:rsid w:val="0088567A"/>
    <w:rsid w:val="008924C6"/>
    <w:rsid w:val="00896825"/>
    <w:rsid w:val="008D6E1E"/>
    <w:rsid w:val="008E1018"/>
    <w:rsid w:val="008F53B3"/>
    <w:rsid w:val="00920979"/>
    <w:rsid w:val="009250FB"/>
    <w:rsid w:val="00943568"/>
    <w:rsid w:val="00946A8C"/>
    <w:rsid w:val="009615FA"/>
    <w:rsid w:val="00976AF8"/>
    <w:rsid w:val="009812DD"/>
    <w:rsid w:val="00995091"/>
    <w:rsid w:val="009B225F"/>
    <w:rsid w:val="009C384D"/>
    <w:rsid w:val="009C5DA0"/>
    <w:rsid w:val="009D7757"/>
    <w:rsid w:val="009D7787"/>
    <w:rsid w:val="009E50CF"/>
    <w:rsid w:val="00A06FE1"/>
    <w:rsid w:val="00A25B18"/>
    <w:rsid w:val="00A4164F"/>
    <w:rsid w:val="00A53B97"/>
    <w:rsid w:val="00A61675"/>
    <w:rsid w:val="00A65751"/>
    <w:rsid w:val="00A750C1"/>
    <w:rsid w:val="00A80056"/>
    <w:rsid w:val="00A81E8C"/>
    <w:rsid w:val="00A8648C"/>
    <w:rsid w:val="00AA3563"/>
    <w:rsid w:val="00AA4279"/>
    <w:rsid w:val="00AB2CA7"/>
    <w:rsid w:val="00AD3F1B"/>
    <w:rsid w:val="00AF0667"/>
    <w:rsid w:val="00AF5415"/>
    <w:rsid w:val="00B02476"/>
    <w:rsid w:val="00B1213B"/>
    <w:rsid w:val="00B25278"/>
    <w:rsid w:val="00B42B7F"/>
    <w:rsid w:val="00B50344"/>
    <w:rsid w:val="00B50A56"/>
    <w:rsid w:val="00B53987"/>
    <w:rsid w:val="00B6135E"/>
    <w:rsid w:val="00B77F14"/>
    <w:rsid w:val="00B81FF3"/>
    <w:rsid w:val="00B94571"/>
    <w:rsid w:val="00B97DB3"/>
    <w:rsid w:val="00BD4DA2"/>
    <w:rsid w:val="00BE13C3"/>
    <w:rsid w:val="00BE2638"/>
    <w:rsid w:val="00BE55D9"/>
    <w:rsid w:val="00BE60B6"/>
    <w:rsid w:val="00BF2229"/>
    <w:rsid w:val="00C00D46"/>
    <w:rsid w:val="00C21300"/>
    <w:rsid w:val="00C25039"/>
    <w:rsid w:val="00C2783E"/>
    <w:rsid w:val="00C53412"/>
    <w:rsid w:val="00C81208"/>
    <w:rsid w:val="00C9099A"/>
    <w:rsid w:val="00CB7785"/>
    <w:rsid w:val="00CF3B42"/>
    <w:rsid w:val="00D00E1E"/>
    <w:rsid w:val="00D141B2"/>
    <w:rsid w:val="00D14350"/>
    <w:rsid w:val="00D20EFE"/>
    <w:rsid w:val="00D31CF2"/>
    <w:rsid w:val="00D32CE7"/>
    <w:rsid w:val="00D60C69"/>
    <w:rsid w:val="00D62BF3"/>
    <w:rsid w:val="00D64AF9"/>
    <w:rsid w:val="00D72388"/>
    <w:rsid w:val="00D73B4A"/>
    <w:rsid w:val="00D80864"/>
    <w:rsid w:val="00D90984"/>
    <w:rsid w:val="00D92ABC"/>
    <w:rsid w:val="00DC2E26"/>
    <w:rsid w:val="00DD077A"/>
    <w:rsid w:val="00E14AB9"/>
    <w:rsid w:val="00E16D8B"/>
    <w:rsid w:val="00E44FE8"/>
    <w:rsid w:val="00E61341"/>
    <w:rsid w:val="00E705FC"/>
    <w:rsid w:val="00E74AB0"/>
    <w:rsid w:val="00E91AD0"/>
    <w:rsid w:val="00E94797"/>
    <w:rsid w:val="00E9694B"/>
    <w:rsid w:val="00ED5889"/>
    <w:rsid w:val="00ED748C"/>
    <w:rsid w:val="00EE46ED"/>
    <w:rsid w:val="00EF5AE4"/>
    <w:rsid w:val="00F0102F"/>
    <w:rsid w:val="00F245D6"/>
    <w:rsid w:val="00F44D95"/>
    <w:rsid w:val="00F64E41"/>
    <w:rsid w:val="00F67351"/>
    <w:rsid w:val="00F9291F"/>
    <w:rsid w:val="00FB07A0"/>
    <w:rsid w:val="00FB5A97"/>
    <w:rsid w:val="00FB7947"/>
    <w:rsid w:val="00FC6FCD"/>
    <w:rsid w:val="00FD5A9C"/>
    <w:rsid w:val="00FE1426"/>
    <w:rsid w:val="00FE22DD"/>
    <w:rsid w:val="00FE7A12"/>
  </w:rsids>
  <m:mathPr>
    <m:mathFont m:val="Cambria Math"/>
    <m:brkBin m:val="before"/>
    <m:brkBinSub m:val="--"/>
    <m:smallFrac m:val="off"/>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country-region"/>
  <w:smartTagType w:namespaceuri="urn:schemas-microsoft-com:office:smarttags" w:name="place"/>
  <w:smartTagType w:namespaceuri="urn:schemas-microsoft-com:office:smarttags" w:name="metricconverter"/>
  <w:smartTagType w:namespaceuri="urn:schemas-microsoft-com:office:smarttags" w:name="address"/>
  <w:smartTagType w:namespaceuri="urn:schemas-microsoft-com:office:smarttags" w:name="City"/>
  <w:smartTagType w:namespaceuri="urn:schemas-microsoft-com:office:smarttags" w:name="PlaceName"/>
  <w:smartTagType w:namespaceuri="urn:schemas-microsoft-com:office:smarttags" w:name="PlaceType"/>
  <w:smartTagType w:namespaceuri="urn:schemas-microsoft-com:office:smarttags" w:name="State"/>
  <w:smartTagType w:namespaceuri="urn:schemas-microsoft-com:office:smarttags" w:name="Street"/>
  <w:shapeDefaults>
    <o:shapedefaults v:ext="edit" spidmax="4098"/>
    <o:shapelayout v:ext="edit">
      <o:idmap v:ext="edit" data="1,2,3"/>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Pr>
      <w:sz w:val="24"/>
      <w:szCs w:val="24"/>
    </w:rPr>
  </w:style>
  <w:style w:type="paragraph" w:styleId="Heading1">
    <w:name w:val="heading 1"/>
    <w:basedOn w:val="Normal"/>
    <w:next w:val="Normal"/>
    <w:qFormat/>
    <w:pPr>
      <w:keepNext/>
      <w:spacing w:line="480" w:lineRule="auto"/>
      <w:jc w:val="both"/>
      <w:outlineLvl w:val="0"/>
    </w:pPr>
    <w:rPr>
      <w:b/>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paragraph" w:styleId="Footer">
    <w:name w:val="footer"/>
    <w:basedOn w:val="Normal"/>
    <w:pPr>
      <w:tabs>
        <w:tab w:val="center" w:pos="4153"/>
        <w:tab w:val="right" w:pos="8306"/>
      </w:tabs>
    </w:pPr>
  </w:style>
  <w:style w:type="character" w:styleId="PageNumber">
    <w:name w:val="page number"/>
    <w:basedOn w:val="DefaultParagraphFont"/>
  </w:style>
  <w:style w:type="paragraph" w:styleId="BalloonText">
    <w:name w:val="Balloon Text"/>
    <w:basedOn w:val="Normal"/>
    <w:semiHidden/>
    <w:rPr>
      <w:rFonts w:ascii="Tahoma" w:hAnsi="Tahoma" w:cs="Tahoma"/>
      <w:sz w:val="16"/>
      <w:szCs w:val="16"/>
    </w:rPr>
  </w:style>
  <w:style w:type="paragraph" w:styleId="BodyText">
    <w:name w:val="Body Text"/>
    <w:basedOn w:val="Normal"/>
    <w:pPr>
      <w:jc w:val="center"/>
    </w:pPr>
    <w:rPr>
      <w:b/>
      <w:i/>
      <w:sz w:val="40"/>
      <w:szCs w:val="20"/>
      <w:lang w:eastAsia="en-US"/>
    </w:rPr>
  </w:style>
  <w:style w:type="paragraph" w:styleId="BodyText3">
    <w:name w:val="Body Text 3"/>
    <w:basedOn w:val="Normal"/>
    <w:pPr>
      <w:jc w:val="both"/>
    </w:pPr>
    <w:rPr>
      <w:b/>
      <w:szCs w:val="20"/>
      <w:lang w:eastAsia="en-US"/>
    </w:rPr>
  </w:style>
  <w:style w:type="paragraph" w:customStyle="1" w:styleId="normals">
    <w:name w:val="normals"/>
    <w:basedOn w:val="Normal"/>
    <w:pPr>
      <w:ind w:left="567" w:hanging="567"/>
    </w:pPr>
    <w:rPr>
      <w:color w:val="000000"/>
      <w:szCs w:val="20"/>
      <w:lang w:val="en-AU" w:eastAsia="en-US"/>
    </w:rPr>
  </w:style>
  <w:style w:type="paragraph" w:styleId="FootnoteText">
    <w:name w:val="footnote text"/>
    <w:basedOn w:val="Normal"/>
    <w:semiHidden/>
    <w:rPr>
      <w:sz w:val="20"/>
      <w:szCs w:val="20"/>
      <w:lang w:eastAsia="en-US"/>
    </w:rPr>
  </w:style>
  <w:style w:type="character" w:styleId="FootnoteReference">
    <w:name w:val="footnote reference"/>
    <w:basedOn w:val="DefaultParagraphFont"/>
    <w:semiHidden/>
    <w:rPr>
      <w:vertAlign w:val="superscript"/>
    </w:rPr>
  </w:style>
  <w:style w:type="paragraph" w:styleId="BodyTextIndent">
    <w:name w:val="Body Text Indent"/>
    <w:basedOn w:val="BodyText"/>
    <w:pPr>
      <w:tabs>
        <w:tab w:val="right" w:pos="8640"/>
      </w:tabs>
      <w:jc w:val="left"/>
    </w:pPr>
    <w:rPr>
      <w:rFonts w:ascii="Garamond" w:hAnsi="Garamond"/>
      <w:b w:val="0"/>
      <w:i w:val="0"/>
      <w:spacing w:val="-2"/>
      <w:sz w:val="24"/>
      <w:lang w:val="en-US"/>
    </w:rPr>
  </w:style>
  <w:style w:type="character" w:styleId="Emphasis">
    <w:name w:val="Emphasis"/>
    <w:qFormat/>
    <w:rPr>
      <w:i/>
    </w:rPr>
  </w:style>
  <w:style w:type="paragraph" w:styleId="BodyTextIndent2">
    <w:name w:val="Body Text Indent 2"/>
    <w:basedOn w:val="Normal"/>
    <w:pPr>
      <w:spacing w:line="480" w:lineRule="auto"/>
      <w:ind w:firstLine="720"/>
    </w:pPr>
    <w:rPr>
      <w:lang w:val="en-US"/>
    </w:rPr>
  </w:style>
  <w:style w:type="paragraph" w:styleId="BodyText2">
    <w:name w:val="Body Text 2"/>
    <w:basedOn w:val="Normal"/>
    <w:pPr>
      <w:spacing w:after="120" w:line="480" w:lineRule="auto"/>
    </w:pPr>
  </w:style>
  <w:style w:type="character" w:styleId="Hyperlink">
    <w:name w:val="Hyperlink"/>
    <w:basedOn w:val="DefaultParagraphFont"/>
    <w:rPr>
      <w:color w:val="0000FF"/>
      <w:u w:val="single"/>
    </w:rPr>
  </w:style>
  <w:style w:type="paragraph" w:styleId="EndnoteText">
    <w:name w:val="endnote text"/>
    <w:basedOn w:val="Normal"/>
    <w:semiHidden/>
    <w:rPr>
      <w:sz w:val="20"/>
      <w:szCs w:val="20"/>
    </w:rPr>
  </w:style>
  <w:style w:type="character" w:styleId="EndnoteReference">
    <w:name w:val="endnote reference"/>
    <w:basedOn w:val="DefaultParagraphFont"/>
    <w:semiHidden/>
    <w:rPr>
      <w:vertAlign w:val="superscript"/>
    </w:rPr>
  </w:style>
  <w:style w:type="paragraph" w:styleId="Header">
    <w:name w:val="header"/>
    <w:basedOn w:val="Normal"/>
    <w:pPr>
      <w:tabs>
        <w:tab w:val="center" w:pos="4536"/>
        <w:tab w:val="right" w:pos="9072"/>
      </w:tabs>
    </w:p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26" Type="http://schemas.openxmlformats.org/officeDocument/2006/relationships/oleObject" Target="embeddings/oleObject9.bin"/><Relationship Id="rId117" Type="http://schemas.openxmlformats.org/officeDocument/2006/relationships/image" Target="media/image50.wmf"/><Relationship Id="rId21" Type="http://schemas.openxmlformats.org/officeDocument/2006/relationships/image" Target="media/image7.wmf"/><Relationship Id="rId42" Type="http://schemas.openxmlformats.org/officeDocument/2006/relationships/image" Target="media/image17.wmf"/><Relationship Id="rId47" Type="http://schemas.openxmlformats.org/officeDocument/2006/relationships/oleObject" Target="embeddings/oleObject20.bin"/><Relationship Id="rId63" Type="http://schemas.openxmlformats.org/officeDocument/2006/relationships/oleObject" Target="embeddings/oleObject28.bin"/><Relationship Id="rId68" Type="http://schemas.openxmlformats.org/officeDocument/2006/relationships/oleObject" Target="embeddings/oleObject31.bin"/><Relationship Id="rId84" Type="http://schemas.openxmlformats.org/officeDocument/2006/relationships/oleObject" Target="embeddings/oleObject38.bin"/><Relationship Id="rId89" Type="http://schemas.openxmlformats.org/officeDocument/2006/relationships/image" Target="media/image36.wmf"/><Relationship Id="rId112" Type="http://schemas.openxmlformats.org/officeDocument/2006/relationships/oleObject" Target="embeddings/oleObject53.bin"/><Relationship Id="rId133" Type="http://schemas.openxmlformats.org/officeDocument/2006/relationships/image" Target="media/image58.wmf"/><Relationship Id="rId138" Type="http://schemas.openxmlformats.org/officeDocument/2006/relationships/oleObject" Target="embeddings/oleObject66.bin"/><Relationship Id="rId154" Type="http://schemas.openxmlformats.org/officeDocument/2006/relationships/oleObject" Target="embeddings/oleObject74.bin"/><Relationship Id="rId159" Type="http://schemas.openxmlformats.org/officeDocument/2006/relationships/theme" Target="theme/theme1.xml"/><Relationship Id="rId16" Type="http://schemas.openxmlformats.org/officeDocument/2006/relationships/oleObject" Target="embeddings/oleObject4.bin"/><Relationship Id="rId107" Type="http://schemas.openxmlformats.org/officeDocument/2006/relationships/image" Target="media/image45.wmf"/><Relationship Id="rId11" Type="http://schemas.openxmlformats.org/officeDocument/2006/relationships/image" Target="media/image2.wmf"/><Relationship Id="rId32" Type="http://schemas.openxmlformats.org/officeDocument/2006/relationships/oleObject" Target="embeddings/oleObject12.bin"/><Relationship Id="rId37" Type="http://schemas.openxmlformats.org/officeDocument/2006/relationships/oleObject" Target="embeddings/oleObject15.bin"/><Relationship Id="rId53" Type="http://schemas.openxmlformats.org/officeDocument/2006/relationships/oleObject" Target="embeddings/oleObject23.bin"/><Relationship Id="rId58" Type="http://schemas.openxmlformats.org/officeDocument/2006/relationships/image" Target="media/image25.wmf"/><Relationship Id="rId74" Type="http://schemas.openxmlformats.org/officeDocument/2006/relationships/hyperlink" Target="http://www.pwc.com/uk/eng/ins-sol/publ/ukoutlook/pwc_July04.pdf" TargetMode="External"/><Relationship Id="rId79" Type="http://schemas.openxmlformats.org/officeDocument/2006/relationships/oleObject" Target="embeddings/oleObject35.bin"/><Relationship Id="rId102" Type="http://schemas.openxmlformats.org/officeDocument/2006/relationships/oleObject" Target="embeddings/oleObject48.bin"/><Relationship Id="rId123" Type="http://schemas.openxmlformats.org/officeDocument/2006/relationships/image" Target="media/image53.wmf"/><Relationship Id="rId128" Type="http://schemas.openxmlformats.org/officeDocument/2006/relationships/oleObject" Target="embeddings/oleObject61.bin"/><Relationship Id="rId144" Type="http://schemas.openxmlformats.org/officeDocument/2006/relationships/image" Target="media/image63.wmf"/><Relationship Id="rId149" Type="http://schemas.openxmlformats.org/officeDocument/2006/relationships/image" Target="media/image66.emf"/><Relationship Id="rId5" Type="http://schemas.openxmlformats.org/officeDocument/2006/relationships/footnotes" Target="footnotes.xml"/><Relationship Id="rId90" Type="http://schemas.openxmlformats.org/officeDocument/2006/relationships/oleObject" Target="embeddings/oleObject42.bin"/><Relationship Id="rId95" Type="http://schemas.openxmlformats.org/officeDocument/2006/relationships/image" Target="media/image39.wmf"/><Relationship Id="rId22" Type="http://schemas.openxmlformats.org/officeDocument/2006/relationships/oleObject" Target="embeddings/oleObject7.bin"/><Relationship Id="rId27" Type="http://schemas.openxmlformats.org/officeDocument/2006/relationships/image" Target="media/image10.wmf"/><Relationship Id="rId43" Type="http://schemas.openxmlformats.org/officeDocument/2006/relationships/oleObject" Target="embeddings/oleObject18.bin"/><Relationship Id="rId48" Type="http://schemas.openxmlformats.org/officeDocument/2006/relationships/image" Target="media/image20.wmf"/><Relationship Id="rId64" Type="http://schemas.openxmlformats.org/officeDocument/2006/relationships/image" Target="media/image28.wmf"/><Relationship Id="rId69" Type="http://schemas.openxmlformats.org/officeDocument/2006/relationships/image" Target="media/image30.wmf"/><Relationship Id="rId113" Type="http://schemas.openxmlformats.org/officeDocument/2006/relationships/image" Target="media/image48.wmf"/><Relationship Id="rId118" Type="http://schemas.openxmlformats.org/officeDocument/2006/relationships/oleObject" Target="embeddings/oleObject56.bin"/><Relationship Id="rId134" Type="http://schemas.openxmlformats.org/officeDocument/2006/relationships/oleObject" Target="embeddings/oleObject64.bin"/><Relationship Id="rId139" Type="http://schemas.openxmlformats.org/officeDocument/2006/relationships/oleObject" Target="embeddings/oleObject67.bin"/><Relationship Id="rId80" Type="http://schemas.openxmlformats.org/officeDocument/2006/relationships/oleObject" Target="embeddings/oleObject36.bin"/><Relationship Id="rId85" Type="http://schemas.openxmlformats.org/officeDocument/2006/relationships/image" Target="media/image35.wmf"/><Relationship Id="rId150" Type="http://schemas.openxmlformats.org/officeDocument/2006/relationships/image" Target="media/image67.wmf"/><Relationship Id="rId155" Type="http://schemas.openxmlformats.org/officeDocument/2006/relationships/image" Target="media/image69.emf"/><Relationship Id="rId12" Type="http://schemas.openxmlformats.org/officeDocument/2006/relationships/oleObject" Target="embeddings/oleObject2.bin"/><Relationship Id="rId17" Type="http://schemas.openxmlformats.org/officeDocument/2006/relationships/image" Target="media/image5.wmf"/><Relationship Id="rId33" Type="http://schemas.openxmlformats.org/officeDocument/2006/relationships/image" Target="media/image13.wmf"/><Relationship Id="rId38" Type="http://schemas.openxmlformats.org/officeDocument/2006/relationships/image" Target="media/image15.wmf"/><Relationship Id="rId59" Type="http://schemas.openxmlformats.org/officeDocument/2006/relationships/oleObject" Target="embeddings/oleObject26.bin"/><Relationship Id="rId103" Type="http://schemas.openxmlformats.org/officeDocument/2006/relationships/image" Target="media/image43.wmf"/><Relationship Id="rId108" Type="http://schemas.openxmlformats.org/officeDocument/2006/relationships/oleObject" Target="embeddings/oleObject51.bin"/><Relationship Id="rId124" Type="http://schemas.openxmlformats.org/officeDocument/2006/relationships/oleObject" Target="embeddings/oleObject59.bin"/><Relationship Id="rId129" Type="http://schemas.openxmlformats.org/officeDocument/2006/relationships/image" Target="media/image56.wmf"/><Relationship Id="rId20" Type="http://schemas.openxmlformats.org/officeDocument/2006/relationships/oleObject" Target="embeddings/oleObject6.bin"/><Relationship Id="rId41" Type="http://schemas.openxmlformats.org/officeDocument/2006/relationships/oleObject" Target="embeddings/oleObject17.bin"/><Relationship Id="rId54" Type="http://schemas.openxmlformats.org/officeDocument/2006/relationships/image" Target="media/image23.wmf"/><Relationship Id="rId62" Type="http://schemas.openxmlformats.org/officeDocument/2006/relationships/image" Target="media/image27.wmf"/><Relationship Id="rId70" Type="http://schemas.openxmlformats.org/officeDocument/2006/relationships/oleObject" Target="embeddings/oleObject32.bin"/><Relationship Id="rId75" Type="http://schemas.openxmlformats.org/officeDocument/2006/relationships/hyperlink" Target="http://www.imf.org/external/pubs/ft/weo/2003/01/pdf/chapter2.pdf" TargetMode="External"/><Relationship Id="rId83" Type="http://schemas.openxmlformats.org/officeDocument/2006/relationships/image" Target="media/image34.wmf"/><Relationship Id="rId88" Type="http://schemas.openxmlformats.org/officeDocument/2006/relationships/oleObject" Target="embeddings/oleObject41.bin"/><Relationship Id="rId91" Type="http://schemas.openxmlformats.org/officeDocument/2006/relationships/image" Target="media/image37.wmf"/><Relationship Id="rId96" Type="http://schemas.openxmlformats.org/officeDocument/2006/relationships/oleObject" Target="embeddings/oleObject45.bin"/><Relationship Id="rId111" Type="http://schemas.openxmlformats.org/officeDocument/2006/relationships/image" Target="media/image47.wmf"/><Relationship Id="rId132" Type="http://schemas.openxmlformats.org/officeDocument/2006/relationships/oleObject" Target="embeddings/oleObject63.bin"/><Relationship Id="rId140" Type="http://schemas.openxmlformats.org/officeDocument/2006/relationships/image" Target="media/image61.wmf"/><Relationship Id="rId145" Type="http://schemas.openxmlformats.org/officeDocument/2006/relationships/oleObject" Target="embeddings/oleObject70.bin"/><Relationship Id="rId153" Type="http://schemas.openxmlformats.org/officeDocument/2006/relationships/oleObject" Target="embeddings/oleObject73.bin"/><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image" Target="media/image4.wmf"/><Relationship Id="rId23" Type="http://schemas.openxmlformats.org/officeDocument/2006/relationships/image" Target="media/image8.wmf"/><Relationship Id="rId28" Type="http://schemas.openxmlformats.org/officeDocument/2006/relationships/oleObject" Target="embeddings/oleObject10.bin"/><Relationship Id="rId36" Type="http://schemas.openxmlformats.org/officeDocument/2006/relationships/image" Target="media/image14.wmf"/><Relationship Id="rId49" Type="http://schemas.openxmlformats.org/officeDocument/2006/relationships/oleObject" Target="embeddings/oleObject21.bin"/><Relationship Id="rId57" Type="http://schemas.openxmlformats.org/officeDocument/2006/relationships/oleObject" Target="embeddings/oleObject25.bin"/><Relationship Id="rId106" Type="http://schemas.openxmlformats.org/officeDocument/2006/relationships/oleObject" Target="embeddings/oleObject50.bin"/><Relationship Id="rId114" Type="http://schemas.openxmlformats.org/officeDocument/2006/relationships/oleObject" Target="embeddings/oleObject54.bin"/><Relationship Id="rId119" Type="http://schemas.openxmlformats.org/officeDocument/2006/relationships/image" Target="media/image51.wmf"/><Relationship Id="rId127" Type="http://schemas.openxmlformats.org/officeDocument/2006/relationships/image" Target="media/image55.wmf"/><Relationship Id="rId10" Type="http://schemas.openxmlformats.org/officeDocument/2006/relationships/oleObject" Target="embeddings/oleObject1.bin"/><Relationship Id="rId31" Type="http://schemas.openxmlformats.org/officeDocument/2006/relationships/image" Target="media/image12.wmf"/><Relationship Id="rId44" Type="http://schemas.openxmlformats.org/officeDocument/2006/relationships/image" Target="media/image18.wmf"/><Relationship Id="rId52" Type="http://schemas.openxmlformats.org/officeDocument/2006/relationships/image" Target="media/image22.wmf"/><Relationship Id="rId60" Type="http://schemas.openxmlformats.org/officeDocument/2006/relationships/image" Target="media/image26.wmf"/><Relationship Id="rId65" Type="http://schemas.openxmlformats.org/officeDocument/2006/relationships/oleObject" Target="embeddings/oleObject29.bin"/><Relationship Id="rId73" Type="http://schemas.openxmlformats.org/officeDocument/2006/relationships/hyperlink" Target="http://www.economics.ox.ac.uk/members/andrew.farlow/Part1UKHousing.pdf" TargetMode="External"/><Relationship Id="rId78" Type="http://schemas.openxmlformats.org/officeDocument/2006/relationships/image" Target="media/image32.wmf"/><Relationship Id="rId81" Type="http://schemas.openxmlformats.org/officeDocument/2006/relationships/image" Target="media/image33.wmf"/><Relationship Id="rId86" Type="http://schemas.openxmlformats.org/officeDocument/2006/relationships/oleObject" Target="embeddings/oleObject39.bin"/><Relationship Id="rId94" Type="http://schemas.openxmlformats.org/officeDocument/2006/relationships/oleObject" Target="embeddings/oleObject44.bin"/><Relationship Id="rId99" Type="http://schemas.openxmlformats.org/officeDocument/2006/relationships/image" Target="media/image41.wmf"/><Relationship Id="rId101" Type="http://schemas.openxmlformats.org/officeDocument/2006/relationships/image" Target="media/image42.wmf"/><Relationship Id="rId122" Type="http://schemas.openxmlformats.org/officeDocument/2006/relationships/oleObject" Target="embeddings/oleObject58.bin"/><Relationship Id="rId130" Type="http://schemas.openxmlformats.org/officeDocument/2006/relationships/oleObject" Target="embeddings/oleObject62.bin"/><Relationship Id="rId135" Type="http://schemas.openxmlformats.org/officeDocument/2006/relationships/image" Target="media/image59.wmf"/><Relationship Id="rId143" Type="http://schemas.openxmlformats.org/officeDocument/2006/relationships/oleObject" Target="embeddings/oleObject69.bin"/><Relationship Id="rId148" Type="http://schemas.openxmlformats.org/officeDocument/2006/relationships/oleObject" Target="embeddings/oleObject71.bin"/><Relationship Id="rId151" Type="http://schemas.openxmlformats.org/officeDocument/2006/relationships/oleObject" Target="embeddings/oleObject72.bin"/><Relationship Id="rId156" Type="http://schemas.openxmlformats.org/officeDocument/2006/relationships/footer" Target="footer3.xml"/><Relationship Id="rId4" Type="http://schemas.openxmlformats.org/officeDocument/2006/relationships/webSettings" Target="webSettings.xml"/><Relationship Id="rId9" Type="http://schemas.openxmlformats.org/officeDocument/2006/relationships/image" Target="media/image1.wmf"/><Relationship Id="rId13" Type="http://schemas.openxmlformats.org/officeDocument/2006/relationships/image" Target="media/image3.wmf"/><Relationship Id="rId18" Type="http://schemas.openxmlformats.org/officeDocument/2006/relationships/oleObject" Target="embeddings/oleObject5.bin"/><Relationship Id="rId39" Type="http://schemas.openxmlformats.org/officeDocument/2006/relationships/oleObject" Target="embeddings/oleObject16.bin"/><Relationship Id="rId109" Type="http://schemas.openxmlformats.org/officeDocument/2006/relationships/image" Target="media/image46.wmf"/><Relationship Id="rId34" Type="http://schemas.openxmlformats.org/officeDocument/2006/relationships/oleObject" Target="embeddings/oleObject13.bin"/><Relationship Id="rId50" Type="http://schemas.openxmlformats.org/officeDocument/2006/relationships/image" Target="media/image21.wmf"/><Relationship Id="rId55" Type="http://schemas.openxmlformats.org/officeDocument/2006/relationships/oleObject" Target="embeddings/oleObject24.bin"/><Relationship Id="rId76" Type="http://schemas.openxmlformats.org/officeDocument/2006/relationships/hyperlink" Target="http://www.rbnz.govt.nz/speeches/2861623.pdf" TargetMode="External"/><Relationship Id="rId97" Type="http://schemas.openxmlformats.org/officeDocument/2006/relationships/image" Target="media/image40.wmf"/><Relationship Id="rId104" Type="http://schemas.openxmlformats.org/officeDocument/2006/relationships/oleObject" Target="embeddings/oleObject49.bin"/><Relationship Id="rId120" Type="http://schemas.openxmlformats.org/officeDocument/2006/relationships/oleObject" Target="embeddings/oleObject57.bin"/><Relationship Id="rId125" Type="http://schemas.openxmlformats.org/officeDocument/2006/relationships/image" Target="media/image54.wmf"/><Relationship Id="rId141" Type="http://schemas.openxmlformats.org/officeDocument/2006/relationships/oleObject" Target="embeddings/oleObject68.bin"/><Relationship Id="rId146" Type="http://schemas.openxmlformats.org/officeDocument/2006/relationships/image" Target="media/image64.emf"/><Relationship Id="rId7" Type="http://schemas.openxmlformats.org/officeDocument/2006/relationships/footer" Target="footer1.xml"/><Relationship Id="rId71" Type="http://schemas.openxmlformats.org/officeDocument/2006/relationships/image" Target="media/image31.wmf"/><Relationship Id="rId92" Type="http://schemas.openxmlformats.org/officeDocument/2006/relationships/oleObject" Target="embeddings/oleObject43.bin"/><Relationship Id="rId2" Type="http://schemas.openxmlformats.org/officeDocument/2006/relationships/styles" Target="styles.xml"/><Relationship Id="rId29" Type="http://schemas.openxmlformats.org/officeDocument/2006/relationships/image" Target="media/image11.wmf"/><Relationship Id="rId24" Type="http://schemas.openxmlformats.org/officeDocument/2006/relationships/oleObject" Target="embeddings/oleObject8.bin"/><Relationship Id="rId40" Type="http://schemas.openxmlformats.org/officeDocument/2006/relationships/image" Target="media/image16.wmf"/><Relationship Id="rId45" Type="http://schemas.openxmlformats.org/officeDocument/2006/relationships/oleObject" Target="embeddings/oleObject19.bin"/><Relationship Id="rId66" Type="http://schemas.openxmlformats.org/officeDocument/2006/relationships/oleObject" Target="embeddings/oleObject30.bin"/><Relationship Id="rId87" Type="http://schemas.openxmlformats.org/officeDocument/2006/relationships/oleObject" Target="embeddings/oleObject40.bin"/><Relationship Id="rId110" Type="http://schemas.openxmlformats.org/officeDocument/2006/relationships/oleObject" Target="embeddings/oleObject52.bin"/><Relationship Id="rId115" Type="http://schemas.openxmlformats.org/officeDocument/2006/relationships/image" Target="media/image49.wmf"/><Relationship Id="rId131" Type="http://schemas.openxmlformats.org/officeDocument/2006/relationships/image" Target="media/image57.wmf"/><Relationship Id="rId136" Type="http://schemas.openxmlformats.org/officeDocument/2006/relationships/oleObject" Target="embeddings/oleObject65.bin"/><Relationship Id="rId157" Type="http://schemas.openxmlformats.org/officeDocument/2006/relationships/footer" Target="footer4.xml"/><Relationship Id="rId61" Type="http://schemas.openxmlformats.org/officeDocument/2006/relationships/oleObject" Target="embeddings/oleObject27.bin"/><Relationship Id="rId82" Type="http://schemas.openxmlformats.org/officeDocument/2006/relationships/oleObject" Target="embeddings/oleObject37.bin"/><Relationship Id="rId152" Type="http://schemas.openxmlformats.org/officeDocument/2006/relationships/image" Target="media/image68.emf"/><Relationship Id="rId19" Type="http://schemas.openxmlformats.org/officeDocument/2006/relationships/image" Target="media/image6.wmf"/><Relationship Id="rId14" Type="http://schemas.openxmlformats.org/officeDocument/2006/relationships/oleObject" Target="embeddings/oleObject3.bin"/><Relationship Id="rId30" Type="http://schemas.openxmlformats.org/officeDocument/2006/relationships/oleObject" Target="embeddings/oleObject11.bin"/><Relationship Id="rId35" Type="http://schemas.openxmlformats.org/officeDocument/2006/relationships/oleObject" Target="embeddings/oleObject14.bin"/><Relationship Id="rId56" Type="http://schemas.openxmlformats.org/officeDocument/2006/relationships/image" Target="media/image24.wmf"/><Relationship Id="rId77" Type="http://schemas.openxmlformats.org/officeDocument/2006/relationships/oleObject" Target="embeddings/oleObject34.bin"/><Relationship Id="rId100" Type="http://schemas.openxmlformats.org/officeDocument/2006/relationships/oleObject" Target="embeddings/oleObject47.bin"/><Relationship Id="rId105" Type="http://schemas.openxmlformats.org/officeDocument/2006/relationships/image" Target="media/image44.wmf"/><Relationship Id="rId126" Type="http://schemas.openxmlformats.org/officeDocument/2006/relationships/oleObject" Target="embeddings/oleObject60.bin"/><Relationship Id="rId147" Type="http://schemas.openxmlformats.org/officeDocument/2006/relationships/image" Target="media/image65.wmf"/><Relationship Id="rId8" Type="http://schemas.openxmlformats.org/officeDocument/2006/relationships/footer" Target="footer2.xml"/><Relationship Id="rId51" Type="http://schemas.openxmlformats.org/officeDocument/2006/relationships/oleObject" Target="embeddings/oleObject22.bin"/><Relationship Id="rId72" Type="http://schemas.openxmlformats.org/officeDocument/2006/relationships/oleObject" Target="embeddings/oleObject33.bin"/><Relationship Id="rId93" Type="http://schemas.openxmlformats.org/officeDocument/2006/relationships/image" Target="media/image38.wmf"/><Relationship Id="rId98" Type="http://schemas.openxmlformats.org/officeDocument/2006/relationships/oleObject" Target="embeddings/oleObject46.bin"/><Relationship Id="rId121" Type="http://schemas.openxmlformats.org/officeDocument/2006/relationships/image" Target="media/image52.wmf"/><Relationship Id="rId142" Type="http://schemas.openxmlformats.org/officeDocument/2006/relationships/image" Target="media/image62.wmf"/><Relationship Id="rId3" Type="http://schemas.openxmlformats.org/officeDocument/2006/relationships/settings" Target="settings.xml"/><Relationship Id="rId25" Type="http://schemas.openxmlformats.org/officeDocument/2006/relationships/image" Target="media/image9.wmf"/><Relationship Id="rId46" Type="http://schemas.openxmlformats.org/officeDocument/2006/relationships/image" Target="media/image19.wmf"/><Relationship Id="rId67" Type="http://schemas.openxmlformats.org/officeDocument/2006/relationships/image" Target="media/image29.wmf"/><Relationship Id="rId116" Type="http://schemas.openxmlformats.org/officeDocument/2006/relationships/oleObject" Target="embeddings/oleObject55.bin"/><Relationship Id="rId137" Type="http://schemas.openxmlformats.org/officeDocument/2006/relationships/image" Target="media/image60.wmf"/><Relationship Id="rId158" Type="http://schemas.openxmlformats.org/officeDocument/2006/relationships/fontTable" Target="fontTable.xml"/></Relationships>
</file>

<file path=word/_rels/footnotes.xml.rels><?xml version="1.0" encoding="UTF-8" standalone="yes"?>
<Relationships xmlns="http://schemas.openxmlformats.org/package/2006/relationships"><Relationship Id="rId3" Type="http://schemas.openxmlformats.org/officeDocument/2006/relationships/hyperlink" Target="mailto:lmcalevey@business.otago.ac.nz" TargetMode="External"/><Relationship Id="rId2" Type="http://schemas.openxmlformats.org/officeDocument/2006/relationships/hyperlink" Target="mailto:martin.hoesli@hec.unige.ch" TargetMode="External"/><Relationship Id="rId1" Type="http://schemas.openxmlformats.org/officeDocument/2006/relationships/hyperlink" Target="mailto:prof.p.fraser@abdn.ac.uk"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31</Pages>
  <Words>8623</Words>
  <Characters>49155</Characters>
  <Application>Microsoft Office Word</Application>
  <DocSecurity>4</DocSecurity>
  <Lines>409</Lines>
  <Paragraphs>115</Paragraphs>
  <ScaleCrop>false</ScaleCrop>
  <HeadingPairs>
    <vt:vector size="2" baseType="variant">
      <vt:variant>
        <vt:lpstr>Titre</vt:lpstr>
      </vt:variant>
      <vt:variant>
        <vt:i4>1</vt:i4>
      </vt:variant>
    </vt:vector>
  </HeadingPairs>
  <TitlesOfParts>
    <vt:vector size="1" baseType="lpstr">
      <vt:lpstr>1</vt:lpstr>
    </vt:vector>
  </TitlesOfParts>
  <Company>University of Aberdeen</Company>
  <LinksUpToDate>false</LinksUpToDate>
  <CharactersWithSpaces>57663</CharactersWithSpaces>
  <SharedDoc>false</SharedDoc>
  <HLinks>
    <vt:vector size="42" baseType="variant">
      <vt:variant>
        <vt:i4>5898307</vt:i4>
      </vt:variant>
      <vt:variant>
        <vt:i4>108</vt:i4>
      </vt:variant>
      <vt:variant>
        <vt:i4>0</vt:i4>
      </vt:variant>
      <vt:variant>
        <vt:i4>5</vt:i4>
      </vt:variant>
      <vt:variant>
        <vt:lpwstr>http://www.rbnz.govt.nz/speeches/2861623.pdf</vt:lpwstr>
      </vt:variant>
      <vt:variant>
        <vt:lpwstr/>
      </vt:variant>
      <vt:variant>
        <vt:i4>655428</vt:i4>
      </vt:variant>
      <vt:variant>
        <vt:i4>105</vt:i4>
      </vt:variant>
      <vt:variant>
        <vt:i4>0</vt:i4>
      </vt:variant>
      <vt:variant>
        <vt:i4>5</vt:i4>
      </vt:variant>
      <vt:variant>
        <vt:lpwstr>http://www.imf.org/external/pubs/ft/weo/2003/01/pdf/chapter2.pdf</vt:lpwstr>
      </vt:variant>
      <vt:variant>
        <vt:lpwstr/>
      </vt:variant>
      <vt:variant>
        <vt:i4>3276874</vt:i4>
      </vt:variant>
      <vt:variant>
        <vt:i4>102</vt:i4>
      </vt:variant>
      <vt:variant>
        <vt:i4>0</vt:i4>
      </vt:variant>
      <vt:variant>
        <vt:i4>5</vt:i4>
      </vt:variant>
      <vt:variant>
        <vt:lpwstr>http://www.pwc.com/uk/eng/ins-sol/publ/ukoutlook/pwc_July04.pdf</vt:lpwstr>
      </vt:variant>
      <vt:variant>
        <vt:lpwstr/>
      </vt:variant>
      <vt:variant>
        <vt:i4>2883683</vt:i4>
      </vt:variant>
      <vt:variant>
        <vt:i4>99</vt:i4>
      </vt:variant>
      <vt:variant>
        <vt:i4>0</vt:i4>
      </vt:variant>
      <vt:variant>
        <vt:i4>5</vt:i4>
      </vt:variant>
      <vt:variant>
        <vt:lpwstr>http://www.economics.ox.ac.uk/members/andrew.farlow/Part1UKHousing.pdf</vt:lpwstr>
      </vt:variant>
      <vt:variant>
        <vt:lpwstr/>
      </vt:variant>
      <vt:variant>
        <vt:i4>1835042</vt:i4>
      </vt:variant>
      <vt:variant>
        <vt:i4>6</vt:i4>
      </vt:variant>
      <vt:variant>
        <vt:i4>0</vt:i4>
      </vt:variant>
      <vt:variant>
        <vt:i4>5</vt:i4>
      </vt:variant>
      <vt:variant>
        <vt:lpwstr>mailto:lmcalevey@business.otago.ac.nz</vt:lpwstr>
      </vt:variant>
      <vt:variant>
        <vt:lpwstr/>
      </vt:variant>
      <vt:variant>
        <vt:i4>6160508</vt:i4>
      </vt:variant>
      <vt:variant>
        <vt:i4>3</vt:i4>
      </vt:variant>
      <vt:variant>
        <vt:i4>0</vt:i4>
      </vt:variant>
      <vt:variant>
        <vt:i4>5</vt:i4>
      </vt:variant>
      <vt:variant>
        <vt:lpwstr>mailto:martin.hoesli@hec.unige.ch</vt:lpwstr>
      </vt:variant>
      <vt:variant>
        <vt:lpwstr/>
      </vt:variant>
      <vt:variant>
        <vt:i4>3342415</vt:i4>
      </vt:variant>
      <vt:variant>
        <vt:i4>0</vt:i4>
      </vt:variant>
      <vt:variant>
        <vt:i4>0</vt:i4>
      </vt:variant>
      <vt:variant>
        <vt:i4>5</vt:i4>
      </vt:variant>
      <vt:variant>
        <vt:lpwstr>mailto:prof.p.fraser@abdn.ac.uk</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1</dc:title>
  <dc:subject/>
  <dc:creator>Business School</dc:creator>
  <cp:keywords/>
  <dc:description/>
  <cp:lastModifiedBy>adt209</cp:lastModifiedBy>
  <cp:revision>2</cp:revision>
  <cp:lastPrinted>2007-01-09T13:20:00Z</cp:lastPrinted>
  <dcterms:created xsi:type="dcterms:W3CDTF">2011-11-02T09:06:00Z</dcterms:created>
  <dcterms:modified xsi:type="dcterms:W3CDTF">2011-11-02T09:06:00Z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TWinEqns">
    <vt:bool>true</vt:bool>
  </property>
</Properties>
</file>