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1C1A" w:rsidRDefault="00CD4EC1" w:rsidP="00F6292E">
      <w:pPr>
        <w:spacing w:line="360" w:lineRule="auto"/>
        <w:jc w:val="center"/>
      </w:pPr>
      <w:r>
        <w:t xml:space="preserve">Parenting as Political Resistance: </w:t>
      </w:r>
      <w:r w:rsidR="00461231">
        <w:t xml:space="preserve">Disability and </w:t>
      </w:r>
      <w:r w:rsidR="00481FAC">
        <w:t>“Dealing W</w:t>
      </w:r>
      <w:r w:rsidR="00D84992">
        <w:t>ith</w:t>
      </w:r>
      <w:r w:rsidR="00481FAC">
        <w:t>”</w:t>
      </w:r>
      <w:r>
        <w:t xml:space="preserve"> Late-Modern Medicine</w:t>
      </w:r>
    </w:p>
    <w:p w:rsidR="00CD4EC1" w:rsidRDefault="00A80DE4" w:rsidP="00F6292E">
      <w:pPr>
        <w:spacing w:line="360" w:lineRule="auto"/>
        <w:jc w:val="center"/>
      </w:pPr>
      <w:r>
        <w:t>1</w:t>
      </w:r>
      <w:r w:rsidR="00461231">
        <w:t>4</w:t>
      </w:r>
      <w:r w:rsidR="00CD4EC1">
        <w:t>-</w:t>
      </w:r>
      <w:r>
        <w:t>April-15</w:t>
      </w:r>
    </w:p>
    <w:p w:rsidR="00AA49A1" w:rsidRDefault="00AA49A1" w:rsidP="00AA49A1">
      <w:pPr>
        <w:spacing w:line="360" w:lineRule="auto"/>
      </w:pPr>
      <w:r>
        <w:t>M</w:t>
      </w:r>
      <w:r>
        <w:t xml:space="preserve">ental disability exposes in an especially acute manner </w:t>
      </w:r>
      <w:r>
        <w:t>some important deficiencies in modern healthcare practices. This paper offers an account of the reasons why</w:t>
      </w:r>
      <w:r>
        <w:t xml:space="preserve"> the deviation of the disabled from the statistical norm creates such problems </w:t>
      </w:r>
      <w:r>
        <w:t>for</w:t>
      </w:r>
      <w:r>
        <w:t xml:space="preserve"> modern medical expertise.</w:t>
      </w:r>
      <w:r>
        <w:t xml:space="preserve"> Contemporary medical science exhibits</w:t>
      </w:r>
      <w:r>
        <w:t xml:space="preserve"> features of modern techniques and mindset</w:t>
      </w:r>
      <w:r>
        <w:t>s</w:t>
      </w:r>
      <w:r>
        <w:t xml:space="preserve"> which are characteristic of late-modernity and deeply shape </w:t>
      </w:r>
      <w:r>
        <w:t>a wide range of</w:t>
      </w:r>
      <w:r>
        <w:t xml:space="preserve"> human-creature interaction</w:t>
      </w:r>
      <w:r>
        <w:t>s</w:t>
      </w:r>
      <w:r>
        <w:t xml:space="preserve">. I </w:t>
      </w:r>
      <w:proofErr w:type="gramStart"/>
      <w:r>
        <w:t>By</w:t>
      </w:r>
      <w:proofErr w:type="gramEnd"/>
      <w:r>
        <w:t xml:space="preserve"> fleshing out</w:t>
      </w:r>
      <w:r>
        <w:t xml:space="preserve"> how this modern adherence to a suite of techniques shapes the configurations of medical knowledge </w:t>
      </w:r>
      <w:r>
        <w:t>a bet</w:t>
      </w:r>
      <w:bookmarkStart w:id="0" w:name="_GoBack"/>
      <w:bookmarkEnd w:id="0"/>
      <w:r>
        <w:t>ter understanding of the difficulties the mentally disabled face in modern healthcare settings will emerge</w:t>
      </w:r>
      <w:r>
        <w:t xml:space="preserve">. </w:t>
      </w:r>
      <w:r>
        <w:t>S</w:t>
      </w:r>
      <w:r>
        <w:t>ubstantiat</w:t>
      </w:r>
      <w:r>
        <w:t>ing</w:t>
      </w:r>
      <w:r>
        <w:t xml:space="preserve"> this analysis by way of a recent empirical study </w:t>
      </w:r>
      <w:r>
        <w:t>the paper will propose</w:t>
      </w:r>
      <w:r>
        <w:t xml:space="preserve"> some of the strategies for </w:t>
      </w:r>
      <w:r>
        <w:t xml:space="preserve">a </w:t>
      </w:r>
      <w:r>
        <w:t xml:space="preserve">caring resistance </w:t>
      </w:r>
      <w:r>
        <w:t xml:space="preserve">to these problems </w:t>
      </w:r>
      <w:r>
        <w:t>such an analysis might suggest to Christians today.</w:t>
      </w:r>
      <w:r>
        <w:t xml:space="preserve"> The analysis as a whole </w:t>
      </w:r>
      <w:r>
        <w:t>indicate</w:t>
      </w:r>
      <w:r>
        <w:t>s</w:t>
      </w:r>
      <w:r>
        <w:t xml:space="preserve"> why </w:t>
      </w:r>
      <w:r>
        <w:t>solidarity</w:t>
      </w:r>
      <w:r>
        <w:t xml:space="preserve"> with the disabled in </w:t>
      </w:r>
      <w:r>
        <w:t>the modern developed world</w:t>
      </w:r>
      <w:r>
        <w:t xml:space="preserve"> </w:t>
      </w:r>
      <w:r>
        <w:t>draws Christians</w:t>
      </w:r>
      <w:r>
        <w:t xml:space="preserve"> into </w:t>
      </w:r>
      <w:r>
        <w:t xml:space="preserve">various forms of </w:t>
      </w:r>
      <w:r>
        <w:t>political resistance to the powers of the age.</w:t>
      </w:r>
    </w:p>
    <w:p w:rsidR="00AA49A1" w:rsidRDefault="00AA49A1" w:rsidP="00F6292E">
      <w:pPr>
        <w:spacing w:line="360" w:lineRule="auto"/>
      </w:pPr>
    </w:p>
    <w:p w:rsidR="009A25A1" w:rsidRDefault="00883A2C" w:rsidP="00F6292E">
      <w:pPr>
        <w:spacing w:line="360" w:lineRule="auto"/>
      </w:pPr>
      <w:r>
        <w:t>(9,302</w:t>
      </w:r>
      <w:r w:rsidR="00385E7F">
        <w:t xml:space="preserve">, </w:t>
      </w:r>
      <w:r>
        <w:t>w notes,</w:t>
      </w:r>
      <w:r w:rsidR="00385E7F">
        <w:t xml:space="preserve"> </w:t>
      </w:r>
      <w:r>
        <w:t>11,070</w:t>
      </w:r>
      <w:r w:rsidR="00385E7F">
        <w:t>)</w:t>
      </w:r>
    </w:p>
    <w:p w:rsidR="009A25A1" w:rsidRDefault="009A25A1" w:rsidP="00F6292E">
      <w:pPr>
        <w:spacing w:line="360" w:lineRule="auto"/>
        <w:ind w:left="1440"/>
      </w:pPr>
      <w:r>
        <w:t>No one can be around parents of retarded children long, people who, to be sure, have often sought and dealt with one professional after another in the hopes of finding help for their child, without realizing that these are among the few people in our society who have learned to deal with the tyranny of the expert.</w:t>
      </w:r>
      <w:r>
        <w:rPr>
          <w:rStyle w:val="FootnoteReference"/>
        </w:rPr>
        <w:footnoteReference w:id="1"/>
      </w:r>
      <w:r>
        <w:t xml:space="preserve"> </w:t>
      </w:r>
    </w:p>
    <w:p w:rsidR="00D6098C" w:rsidRDefault="00461231" w:rsidP="00F6292E">
      <w:pPr>
        <w:spacing w:line="360" w:lineRule="auto"/>
      </w:pPr>
      <w:r>
        <w:t xml:space="preserve">Stanley </w:t>
      </w:r>
      <w:r w:rsidR="00D6098C">
        <w:t xml:space="preserve">Hauerwas has </w:t>
      </w:r>
      <w:r w:rsidR="00A80DE4">
        <w:t>occasionally hinted at what might be meant by</w:t>
      </w:r>
      <w:r w:rsidR="00D6098C">
        <w:t xml:space="preserve"> “deal</w:t>
      </w:r>
      <w:r w:rsidR="00A80DE4">
        <w:t>ing</w:t>
      </w:r>
      <w:r w:rsidR="00D6098C">
        <w:t xml:space="preserve"> with” </w:t>
      </w:r>
      <w:r w:rsidR="00A80DE4">
        <w:t>the</w:t>
      </w:r>
      <w:r w:rsidR="00D6098C">
        <w:t xml:space="preserve"> “tyranny of the expert”</w:t>
      </w:r>
      <w:r>
        <w:t>, hints</w:t>
      </w:r>
      <w:r w:rsidR="00A80DE4">
        <w:t xml:space="preserve"> which</w:t>
      </w:r>
      <w:r w:rsidR="00D6098C">
        <w:t xml:space="preserve"> he readily admits</w:t>
      </w:r>
      <w:r w:rsidR="00A80DE4">
        <w:t xml:space="preserve"> might</w:t>
      </w:r>
      <w:r w:rsidR="00D6098C">
        <w:t xml:space="preserve"> be further spelled out. </w:t>
      </w:r>
      <w:r>
        <w:t>My aim in this paper is to give a thicker description of the reasons behind Hauerwas’ observations, which</w:t>
      </w:r>
      <w:r w:rsidR="00D6098C">
        <w:t xml:space="preserve"> might be interpreted as referring to any number of </w:t>
      </w:r>
      <w:r>
        <w:t>situations faced by</w:t>
      </w:r>
      <w:r w:rsidR="00D6098C">
        <w:t xml:space="preserve"> parent</w:t>
      </w:r>
      <w:r>
        <w:t>s</w:t>
      </w:r>
      <w:r w:rsidR="00D6098C">
        <w:t xml:space="preserve"> of a disabled child, many of which a</w:t>
      </w:r>
      <w:r>
        <w:t xml:space="preserve">re worth extended exploration. </w:t>
      </w:r>
      <w:r w:rsidR="00D6098C">
        <w:t xml:space="preserve">This additional concretizing of his insight is important if the generalized critical impulse they suggest is to be honed and sharpened into </w:t>
      </w:r>
      <w:r w:rsidR="00A80DE4">
        <w:lastRenderedPageBreak/>
        <w:t>critical political engagements with</w:t>
      </w:r>
      <w:r w:rsidR="00D6098C">
        <w:t xml:space="preserve"> contemporary faiths as they are being lived out in arenas like medicine and politics.</w:t>
      </w:r>
    </w:p>
    <w:p w:rsidR="009A25A1" w:rsidRDefault="009A25A1" w:rsidP="00F6292E">
      <w:pPr>
        <w:spacing w:line="360" w:lineRule="auto"/>
      </w:pPr>
      <w:r>
        <w:t xml:space="preserve">This paper will </w:t>
      </w:r>
      <w:r w:rsidR="00461231">
        <w:t xml:space="preserve">focus on how mental disability exposes </w:t>
      </w:r>
      <w:r w:rsidR="00A80DE4">
        <w:t xml:space="preserve">in an especially acute manner </w:t>
      </w:r>
      <w:r w:rsidR="00461231">
        <w:t>the ways</w:t>
      </w:r>
      <w:r>
        <w:t xml:space="preserve"> medical expertise can become tyrannical, and how </w:t>
      </w:r>
      <w:r w:rsidR="00461231">
        <w:t>it might</w:t>
      </w:r>
      <w:r>
        <w:t xml:space="preserve"> be “dealt with” fr</w:t>
      </w:r>
      <w:r w:rsidR="00461231">
        <w:t>om a Christian perspective. A</w:t>
      </w:r>
      <w:r>
        <w:t xml:space="preserve">greeing with Hauerwas that this conflict of parents with medical expertise is </w:t>
      </w:r>
      <w:r w:rsidR="00461231">
        <w:t>a stable characteristic</w:t>
      </w:r>
      <w:r>
        <w:t xml:space="preserve"> of modern life, I will suggest a fuller account of why and how the deviation of the disabled from the statistical norm creates such problems in the modern world. </w:t>
      </w:r>
      <w:r w:rsidR="00407AA7">
        <w:t xml:space="preserve">I will open with a brief </w:t>
      </w:r>
      <w:r>
        <w:t xml:space="preserve">digression into </w:t>
      </w:r>
      <w:r w:rsidR="00407AA7">
        <w:t xml:space="preserve">the development of </w:t>
      </w:r>
      <w:r>
        <w:t>modern agricultural techniques</w:t>
      </w:r>
      <w:r w:rsidR="00407AA7">
        <w:t xml:space="preserve"> </w:t>
      </w:r>
      <w:r w:rsidR="00461231">
        <w:t>in order to display</w:t>
      </w:r>
      <w:r>
        <w:t xml:space="preserve"> some features of modern </w:t>
      </w:r>
      <w:r w:rsidR="00461231">
        <w:t>techniques and mindset</w:t>
      </w:r>
      <w:r>
        <w:t xml:space="preserve"> which </w:t>
      </w:r>
      <w:r w:rsidR="00407AA7">
        <w:t>are characteristic of late-modernity</w:t>
      </w:r>
      <w:r w:rsidR="00461231">
        <w:t xml:space="preserve"> and deeply shape many types of human-creature interaction</w:t>
      </w:r>
      <w:r w:rsidR="00407AA7">
        <w:t xml:space="preserve">. I will then move on to flesh out in several stages how </w:t>
      </w:r>
      <w:r w:rsidR="00461231">
        <w:t>this</w:t>
      </w:r>
      <w:r w:rsidR="00407AA7">
        <w:t xml:space="preserve"> modern adherence to a suite of techniques shapes the configurations of medical knowledge in a manner that </w:t>
      </w:r>
      <w:r w:rsidR="00461231">
        <w:t>sits uncomfortably with non-standard human lives. After pausing to substantiate this analysis by way of a recent</w:t>
      </w:r>
      <w:r w:rsidR="00407AA7">
        <w:t xml:space="preserve"> empirical study of the challenges mentally disabled people face in securing adequate healthcare, </w:t>
      </w:r>
      <w:r w:rsidR="00461231">
        <w:t>I</w:t>
      </w:r>
      <w:r w:rsidR="00407AA7">
        <w:t xml:space="preserve"> will end by discussing some of the strategies for caring resistance such an analysis might suggest to Christians today.</w:t>
      </w:r>
      <w:r w:rsidR="00461231">
        <w:t xml:space="preserve"> The analysis as a whole is intended to indicate why living with the disabled in our world is to be drawn into political resistance to the powers of the age.</w:t>
      </w:r>
    </w:p>
    <w:p w:rsidR="009A25A1" w:rsidRDefault="00407AA7" w:rsidP="00F6292E">
      <w:pPr>
        <w:spacing w:line="360" w:lineRule="auto"/>
      </w:pPr>
      <w:r>
        <w:rPr>
          <w:b/>
        </w:rPr>
        <w:t xml:space="preserve">I. </w:t>
      </w:r>
      <w:r w:rsidR="009A25A1" w:rsidRPr="00365BB5">
        <w:rPr>
          <w:b/>
        </w:rPr>
        <w:t>Specialization as problem: the case of agriculture</w:t>
      </w:r>
    </w:p>
    <w:p w:rsidR="009A25A1" w:rsidRDefault="00407AA7" w:rsidP="00F6292E">
      <w:pPr>
        <w:spacing w:line="360" w:lineRule="auto"/>
      </w:pPr>
      <w:r>
        <w:t xml:space="preserve">In the course of his writing career </w:t>
      </w:r>
      <w:r w:rsidR="009A25A1">
        <w:t xml:space="preserve">Wendell Berry </w:t>
      </w:r>
      <w:r>
        <w:t xml:space="preserve">has </w:t>
      </w:r>
      <w:r w:rsidR="00461231">
        <w:t>asked readers to</w:t>
      </w:r>
      <w:r w:rsidR="009A25A1">
        <w:t xml:space="preserve"> consider not only what we have gained, but what we have lost as a result of our heavy cultural investment in sp</w:t>
      </w:r>
      <w:r>
        <w:t xml:space="preserve">ecialization. </w:t>
      </w:r>
      <w:r w:rsidR="00461231">
        <w:t>Beginning from the presupposition that the aim of human action is to promote not only the health of communities but also of individuals, he</w:t>
      </w:r>
      <w:r>
        <w:t xml:space="preserve"> suggests that,</w:t>
      </w:r>
    </w:p>
    <w:p w:rsidR="009A25A1" w:rsidRDefault="009A25A1" w:rsidP="00F6292E">
      <w:pPr>
        <w:spacing w:line="360" w:lineRule="auto"/>
        <w:ind w:left="540"/>
      </w:pPr>
      <w:r>
        <w:t xml:space="preserve">Looked at from the standpoint of the social </w:t>
      </w:r>
      <w:r>
        <w:rPr>
          <w:i/>
        </w:rPr>
        <w:t>system</w:t>
      </w:r>
      <w:r>
        <w:t>, the aim of specialization may seem desirable enough. The aim is to see that the responsibilities of government, law, medicine, engineering, agriculture, education, etc., are given into the hands of the most skilled, best prepared people. The difficulties do not appear until we look at specialization from the opposite standpoint—that of individual persons. We then begin to see the grotesquery—</w:t>
      </w:r>
      <w:r>
        <w:lastRenderedPageBreak/>
        <w:t>indeed the impossibility—of an idea of community wholeness that divorces itself from any idea of personal wholeness.</w:t>
      </w:r>
      <w:r>
        <w:rPr>
          <w:rStyle w:val="FootnoteReference"/>
        </w:rPr>
        <w:footnoteReference w:id="2"/>
      </w:r>
    </w:p>
    <w:p w:rsidR="009A25A1" w:rsidRDefault="00461231" w:rsidP="00F6292E">
      <w:pPr>
        <w:spacing w:line="360" w:lineRule="auto"/>
      </w:pPr>
      <w:r>
        <w:t xml:space="preserve">The expert, in short, is the product of a political strategy in </w:t>
      </w:r>
      <w:r w:rsidR="00A80DE4">
        <w:t>those societies that have invested heavily in the training of</w:t>
      </w:r>
      <w:r>
        <w:t xml:space="preserve"> experts in the belief that their specialization will benefit everyone. Berry draws on the example of agriculture to raise questions about this presumption, and suggests a range of ways in which the translation of the “farmer” into the “agricultural production expert”</w:t>
      </w:r>
      <w:r w:rsidR="009A25A1">
        <w:t xml:space="preserve"> is incompatible with good farming. </w:t>
      </w:r>
      <w:r w:rsidR="00A80DE4">
        <w:t>T</w:t>
      </w:r>
      <w:r w:rsidR="009A25A1">
        <w:t xml:space="preserve">he contemporary American ideal of </w:t>
      </w:r>
      <w:r w:rsidR="00A80DE4">
        <w:t>successful farming has been incorporated into the frame of industrial manufacture as indicated by its moved to calculate success as the maximization of the</w:t>
      </w:r>
      <w:r w:rsidR="009A25A1">
        <w:t xml:space="preserve"> “product”</w:t>
      </w:r>
      <w:r w:rsidR="00A80DE4">
        <w:t xml:space="preserve"> produced per cost unit.</w:t>
      </w:r>
      <w:r w:rsidR="009A25A1">
        <w:t xml:space="preserve"> </w:t>
      </w:r>
    </w:p>
    <w:p w:rsidR="009A25A1" w:rsidRDefault="00407AA7" w:rsidP="00F6292E">
      <w:pPr>
        <w:spacing w:line="360" w:lineRule="auto"/>
      </w:pPr>
      <w:r>
        <w:t>Farming conceived as the domain of production experts is deficient for wide-ranging reasons, Berry contends</w:t>
      </w:r>
      <w:r w:rsidR="009A25A1">
        <w:t xml:space="preserve">, the most important of which he has already indicated: </w:t>
      </w:r>
      <w:r>
        <w:t>such a configuration of agriculture finds it difficult to respond to</w:t>
      </w:r>
      <w:r w:rsidR="009A25A1">
        <w:t xml:space="preserve"> variability and individuality. </w:t>
      </w:r>
      <w:r>
        <w:t>When conceived as</w:t>
      </w:r>
      <w:r w:rsidR="0000503F">
        <w:t xml:space="preserve"> a process of</w:t>
      </w:r>
      <w:r w:rsidR="009A25A1">
        <w:t xml:space="preserve"> “meat production”</w:t>
      </w:r>
      <w:r w:rsidR="0000503F">
        <w:t>, for instance, industrialized poultry farming must necessarily apply techniques which demand uniformity, standardizing</w:t>
      </w:r>
      <w:r w:rsidR="009A25A1">
        <w:t xml:space="preserve"> chicken growing time, emphasize temperamental placidity</w:t>
      </w:r>
      <w:r w:rsidR="0000503F">
        <w:t xml:space="preserve"> in the breed being used</w:t>
      </w:r>
      <w:r w:rsidR="009A25A1">
        <w:t xml:space="preserve">, </w:t>
      </w:r>
      <w:proofErr w:type="gramStart"/>
      <w:r w:rsidR="009A25A1">
        <w:t>maximize</w:t>
      </w:r>
      <w:proofErr w:type="gramEnd"/>
      <w:r w:rsidR="009A25A1">
        <w:t xml:space="preserve"> disease resistance for animals kept as c</w:t>
      </w:r>
      <w:r w:rsidR="00B471CA">
        <w:t>losely together as possible, and so on</w:t>
      </w:r>
      <w:r w:rsidR="009A25A1">
        <w:t xml:space="preserve">. It is clear from the </w:t>
      </w:r>
      <w:proofErr w:type="spellStart"/>
      <w:r w:rsidR="009A25A1">
        <w:t>productionist</w:t>
      </w:r>
      <w:proofErr w:type="spellEnd"/>
      <w:r w:rsidR="009A25A1">
        <w:t xml:space="preserve"> language in which the poultry “industry” is described, that all questions </w:t>
      </w:r>
      <w:r w:rsidR="0000503F">
        <w:t xml:space="preserve">about </w:t>
      </w:r>
      <w:r w:rsidR="009A25A1">
        <w:t xml:space="preserve">the welfare of individual animals will by definition be subordinated to the quest </w:t>
      </w:r>
      <w:r w:rsidR="00A80DE4">
        <w:t>to maximize efficiencies in feeding and breeding. In order to make chickens who can survive the battery cage system their bodies must be modified through breeding and genetic manipulation</w:t>
      </w:r>
      <w:r w:rsidR="00B471CA">
        <w:t xml:space="preserve">. Chickens </w:t>
      </w:r>
      <w:proofErr w:type="gramStart"/>
      <w:r w:rsidR="00B471CA">
        <w:t>who</w:t>
      </w:r>
      <w:proofErr w:type="gramEnd"/>
      <w:r w:rsidR="00B471CA">
        <w:t xml:space="preserve"> cannot thrive in such an environment die or are ki</w:t>
      </w:r>
      <w:r w:rsidR="00A80DE4">
        <w:t>lled. W</w:t>
      </w:r>
      <w:r w:rsidR="0000503F">
        <w:t xml:space="preserve">hen farming is reconfigured as the work of an expert whose goal is to facilitate </w:t>
      </w:r>
      <w:r w:rsidR="009A25A1" w:rsidRPr="00712E64">
        <w:t xml:space="preserve">individual </w:t>
      </w:r>
      <w:proofErr w:type="gramStart"/>
      <w:r w:rsidR="009A25A1" w:rsidRPr="00712E64">
        <w:t>companies</w:t>
      </w:r>
      <w:proofErr w:type="gramEnd"/>
      <w:r w:rsidR="009A25A1" w:rsidRPr="00712E64">
        <w:t xml:space="preserve"> </w:t>
      </w:r>
      <w:r w:rsidR="0000503F">
        <w:t xml:space="preserve">continual attempts </w:t>
      </w:r>
      <w:r w:rsidR="009A25A1" w:rsidRPr="00712E64">
        <w:t>to improve performance and efficiencies</w:t>
      </w:r>
      <w:r w:rsidR="00A80DE4">
        <w:t xml:space="preserve"> in “final product” production</w:t>
      </w:r>
      <w:r w:rsidR="00B471CA">
        <w:t>,</w:t>
      </w:r>
      <w:r w:rsidR="0000503F">
        <w:t xml:space="preserve"> it is the non-standard body which will inevitably bear the cost</w:t>
      </w:r>
      <w:r w:rsidR="009A25A1">
        <w:t>.</w:t>
      </w:r>
    </w:p>
    <w:p w:rsidR="009A25A1" w:rsidRDefault="009A25A1" w:rsidP="00F6292E">
      <w:pPr>
        <w:spacing w:line="360" w:lineRule="auto"/>
      </w:pPr>
      <w:r>
        <w:t>This is true right across the world of modern agriculture</w:t>
      </w:r>
      <w:r w:rsidR="0000503F">
        <w:t>, and is visibly illustrated in the changing landscapes of the industrialized west</w:t>
      </w:r>
      <w:r w:rsidR="00A80DE4">
        <w:t>, Berry continues</w:t>
      </w:r>
      <w:r>
        <w:t>. All arable land h</w:t>
      </w:r>
      <w:r w:rsidR="0000503F">
        <w:t>as been divided into two kinds:</w:t>
      </w:r>
    </w:p>
    <w:p w:rsidR="009A25A1" w:rsidRDefault="009A25A1" w:rsidP="00F6292E">
      <w:pPr>
        <w:spacing w:line="360" w:lineRule="auto"/>
        <w:ind w:left="540"/>
      </w:pPr>
      <w:r>
        <w:t xml:space="preserve">…that which permits the use of large equipment and that which does not. And it has divided farmers into two kinds—those who have sufficient “business sense” and </w:t>
      </w:r>
      <w:r>
        <w:lastRenderedPageBreak/>
        <w:t>managerial ability to handle the large acreages necessary to finance large machines and those who do not. Those lands that are too steep or stony or small-featured to be farmed with big equipment are increasingly not farmed at all, but are abandoned to weeds and bushes…That these lands can often be made highly productive with kindly use is simply of no interest…</w:t>
      </w:r>
      <w:r>
        <w:rPr>
          <w:rStyle w:val="FootnoteReference"/>
        </w:rPr>
        <w:footnoteReference w:id="3"/>
      </w:r>
    </w:p>
    <w:p w:rsidR="009A25A1" w:rsidRDefault="00B471CA" w:rsidP="00F6292E">
      <w:pPr>
        <w:spacing w:line="360" w:lineRule="auto"/>
      </w:pPr>
      <w:r>
        <w:t>L</w:t>
      </w:r>
      <w:r w:rsidR="009A25A1">
        <w:t xml:space="preserve">and that is machine farmable </w:t>
      </w:r>
      <w:r>
        <w:t>is then</w:t>
      </w:r>
      <w:r w:rsidR="009A25A1">
        <w:t xml:space="preserve"> treated as a mechanical system </w:t>
      </w:r>
      <w:r>
        <w:t>of input and outputs that can be reliably controlled. Only the presumption of such control justifies the planting of vast fields of single plant species</w:t>
      </w:r>
      <w:r w:rsidR="009A25A1">
        <w:t xml:space="preserve"> which are as uniform as possible so as to be machine harvestable and easily machine processed. </w:t>
      </w:r>
      <w:r>
        <w:t>Such m</w:t>
      </w:r>
      <w:r w:rsidR="009A25A1">
        <w:t>onoculture</w:t>
      </w:r>
      <w:r>
        <w:t xml:space="preserve"> farming</w:t>
      </w:r>
      <w:r w:rsidR="009A25A1">
        <w:t xml:space="preserve"> is more susceptible than mixed plots to catastrophic </w:t>
      </w:r>
      <w:r>
        <w:t>illnesses and predator depredation</w:t>
      </w:r>
      <w:r w:rsidR="009A25A1">
        <w:t>, and so it must be sprayed with insecticides to kill unwanted insects, and pesticides to kill unwanted plants. In order that the whole field yield the desired crop it must be chemically fertilized, which is much more uniform and predicable than natural fertilizers such as manure, while avoiding the unproductive down time of fallow years or crop rotation.</w:t>
      </w:r>
      <w:r w:rsidR="009A25A1">
        <w:rPr>
          <w:rStyle w:val="FootnoteReference"/>
        </w:rPr>
        <w:footnoteReference w:id="4"/>
      </w:r>
      <w:r w:rsidR="009A25A1">
        <w:t xml:space="preserve"> What is important </w:t>
      </w:r>
      <w:r>
        <w:t>for our purposes is to notice how</w:t>
      </w:r>
      <w:r w:rsidR="009A25A1">
        <w:t xml:space="preserve"> the ideal of the expert, when applied to agriculture, has an inherent drive toward normalization: high production is achieved by simultaneously increasing the proximity of all parts of the system to a predictable statistical average. The crops need to be of uniform size, shape and </w:t>
      </w:r>
      <w:r w:rsidR="0000503F">
        <w:t>color</w:t>
      </w:r>
      <w:r w:rsidR="009A25A1">
        <w:t xml:space="preserve">, the land of a </w:t>
      </w:r>
      <w:r w:rsidR="0000503F">
        <w:t>predictable</w:t>
      </w:r>
      <w:r w:rsidR="009A25A1">
        <w:t xml:space="preserve"> and uniform chemical composition, and all threats to the now-uniform </w:t>
      </w:r>
      <w:r w:rsidR="0000503F">
        <w:t xml:space="preserve">crops </w:t>
      </w:r>
      <w:r w:rsidR="009A25A1">
        <w:t xml:space="preserve">exterminated. </w:t>
      </w:r>
    </w:p>
    <w:p w:rsidR="009A25A1" w:rsidRDefault="0000503F" w:rsidP="00F6292E">
      <w:pPr>
        <w:spacing w:line="360" w:lineRule="auto"/>
      </w:pPr>
      <w:r>
        <w:t xml:space="preserve">In response </w:t>
      </w:r>
      <w:r w:rsidR="00B471CA">
        <w:t xml:space="preserve">to what he sees of this tyranny of the expert </w:t>
      </w:r>
      <w:r>
        <w:t>Berry champions</w:t>
      </w:r>
      <w:r w:rsidR="009A25A1">
        <w:t xml:space="preserve"> two interests devalued in the expert mentality: </w:t>
      </w:r>
      <w:r w:rsidR="00B471CA">
        <w:t>particularity</w:t>
      </w:r>
      <w:r w:rsidR="009A25A1">
        <w:t xml:space="preserve"> and diversity. The importance of particularity he finds especially easy to illustrate in relation to farming. Every piece of land is naturally variable, having some wet and dry spots, some smooth or rocky parts, some flat or hilly spots, and so on. “To treat every field, or every part of a field, with the same consideration is not farming but industry. Kindly use depends upon intimate knowledge, the most sensitive responsiveness and responsibility.”</w:t>
      </w:r>
      <w:r w:rsidR="009A25A1">
        <w:rPr>
          <w:rStyle w:val="FootnoteReference"/>
        </w:rPr>
        <w:footnoteReference w:id="5"/>
      </w:r>
      <w:r w:rsidR="009A25A1">
        <w:t xml:space="preserve"> “As knowledge (hence, use) is generalized, essential values are destroyed.</w:t>
      </w:r>
      <w:r w:rsidR="009A25A1" w:rsidRPr="007A4F52">
        <w:t xml:space="preserve"> </w:t>
      </w:r>
      <w:r w:rsidR="009A25A1">
        <w:t>”</w:t>
      </w:r>
      <w:r w:rsidR="009A25A1">
        <w:rPr>
          <w:rStyle w:val="FootnoteReference"/>
        </w:rPr>
        <w:footnoteReference w:id="6"/>
      </w:r>
      <w:r w:rsidR="009A25A1">
        <w:t xml:space="preserve"> While still being interested in the land producing food for people, Berry suggests that not only is it possible, but it is preferable to work with those variations of fields rather than</w:t>
      </w:r>
      <w:r>
        <w:t xml:space="preserve"> try to smooth </w:t>
      </w:r>
      <w:r>
        <w:lastRenderedPageBreak/>
        <w:t xml:space="preserve">them all out in order to make them </w:t>
      </w:r>
      <w:r w:rsidR="009A25A1">
        <w:t xml:space="preserve">amenable to machine farming. This will </w:t>
      </w:r>
      <w:r w:rsidR="00B471CA">
        <w:t>demand a larger and more varied stock of tools instead of a single suite of</w:t>
      </w:r>
      <w:r w:rsidR="009A25A1">
        <w:t xml:space="preserve"> large </w:t>
      </w:r>
      <w:r w:rsidR="00B471CA">
        <w:t>machinery</w:t>
      </w:r>
      <w:r w:rsidR="00A80DE4">
        <w:t>.  With this also arises the need for</w:t>
      </w:r>
      <w:r w:rsidR="00B471CA">
        <w:t xml:space="preserve"> more manpower </w:t>
      </w:r>
      <w:r w:rsidR="00A80DE4">
        <w:t>as well as</w:t>
      </w:r>
      <w:r w:rsidR="00B471CA">
        <w:t xml:space="preserve"> intimate</w:t>
      </w:r>
      <w:r w:rsidR="009A25A1">
        <w:t xml:space="preserve"> knowledge of the plants and animals which might be able to flourish </w:t>
      </w:r>
      <w:r w:rsidR="00B471CA">
        <w:t xml:space="preserve">and enrich the fertility of </w:t>
      </w:r>
      <w:r w:rsidR="009A25A1">
        <w:t xml:space="preserve">these particular places over the long term. This is </w:t>
      </w:r>
      <w:r w:rsidR="00B471CA">
        <w:t xml:space="preserve">a different picture not only of agricultural technology, but </w:t>
      </w:r>
      <w:r w:rsidR="00A80DE4">
        <w:t>also</w:t>
      </w:r>
      <w:r w:rsidR="00B471CA">
        <w:t xml:space="preserve"> a fundamentally different account of the aims of human</w:t>
      </w:r>
      <w:r w:rsidR="009A25A1">
        <w:t xml:space="preserve"> remaking</w:t>
      </w:r>
      <w:r w:rsidR="00B471CA">
        <w:t xml:space="preserve"> of the earth. </w:t>
      </w:r>
      <w:r w:rsidR="00A80DE4">
        <w:t>While n</w:t>
      </w:r>
      <w:r w:rsidR="009A25A1">
        <w:t xml:space="preserve">ot </w:t>
      </w:r>
      <w:proofErr w:type="gramStart"/>
      <w:r w:rsidR="009A25A1">
        <w:t>adverse</w:t>
      </w:r>
      <w:proofErr w:type="gramEnd"/>
      <w:r w:rsidR="009A25A1">
        <w:t xml:space="preserve"> to “improving” the land, </w:t>
      </w:r>
      <w:r w:rsidR="00A80DE4">
        <w:t>Berry does ask t</w:t>
      </w:r>
      <w:r w:rsidR="00B471CA">
        <w:t xml:space="preserve">hat this human activity be measured by a different standard than the expert’s narrow focus on efficient production. Good farming is </w:t>
      </w:r>
      <w:r w:rsidR="009A25A1">
        <w:t xml:space="preserve">measured by its sustainability and its ability to take account of all the </w:t>
      </w:r>
      <w:r>
        <w:t>particularities</w:t>
      </w:r>
      <w:r w:rsidR="009A25A1">
        <w:t xml:space="preserve"> of place. </w:t>
      </w:r>
      <w:r w:rsidR="00A80DE4">
        <w:t>Such a</w:t>
      </w:r>
      <w:r w:rsidR="00B471CA">
        <w:t xml:space="preserve"> measure </w:t>
      </w:r>
      <w:r w:rsidR="00A80DE4">
        <w:t xml:space="preserve">is incompatible with the planting of vast </w:t>
      </w:r>
      <w:proofErr w:type="spellStart"/>
      <w:r w:rsidR="00A80DE4">
        <w:t>monocultured</w:t>
      </w:r>
      <w:proofErr w:type="spellEnd"/>
      <w:r w:rsidR="00A80DE4">
        <w:t xml:space="preserve"> fields</w:t>
      </w:r>
      <w:r w:rsidR="009A25A1">
        <w:t xml:space="preserve"> with no animals in sight, nor warehoused concentrations of animals </w:t>
      </w:r>
      <w:proofErr w:type="gramStart"/>
      <w:r w:rsidR="009A25A1">
        <w:t>who</w:t>
      </w:r>
      <w:proofErr w:type="gramEnd"/>
      <w:r w:rsidR="009A25A1">
        <w:t xml:space="preserve"> are fed by trucked in feed and trucked out waste. </w:t>
      </w:r>
      <w:r w:rsidR="00B471CA">
        <w:t>It will instead foster ecosystems in which</w:t>
      </w:r>
      <w:r w:rsidR="009A25A1">
        <w:t xml:space="preserve"> the particularities of place, plant and animal have been carefully considered and the margins, </w:t>
      </w:r>
      <w:r w:rsidR="00B471CA">
        <w:t>like</w:t>
      </w:r>
      <w:r w:rsidR="009A25A1">
        <w:t xml:space="preserve"> the “heartland”</w:t>
      </w:r>
      <w:r w:rsidR="00B471CA">
        <w:t>, have been thoughtfully</w:t>
      </w:r>
      <w:r w:rsidR="009A25A1">
        <w:t xml:space="preserve"> cared for and therefore well managed.</w:t>
      </w:r>
      <w:r w:rsidR="009A25A1">
        <w:rPr>
          <w:rStyle w:val="FootnoteReference"/>
        </w:rPr>
        <w:footnoteReference w:id="7"/>
      </w:r>
      <w:r w:rsidR="009A25A1">
        <w:t xml:space="preserve"> </w:t>
      </w:r>
    </w:p>
    <w:p w:rsidR="009A25A1" w:rsidRDefault="00B471CA" w:rsidP="00F6292E">
      <w:pPr>
        <w:spacing w:line="360" w:lineRule="auto"/>
      </w:pPr>
      <w:r>
        <w:t>This care for particularity is inseparable from valuing</w:t>
      </w:r>
      <w:r w:rsidR="0000503F">
        <w:t xml:space="preserve"> diversity</w:t>
      </w:r>
      <w:r>
        <w:t>, Berry continues</w:t>
      </w:r>
      <w:r w:rsidR="0000503F">
        <w:t>.</w:t>
      </w:r>
    </w:p>
    <w:p w:rsidR="009A25A1" w:rsidRDefault="009A25A1" w:rsidP="00F6292E">
      <w:pPr>
        <w:spacing w:line="360" w:lineRule="auto"/>
        <w:ind w:left="540"/>
      </w:pPr>
      <w:r>
        <w:t>Woodlands, orchards, and shade trees are part of the diversity of life that is another of the prime characteristics of a healthy farm. And this principle will extend to cropland and pasture. The aim of a healthy farm will be to produce as many kinds of plants and animals as it sensibly can, this will be an ordered diversity, the various species moving in rotation over the fields. The land will be fenced for livestock, and its aspect will change from field to field.</w:t>
      </w:r>
      <w:r>
        <w:rPr>
          <w:rStyle w:val="FootnoteReference"/>
        </w:rPr>
        <w:footnoteReference w:id="8"/>
      </w:r>
    </w:p>
    <w:p w:rsidR="009A25A1" w:rsidRDefault="009A25A1" w:rsidP="00F6292E">
      <w:pPr>
        <w:spacing w:line="360" w:lineRule="auto"/>
      </w:pPr>
      <w:r>
        <w:t>This principle of diversity is an ancient princ</w:t>
      </w:r>
      <w:r w:rsidR="00A80DE4">
        <w:t>iple of farming</w:t>
      </w:r>
      <w:r>
        <w:t xml:space="preserve">. Sophisticated </w:t>
      </w:r>
      <w:proofErr w:type="spellStart"/>
      <w:r>
        <w:t>premodern</w:t>
      </w:r>
      <w:proofErr w:type="spellEnd"/>
      <w:r>
        <w:t xml:space="preserve"> farmers learned that the productivity of the land increases when crops are intermixed with one another, different varieties cultivated in different regions and ecological niches so that, should there be a bad year or an extremity of weather or infestation or disease the farmer can find another plant which has survived and use it to begin cultivation anew.</w:t>
      </w:r>
      <w:r>
        <w:rPr>
          <w:rStyle w:val="FootnoteReference"/>
        </w:rPr>
        <w:footnoteReference w:id="9"/>
      </w:r>
      <w:r>
        <w:t xml:space="preserve"> </w:t>
      </w:r>
    </w:p>
    <w:p w:rsidR="009A25A1" w:rsidRDefault="009E0A7D" w:rsidP="00F6292E">
      <w:pPr>
        <w:spacing w:line="360" w:lineRule="auto"/>
      </w:pPr>
      <w:r>
        <w:t xml:space="preserve">Berry is explaining how it is that in an agriculture </w:t>
      </w:r>
      <w:r w:rsidR="00A80DE4">
        <w:t>in which the diversity of creatures is taken not as a problem but as valuable, an</w:t>
      </w:r>
      <w:r>
        <w:t xml:space="preserve"> </w:t>
      </w:r>
      <w:r w:rsidR="009A25A1" w:rsidRPr="009E0A7D">
        <w:t>interest</w:t>
      </w:r>
      <w:r w:rsidR="009A25A1">
        <w:t xml:space="preserve"> in particularity and diversity go hand in hand, and </w:t>
      </w:r>
      <w:r>
        <w:t xml:space="preserve">why </w:t>
      </w:r>
      <w:r w:rsidR="009A25A1">
        <w:lastRenderedPageBreak/>
        <w:t xml:space="preserve">modern conceptions of expertise value neither. As a result, concludes </w:t>
      </w:r>
      <w:smartTag w:uri="urn:schemas-microsoft-com:office:smarttags" w:element="State">
        <w:smartTag w:uri="urn:schemas-microsoft-com:office:smarttags" w:element="place">
          <w:r w:rsidR="009A25A1">
            <w:t>Berry</w:t>
          </w:r>
        </w:smartTag>
      </w:smartTag>
      <w:r w:rsidR="009A25A1">
        <w:t>, “That one American farmer can now feed himself and fifty-six other people may be, within the narrow view of the specialist, a triumph of technology; by no stretch of reason can it be considered a triumph of agriculture or of culture.”</w:t>
      </w:r>
      <w:r w:rsidR="009A25A1">
        <w:rPr>
          <w:rStyle w:val="FootnoteReference"/>
        </w:rPr>
        <w:footnoteReference w:id="10"/>
      </w:r>
      <w:r w:rsidR="009A25A1">
        <w:t xml:space="preserve"> </w:t>
      </w:r>
      <w:proofErr w:type="spellStart"/>
      <w:r w:rsidR="009A25A1">
        <w:t>Agripower</w:t>
      </w:r>
      <w:proofErr w:type="spellEnd"/>
      <w:r w:rsidR="009A25A1">
        <w:t xml:space="preserve"> measures its success in terms of ability to produce a marketable surplus, whereas husbandry is concerned with sustainability, and the health and fertility of the soil and the communities that farm and live off of it.</w:t>
      </w:r>
      <w:r w:rsidR="009A25A1">
        <w:rPr>
          <w:rStyle w:val="FootnoteReference"/>
        </w:rPr>
        <w:footnoteReference w:id="11"/>
      </w:r>
      <w:r w:rsidR="009A25A1">
        <w:t xml:space="preserve"> </w:t>
      </w:r>
      <w:r>
        <w:t>The expert’s role in securing the efficiency and health of modern agriculture draws on</w:t>
      </w:r>
      <w:r w:rsidR="009A25A1">
        <w:t xml:space="preserve"> modern conceptions of efficiency and health that find it difficult if not impossible to find a place for and value the diversity of particularity and life at the margins.</w:t>
      </w:r>
      <w:r w:rsidR="0000503F">
        <w:t xml:space="preserve"> </w:t>
      </w:r>
      <w:r>
        <w:t>Similar processes are at work in most arenas of contemporary developed societies, including medicine.</w:t>
      </w:r>
    </w:p>
    <w:p w:rsidR="009A25A1" w:rsidRPr="0000503F" w:rsidRDefault="0000503F" w:rsidP="00F6292E">
      <w:pPr>
        <w:spacing w:line="360" w:lineRule="auto"/>
        <w:rPr>
          <w:b/>
        </w:rPr>
      </w:pPr>
      <w:r>
        <w:rPr>
          <w:b/>
        </w:rPr>
        <w:t xml:space="preserve">II. </w:t>
      </w:r>
      <w:r w:rsidR="009A25A1" w:rsidRPr="00C7358F">
        <w:rPr>
          <w:b/>
        </w:rPr>
        <w:t>M</w:t>
      </w:r>
      <w:r>
        <w:rPr>
          <w:b/>
        </w:rPr>
        <w:t>edicine and the Law of Averages</w:t>
      </w:r>
    </w:p>
    <w:p w:rsidR="009A25A1" w:rsidRDefault="009A25A1" w:rsidP="00F6292E">
      <w:pPr>
        <w:spacing w:line="360" w:lineRule="auto"/>
      </w:pPr>
      <w:r>
        <w:t xml:space="preserve">If Berry’s account is persuasive, it is because it </w:t>
      </w:r>
      <w:r w:rsidR="0000503F">
        <w:t xml:space="preserve">plausibly describes and </w:t>
      </w:r>
      <w:r w:rsidR="009E0A7D">
        <w:t>puts meaningful</w:t>
      </w:r>
      <w:r w:rsidR="0000503F">
        <w:t xml:space="preserve"> </w:t>
      </w:r>
      <w:r w:rsidR="00913A56">
        <w:t xml:space="preserve">critical </w:t>
      </w:r>
      <w:r w:rsidR="0000503F">
        <w:t>questions</w:t>
      </w:r>
      <w:r>
        <w:t xml:space="preserve"> </w:t>
      </w:r>
      <w:r w:rsidR="009E0A7D">
        <w:t xml:space="preserve">to </w:t>
      </w:r>
      <w:r>
        <w:t xml:space="preserve">modern cultural </w:t>
      </w:r>
      <w:r w:rsidR="00913A56">
        <w:t xml:space="preserve">and technological </w:t>
      </w:r>
      <w:r w:rsidR="009E0A7D">
        <w:t>trends</w:t>
      </w:r>
      <w:r>
        <w:t xml:space="preserve">. </w:t>
      </w:r>
      <w:r w:rsidR="00913A56">
        <w:t>We</w:t>
      </w:r>
      <w:r w:rsidR="009E0A7D">
        <w:t xml:space="preserve"> moderns</w:t>
      </w:r>
      <w:r w:rsidR="00913A56">
        <w:t xml:space="preserve"> in the developed world</w:t>
      </w:r>
      <w:r w:rsidR="009E0A7D">
        <w:t xml:space="preserve"> have applied similar forms of rationalization and technical expertise to increase production in almost every sphere of work, and in so doing have</w:t>
      </w:r>
      <w:r>
        <w:t xml:space="preserve"> invested in</w:t>
      </w:r>
      <w:r w:rsidR="009E0A7D">
        <w:t xml:space="preserve"> developing</w:t>
      </w:r>
      <w:r>
        <w:t xml:space="preserve"> technical expertise and </w:t>
      </w:r>
      <w:r w:rsidR="009E0A7D">
        <w:t>the</w:t>
      </w:r>
      <w:r>
        <w:t xml:space="preserve"> values of productivity and uniformity</w:t>
      </w:r>
      <w:r w:rsidR="009E0A7D">
        <w:t xml:space="preserve"> that it assumes</w:t>
      </w:r>
      <w:r>
        <w:t xml:space="preserve">. These values go hand in hand with a higher profile role for general forms of knowledge, abilities to gauge statistical probabilities, laws of averages, outliers and uniformities. But, </w:t>
      </w:r>
      <w:smartTag w:uri="urn:schemas-microsoft-com:office:smarttags" w:element="State">
        <w:smartTag w:uri="urn:schemas-microsoft-com:office:smarttags" w:element="place">
          <w:r>
            <w:t>Berry</w:t>
          </w:r>
        </w:smartTag>
      </w:smartTag>
      <w:r>
        <w:t xml:space="preserve"> warns, “As knowledge (hence, use) is generalized, essential values are destroyed,”</w:t>
      </w:r>
      <w:r>
        <w:rPr>
          <w:rStyle w:val="FootnoteReference"/>
        </w:rPr>
        <w:footnoteReference w:id="12"/>
      </w:r>
      <w:r>
        <w:t xml:space="preserve"> specifically, the values of particularity and diversity.</w:t>
      </w:r>
    </w:p>
    <w:p w:rsidR="009A25A1" w:rsidRDefault="00C6662D" w:rsidP="00F6292E">
      <w:pPr>
        <w:spacing w:line="360" w:lineRule="auto"/>
        <w:rPr>
          <w:b/>
        </w:rPr>
      </w:pPr>
      <w:r>
        <w:t xml:space="preserve">In the early 1960’s </w:t>
      </w:r>
      <w:r w:rsidR="0000503F">
        <w:t xml:space="preserve">Michel Foucault </w:t>
      </w:r>
      <w:r>
        <w:t xml:space="preserve">had already begun to discern </w:t>
      </w:r>
      <w:r w:rsidR="009E0A7D">
        <w:t>the same tendencies to be</w:t>
      </w:r>
      <w:r>
        <w:t xml:space="preserve"> guiding the development of what we </w:t>
      </w:r>
      <w:r w:rsidR="009E0A7D">
        <w:t xml:space="preserve">now </w:t>
      </w:r>
      <w:r>
        <w:t xml:space="preserve">know as modern medicine. The hospital as an institution is integrally related to the rise of these techniques of expertise which called forth new forms or medical rationality, and with them new structures of perceiving the patient. He points out, for instance, that modern medicine was born as medical men replaced an older understanding of medicine as studying health with a new interest in normal functioning and </w:t>
      </w:r>
      <w:r>
        <w:lastRenderedPageBreak/>
        <w:t>deviation from it.</w:t>
      </w:r>
      <w:r>
        <w:rPr>
          <w:rStyle w:val="FootnoteReference"/>
        </w:rPr>
        <w:footnoteReference w:id="13"/>
      </w:r>
      <w:r>
        <w:t xml:space="preserve"> This interest in normal functioning was teamed with new modes of information gathering, information which was no longer primarily centered on the taking of a patient history, but on the constructing a chart measuring changes over time, a “map” of deviations </w:t>
      </w:r>
      <w:r w:rsidR="005B47F3">
        <w:t xml:space="preserve">in temperature, fluid intake and output, weight, heart rate, and so on, </w:t>
      </w:r>
      <w:r>
        <w:t>which could be studied for the first time</w:t>
      </w:r>
      <w:r w:rsidR="005B47F3">
        <w:t xml:space="preserve"> with these new techniques</w:t>
      </w:r>
      <w:r>
        <w:t>.</w:t>
      </w:r>
      <w:r>
        <w:rPr>
          <w:rStyle w:val="FootnoteReference"/>
        </w:rPr>
        <w:footnoteReference w:id="14"/>
      </w:r>
      <w:r w:rsidR="005B47F3">
        <w:t xml:space="preserve"> </w:t>
      </w:r>
      <w:r w:rsidR="009E0A7D">
        <w:t>These trends meant that medical knowledge shifted onto a new ground for perceiving the body:</w:t>
      </w:r>
      <w:r w:rsidR="005B47F3">
        <w:t xml:space="preserve"> “the visibility of the medical field assumes a statistical structure</w:t>
      </w:r>
      <w:r w:rsidR="009E0A7D">
        <w:t>.</w:t>
      </w:r>
      <w:r w:rsidR="005B47F3">
        <w:t>”</w:t>
      </w:r>
      <w:r w:rsidR="005B47F3">
        <w:rPr>
          <w:rStyle w:val="FootnoteReference"/>
        </w:rPr>
        <w:footnoteReference w:id="15"/>
      </w:r>
      <w:r w:rsidR="005B47F3">
        <w:t xml:space="preserve"> </w:t>
      </w:r>
      <w:r w:rsidR="009E0A7D">
        <w:t>A</w:t>
      </w:r>
      <w:r w:rsidR="005B47F3">
        <w:t xml:space="preserve">verage values </w:t>
      </w:r>
      <w:r w:rsidR="009E0A7D">
        <w:t xml:space="preserve">are thus established as the central conceptual framework </w:t>
      </w:r>
      <w:r w:rsidR="005B47F3">
        <w:t xml:space="preserve">directing the medical gaze. </w:t>
      </w:r>
    </w:p>
    <w:p w:rsidR="00573A37" w:rsidRDefault="009A25A1" w:rsidP="00F6292E">
      <w:pPr>
        <w:spacing w:line="360" w:lineRule="auto"/>
      </w:pPr>
      <w:r>
        <w:t>The</w:t>
      </w:r>
      <w:r w:rsidR="00573A37">
        <w:t xml:space="preserve">se observations begin to </w:t>
      </w:r>
      <w:r w:rsidR="009E0A7D">
        <w:t>suggest</w:t>
      </w:r>
      <w:r w:rsidR="00573A37">
        <w:t xml:space="preserve"> why the</w:t>
      </w:r>
      <w:r>
        <w:t xml:space="preserve"> modern hospital and the “health care industry” </w:t>
      </w:r>
      <w:r w:rsidR="00573A37">
        <w:t>with which it is inevitably intertwined</w:t>
      </w:r>
      <w:r w:rsidR="009E0A7D">
        <w:t xml:space="preserve"> rely so heavily on the</w:t>
      </w:r>
      <w:r>
        <w:t xml:space="preserve"> law of averages. “Normal” disease </w:t>
      </w:r>
      <w:r w:rsidR="002F2978">
        <w:t>etiologies</w:t>
      </w:r>
      <w:r>
        <w:t xml:space="preserve"> must be established by research which indicates what is most statistically likely to occur in a given case. Drugs and treatments are aimed at this “normal” in order that medical resources reach the most people most effectively. </w:t>
      </w:r>
    </w:p>
    <w:p w:rsidR="009E0A7D" w:rsidRPr="009E0A7D" w:rsidRDefault="009E0A7D" w:rsidP="00F6292E">
      <w:pPr>
        <w:spacing w:line="360" w:lineRule="auto"/>
      </w:pPr>
      <w:r w:rsidRPr="009E0A7D">
        <w:t xml:space="preserve">In his decades-long studies of modern medicine, the Austrian and sometimes </w:t>
      </w:r>
      <w:r w:rsidR="00913A56">
        <w:t>Roman C</w:t>
      </w:r>
      <w:r w:rsidRPr="009E0A7D">
        <w:t>atholic priest Ivan Illich developed a penetrating history of western medicine that helps us get a better historical and theoretical grasp on why this approach to medicine has become the default of our age and therefore where a response to it might fruitfully begin.</w:t>
      </w:r>
      <w:r w:rsidRPr="009E0A7D">
        <w:rPr>
          <w:vertAlign w:val="superscript"/>
        </w:rPr>
        <w:footnoteReference w:id="16"/>
      </w:r>
      <w:r w:rsidRPr="009E0A7D">
        <w:t xml:space="preserve"> Hippocratic medicine, that is, medicine before the 18</w:t>
      </w:r>
      <w:r w:rsidRPr="009E0A7D">
        <w:rPr>
          <w:vertAlign w:val="superscript"/>
        </w:rPr>
        <w:t>th</w:t>
      </w:r>
      <w:r w:rsidRPr="009E0A7D">
        <w:t xml:space="preserve"> century in the west, understood the task of medical diagnosis to be a matter of listening to nature. The patient’s narration of their experience of their own bodies was understood to track the story of a natural body trying to heal </w:t>
      </w:r>
      <w:proofErr w:type="gramStart"/>
      <w:r w:rsidRPr="009E0A7D">
        <w:t>itself</w:t>
      </w:r>
      <w:proofErr w:type="gramEnd"/>
      <w:r w:rsidRPr="009E0A7D">
        <w:t xml:space="preserve">, but which was being blocked in some way. The physician was listening for a clue about how to help a patient out of some mess, to open some blockage, to aid in the rebalancing of internal forces or humors. Only in the </w:t>
      </w:r>
      <w:r w:rsidRPr="009E0A7D">
        <w:lastRenderedPageBreak/>
        <w:t>late 18</w:t>
      </w:r>
      <w:r w:rsidRPr="009E0A7D">
        <w:rPr>
          <w:vertAlign w:val="superscript"/>
        </w:rPr>
        <w:t>th</w:t>
      </w:r>
      <w:r w:rsidRPr="009E0A7D">
        <w:t xml:space="preserve"> century did medicine become reconceived as a practice of using tools to listen more closely to aspects of the body (such as the heartbeat, though counting heartbeats arises only in the 19</w:t>
      </w:r>
      <w:r w:rsidRPr="009E0A7D">
        <w:rPr>
          <w:vertAlign w:val="superscript"/>
        </w:rPr>
        <w:t>th</w:t>
      </w:r>
      <w:r w:rsidRPr="009E0A7D">
        <w:t xml:space="preserve"> century) and of using tools to intervene in the functioning of some organ understood to be malfunctioning (such as surgery or forceps). Thus the picture of the body and of the doctor patient relationship radically changes. Before the 18</w:t>
      </w:r>
      <w:r w:rsidRPr="009E0A7D">
        <w:rPr>
          <w:vertAlign w:val="superscript"/>
        </w:rPr>
        <w:t>th</w:t>
      </w:r>
      <w:r w:rsidRPr="009E0A7D">
        <w:t xml:space="preserve"> century,</w:t>
      </w:r>
    </w:p>
    <w:p w:rsidR="009E0A7D" w:rsidRPr="009E0A7D" w:rsidRDefault="009E0A7D" w:rsidP="00F6292E">
      <w:pPr>
        <w:spacing w:line="360" w:lineRule="auto"/>
        <w:ind w:left="720"/>
      </w:pPr>
      <w:r w:rsidRPr="009E0A7D">
        <w:t>The idea of health didn’t exist, but only of nature being more or less capable of constantly healing itself; and what he did as a doctor was, through counsel, through sympathy, through the power of the word, the healing word, and perhaps through ground corals or mercury pills, which were highly poisonous, as we would say today, to encourage nature, to reinforce nature to perform its own healing act. Today we can hardly think that way about the function of the doctor. We always think that he uses some tools of his profession, to do something to the system, or the subsystem in the patient, which he knows about, and not the patient.</w:t>
      </w:r>
      <w:r w:rsidRPr="009E0A7D">
        <w:rPr>
          <w:vertAlign w:val="superscript"/>
        </w:rPr>
        <w:footnoteReference w:id="17"/>
      </w:r>
    </w:p>
    <w:p w:rsidR="009E0A7D" w:rsidRPr="009E0A7D" w:rsidRDefault="009E0A7D" w:rsidP="00F6292E">
      <w:pPr>
        <w:spacing w:line="360" w:lineRule="auto"/>
      </w:pPr>
      <w:r w:rsidRPr="009E0A7D">
        <w:t xml:space="preserve">In </w:t>
      </w:r>
      <w:proofErr w:type="spellStart"/>
      <w:r w:rsidRPr="009E0A7D">
        <w:t>Illich’s</w:t>
      </w:r>
      <w:proofErr w:type="spellEnd"/>
      <w:r w:rsidRPr="009E0A7D">
        <w:t xml:space="preserve"> history of medicine, listening to the patient’s account of the body’s changes is displaced by using tools to listen to body parts or systems, and developing tools to intervene in these systems. The doctor is both the expert in developing and deploying diagnostic tools (and here we must understand the development of these tools into the whole sophisticated battery of mechanical and chemical means of testing the body) and the expert in intervention via tools into the functioning of bodily parts or systems (whether chemically, through drugs, or surgically).</w:t>
      </w:r>
      <w:r w:rsidRPr="009E0A7D">
        <w:rPr>
          <w:vertAlign w:val="superscript"/>
        </w:rPr>
        <w:footnoteReference w:id="18"/>
      </w:r>
      <w:r w:rsidRPr="009E0A7D">
        <w:t xml:space="preserve"> </w:t>
      </w:r>
    </w:p>
    <w:p w:rsidR="009E0A7D" w:rsidRDefault="009E0A7D" w:rsidP="00F6292E">
      <w:pPr>
        <w:spacing w:line="360" w:lineRule="auto"/>
      </w:pPr>
      <w:r w:rsidRPr="009E0A7D">
        <w:lastRenderedPageBreak/>
        <w:t>This tool-using model of medicine is now in the midst of a third turn. “We now consider the human body as a system,” Illich continues, “that is, as an extraordinarily complex arrangement of feedback loops. And the fundamental characteristic of that system is to seek its own survival by maintaining an informational balance which keeps it viable.”</w:t>
      </w:r>
      <w:r w:rsidRPr="009E0A7D">
        <w:rPr>
          <w:vertAlign w:val="superscript"/>
        </w:rPr>
        <w:footnoteReference w:id="19"/>
      </w:r>
      <w:r w:rsidRPr="009E0A7D">
        <w:t xml:space="preserve"> But feedback loops and information flows are by definition invisible to both the patient and the doctor, and must therefore be rendered visible by machines that can visualize changes in biological functions over time. That is, a healthy body is knowable best through the tools of testing and the conceptuality of probability which is by definition not susceptible to meaningful narration by the patient. We can only now understand why in contemporary medicine the patent’s account of their own experience can be useful only for exposing symptoms that can then be tested for patterns that lie beyond the perception of the patient and their own body, patterns of the firing of the muscles of the heart, for instance, or of slow fluctuations in chemical balances or temperature. Illich suggests that the Hippocratic doctor “behaves like a good theatre audience at a tragedy—through the complaint of the patient, he receives, gathers, and grasps the touching singularity of the sensual self-perception of the person sitting in front of him. The systems analyst is therefore the opposite of the </w:t>
      </w:r>
      <w:proofErr w:type="spellStart"/>
      <w:r w:rsidRPr="009E0A7D">
        <w:t>Galenic</w:t>
      </w:r>
      <w:proofErr w:type="spellEnd"/>
      <w:r w:rsidRPr="009E0A7D">
        <w:t xml:space="preserve"> or Hippocratic doctor.”</w:t>
      </w:r>
      <w:r w:rsidRPr="009E0A7D">
        <w:rPr>
          <w:vertAlign w:val="superscript"/>
        </w:rPr>
        <w:footnoteReference w:id="20"/>
      </w:r>
      <w:r w:rsidRPr="009E0A7D">
        <w:t xml:space="preserve"> </w:t>
      </w:r>
      <w:r w:rsidR="004223B1">
        <w:t xml:space="preserve">As we will </w:t>
      </w:r>
      <w:r w:rsidR="00F6292E">
        <w:t>soon</w:t>
      </w:r>
      <w:r w:rsidR="004223B1">
        <w:t xml:space="preserve"> see, other medical professionals have begun to see the tragicomic implications</w:t>
      </w:r>
      <w:r w:rsidRPr="009E0A7D">
        <w:t xml:space="preserve"> of </w:t>
      </w:r>
      <w:r w:rsidR="004223B1">
        <w:t>contemporary</w:t>
      </w:r>
      <w:r w:rsidRPr="009E0A7D">
        <w:t xml:space="preserve"> medical practice </w:t>
      </w:r>
      <w:r w:rsidR="004223B1">
        <w:t xml:space="preserve">in </w:t>
      </w:r>
      <w:r w:rsidRPr="009E0A7D">
        <w:t xml:space="preserve">which patients and doctors alike are both far too comfortable using a yes-no question and answer modes of relating “symptoms”. </w:t>
      </w:r>
      <w:r w:rsidR="004223B1">
        <w:t xml:space="preserve">This is because, Illich has suggested, </w:t>
      </w:r>
      <w:r w:rsidRPr="009E0A7D">
        <w:t>“Contemporary bodies are the internalized image of the diagnostic tests and visualizat</w:t>
      </w:r>
      <w:r w:rsidR="004223B1">
        <w:t>ion techniques used in medicine.</w:t>
      </w:r>
      <w:r w:rsidRPr="009E0A7D">
        <w:t>”</w:t>
      </w:r>
      <w:r w:rsidRPr="009E0A7D">
        <w:rPr>
          <w:vertAlign w:val="superscript"/>
        </w:rPr>
        <w:footnoteReference w:id="21"/>
      </w:r>
      <w:r w:rsidRPr="009E0A7D">
        <w:t xml:space="preserve"> </w:t>
      </w:r>
      <w:r w:rsidR="004223B1">
        <w:t>L</w:t>
      </w:r>
      <w:r w:rsidRPr="009E0A7D">
        <w:t>istening to the experience of one’s own body has been so devalued that neither patients nor doctors know any longer how this experience is relevant for medical caring. Both, Illich suggests, do so because they have been constructed in this configuration by the contemporary framework of knowledge.</w:t>
      </w:r>
      <w:r w:rsidRPr="009E0A7D">
        <w:rPr>
          <w:vertAlign w:val="superscript"/>
        </w:rPr>
        <w:footnoteReference w:id="22"/>
      </w:r>
    </w:p>
    <w:p w:rsidR="009A25A1" w:rsidRDefault="004223B1" w:rsidP="00F6292E">
      <w:pPr>
        <w:spacing w:line="360" w:lineRule="auto"/>
      </w:pPr>
      <w:r>
        <w:t xml:space="preserve">This creates problems for everyone in modern societies, but presents special problems to </w:t>
      </w:r>
      <w:r w:rsidR="009A25A1">
        <w:t xml:space="preserve">parents </w:t>
      </w:r>
      <w:r>
        <w:t>of and carers for</w:t>
      </w:r>
      <w:r w:rsidR="009A25A1">
        <w:t xml:space="preserve"> disabled children. Because their children represent the outliers </w:t>
      </w:r>
      <w:r w:rsidR="00573A37">
        <w:t>which</w:t>
      </w:r>
      <w:r w:rsidR="009A25A1">
        <w:t xml:space="preserve"> studies of</w:t>
      </w:r>
      <w:r w:rsidR="00573A37">
        <w:t xml:space="preserve"> the</w:t>
      </w:r>
      <w:r w:rsidR="009A25A1">
        <w:t xml:space="preserve"> normal </w:t>
      </w:r>
      <w:r w:rsidR="00573A37">
        <w:t xml:space="preserve">courses of disease and treatment for the masses, </w:t>
      </w:r>
      <w:r w:rsidR="009A25A1">
        <w:t>they</w:t>
      </w:r>
      <w:r w:rsidR="00573A37">
        <w:t xml:space="preserve"> by definition place demands on modern medicine which it cannot meet. There are also strong reasons why those who work in </w:t>
      </w:r>
      <w:r w:rsidR="00573A37">
        <w:lastRenderedPageBreak/>
        <w:t xml:space="preserve">hospitals will not be in the position to question the biases of their own medical training in the course of an individual interaction with a patient. It would be a demoralizing predicament were medical professionals to </w:t>
      </w:r>
      <w:r w:rsidR="003E1397">
        <w:t xml:space="preserve">doubt the truth that </w:t>
      </w:r>
      <w:r w:rsidR="009A25A1">
        <w:t>modern medicine will care for most</w:t>
      </w:r>
      <w:r w:rsidR="003E1397">
        <w:t xml:space="preserve"> of the people most of the time</w:t>
      </w:r>
      <w:r w:rsidR="009A25A1">
        <w:t xml:space="preserve"> relatively well. </w:t>
      </w:r>
      <w:r w:rsidR="009E0A7D">
        <w:t xml:space="preserve">Hospital care is often the most daunting prospect for the parents of disabled children because there time is often of the essence, and the time necessary to get to know the patient is at a bare minimum. </w:t>
      </w:r>
      <w:r w:rsidR="003E1397">
        <w:t>Nevertheless</w:t>
      </w:r>
      <w:r w:rsidR="009A25A1">
        <w:t xml:space="preserve"> as Berry has pointed out, </w:t>
      </w:r>
      <w:r w:rsidR="00C00DD8">
        <w:t xml:space="preserve">the greatest challenge to the modern expert is the outlier, that </w:t>
      </w:r>
      <w:r w:rsidR="009A25A1">
        <w:t>a bit of rocky ground, or a hill a little too steep for a tractor. Modern agriculture can afford to leave out those parts of the land it finds difficu</w:t>
      </w:r>
      <w:r w:rsidR="00C00DD8">
        <w:t>lt to fit into its mode of care, but</w:t>
      </w:r>
      <w:r w:rsidR="009A25A1">
        <w:t xml:space="preserve"> medicine cannot.</w:t>
      </w:r>
      <w:r w:rsidR="009A25A1" w:rsidRPr="0050001F">
        <w:t xml:space="preserve"> </w:t>
      </w:r>
    </w:p>
    <w:p w:rsidR="009A25A1" w:rsidRDefault="009A25A1" w:rsidP="00F6292E">
      <w:pPr>
        <w:spacing w:line="360" w:lineRule="auto"/>
      </w:pPr>
      <w:r>
        <w:t xml:space="preserve">In Berry’s terms, we might think of the child as a plot of land to be cared for, the responsibility for which lies in a fuzzy zone nominally occupied only </w:t>
      </w:r>
      <w:r w:rsidR="003E1397">
        <w:t>by</w:t>
      </w:r>
      <w:r>
        <w:t xml:space="preserve"> the parents, but increasingly often seen to include the interests of the state, or that of health trusts. The rise of screening programs of various types, and the peril a parent faces in refusing to participate (most latterly exposed in the row over vaccination)</w:t>
      </w:r>
      <w:r w:rsidR="003E1397">
        <w:t>,</w:t>
      </w:r>
      <w:r>
        <w:t xml:space="preserve"> illustrate </w:t>
      </w:r>
      <w:r w:rsidR="00C00DD8">
        <w:t>that disabled children expose the tensions between medicine understood as technical expertise and medicine understood as care for the flourishing of individuals in all their diversity</w:t>
      </w:r>
      <w:r>
        <w:t>.</w:t>
      </w:r>
    </w:p>
    <w:p w:rsidR="009A25A1" w:rsidRDefault="009A25A1" w:rsidP="00F6292E">
      <w:pPr>
        <w:spacing w:line="360" w:lineRule="auto"/>
      </w:pPr>
      <w:r>
        <w:t>The upshot of these considerations is that</w:t>
      </w:r>
      <w:r w:rsidR="00C00DD8">
        <w:t>, to the extent that medicine has been configured on an expertise model,</w:t>
      </w:r>
      <w:r>
        <w:t xml:space="preserve"> the burden of proof will always lie on parents who might suggest (whether erroneously or not) that any given child has in the past not conformed to the expected laws of averages for a given sickness or treatment. We must also reckon with the understandable (though perhaps not defensible) presumption that laypeople’s perceptions of </w:t>
      </w:r>
      <w:r w:rsidR="003E1397">
        <w:t>etiologies</w:t>
      </w:r>
      <w:r>
        <w:t xml:space="preserve"> and drug effects may not be </w:t>
      </w:r>
      <w:r w:rsidR="003E1397">
        <w:t>informed</w:t>
      </w:r>
      <w:r>
        <w:t xml:space="preserve"> enough </w:t>
      </w:r>
      <w:r w:rsidR="003E1397">
        <w:t>to serve as a basis for medical judgment</w:t>
      </w:r>
      <w:r>
        <w:t xml:space="preserve">. Behind this problem lies the further (on occasion legitimate) worry that even parents who are medical professionals </w:t>
      </w:r>
      <w:r w:rsidR="003E1397">
        <w:t>may</w:t>
      </w:r>
      <w:r>
        <w:t xml:space="preserve"> not take the disinterested view of the case at hand which grounds proper medical </w:t>
      </w:r>
      <w:r w:rsidR="00D6098C">
        <w:t>judgment</w:t>
      </w:r>
      <w:r>
        <w:t>.</w:t>
      </w:r>
      <w:r w:rsidRPr="0050001F">
        <w:t xml:space="preserve"> </w:t>
      </w:r>
      <w:r w:rsidR="003E1397">
        <w:t xml:space="preserve">Here family practitioners are in a position to be especially effective allies of parents in </w:t>
      </w:r>
      <w:r>
        <w:t>being closer to what Berry has called husbandmen</w:t>
      </w:r>
      <w:r w:rsidR="003E1397">
        <w:t>. They, along with nurses, occupy a liminal, anomalous role in the context of modern medicine</w:t>
      </w:r>
      <w:r>
        <w:t>.</w:t>
      </w:r>
      <w:r w:rsidR="003E1397">
        <w:t xml:space="preserve"> They have learned </w:t>
      </w:r>
      <w:r w:rsidR="00C00DD8">
        <w:t>to</w:t>
      </w:r>
      <w:r w:rsidR="003E1397">
        <w:t xml:space="preserve"> perceive by way of the esoteric technical language necessary to the modern medical gaze.</w:t>
      </w:r>
      <w:r w:rsidR="0064401C">
        <w:rPr>
          <w:rStyle w:val="FootnoteReference"/>
        </w:rPr>
        <w:footnoteReference w:id="23"/>
      </w:r>
      <w:r w:rsidR="003E1397">
        <w:t xml:space="preserve"> But they also often grasp when the mantle of the expert becomes counterproductive when unable to engage with the ways patients and carers </w:t>
      </w:r>
      <w:r w:rsidR="003E1397">
        <w:lastRenderedPageBreak/>
        <w:t>talk about their medical complaints.</w:t>
      </w:r>
      <w:r>
        <w:t xml:space="preserve"> They know pat</w:t>
      </w:r>
      <w:r w:rsidR="003E1397">
        <w:t>i</w:t>
      </w:r>
      <w:r>
        <w:t xml:space="preserve">ents over much longer periods of time, a knowledge which allows them a better view of what parents are seeing in their child, </w:t>
      </w:r>
      <w:r w:rsidR="003E1397">
        <w:t>the appearance of the child’s healthy state and episodes of sickness, so possessing</w:t>
      </w:r>
      <w:r>
        <w:t xml:space="preserve"> a concomitantly greater ability to both teach the parents what they are seeing, and to investigate their perceptions and concerns about the child.</w:t>
      </w:r>
      <w:r w:rsidR="003E1397">
        <w:t xml:space="preserve"> It is this interface between the expert and the layperson which becomes the most problematic territory for parents and carers for the mentally disabled.</w:t>
      </w:r>
    </w:p>
    <w:p w:rsidR="0064401C" w:rsidRDefault="0064401C" w:rsidP="00F6292E">
      <w:pPr>
        <w:spacing w:line="360" w:lineRule="auto"/>
      </w:pPr>
      <w:r>
        <w:rPr>
          <w:b/>
        </w:rPr>
        <w:t xml:space="preserve">III. </w:t>
      </w:r>
      <w:r w:rsidRPr="00374D75">
        <w:rPr>
          <w:b/>
        </w:rPr>
        <w:t xml:space="preserve">The </w:t>
      </w:r>
      <w:r w:rsidR="006F730A">
        <w:rPr>
          <w:b/>
        </w:rPr>
        <w:t xml:space="preserve">contemporary </w:t>
      </w:r>
      <w:r w:rsidRPr="00374D75">
        <w:rPr>
          <w:b/>
        </w:rPr>
        <w:t>suffering of the statistical outlier</w:t>
      </w:r>
    </w:p>
    <w:p w:rsidR="0064401C" w:rsidRDefault="006F730A" w:rsidP="00F6292E">
      <w:pPr>
        <w:spacing w:line="360" w:lineRule="auto"/>
      </w:pPr>
      <w:r>
        <w:t xml:space="preserve">The plight of parents </w:t>
      </w:r>
      <w:r w:rsidR="00C00DD8">
        <w:t xml:space="preserve">and carers </w:t>
      </w:r>
      <w:r>
        <w:t>in modern medica</w:t>
      </w:r>
      <w:r w:rsidR="00C00DD8">
        <w:t xml:space="preserve">l contexts is illuminated by recent statistics </w:t>
      </w:r>
      <w:r w:rsidR="00F6292E">
        <w:t>that reveal the barriers that</w:t>
      </w:r>
      <w:r w:rsidR="00C00DD8">
        <w:t xml:space="preserve"> face the mentally disabled </w:t>
      </w:r>
      <w:r w:rsidR="00F6292E">
        <w:t>when needing to have their illnesses diagnosed</w:t>
      </w:r>
      <w:r>
        <w:t xml:space="preserve">. </w:t>
      </w:r>
      <w:r w:rsidR="0064401C">
        <w:t>In response to a scandalous case of mistreatment in the Winterbourne View home for mentally disabled people uncovered by the BBC in 2011,</w:t>
      </w:r>
      <w:r w:rsidR="0064401C">
        <w:rPr>
          <w:rStyle w:val="FootnoteReference"/>
        </w:rPr>
        <w:footnoteReference w:id="24"/>
      </w:r>
      <w:r w:rsidR="0064401C">
        <w:t xml:space="preserve"> the current British government convened a wide-ranging special inquiry into the state of care given to learning impaired or mentally disabled people in the UK. Its findings were released in March 2013 as the </w:t>
      </w:r>
      <w:r w:rsidR="0064401C">
        <w:rPr>
          <w:i/>
        </w:rPr>
        <w:t>Confidential Inquiry into premature deaths of people with learning disabilities</w:t>
      </w:r>
      <w:r w:rsidR="0064401C">
        <w:t xml:space="preserve">, </w:t>
      </w:r>
      <w:r w:rsidR="00C00DD8">
        <w:t>abbreviated as the</w:t>
      </w:r>
      <w:r w:rsidR="0064401C">
        <w:t xml:space="preserve"> CIPOLD report.</w:t>
      </w:r>
      <w:r w:rsidR="0064401C">
        <w:rPr>
          <w:rStyle w:val="FootnoteReference"/>
        </w:rPr>
        <w:footnoteReference w:id="25"/>
      </w:r>
      <w:r w:rsidR="0064401C">
        <w:t xml:space="preserve"> A research team from the University of Bristol comprehensively studied two years’ worth of mortality statistics for a population of over 1.6 million people in the southwest of England.</w:t>
      </w:r>
      <w:r w:rsidR="0064401C">
        <w:rPr>
          <w:rStyle w:val="FootnoteReference"/>
        </w:rPr>
        <w:footnoteReference w:id="26"/>
      </w:r>
      <w:r w:rsidR="0064401C">
        <w:t xml:space="preserve"> Their aim was to build a picture of the incidence of premature or preventable deaths among mentally disabled people. Building on a string of similar reports going back well over a decade,</w:t>
      </w:r>
      <w:r w:rsidR="0064401C">
        <w:rPr>
          <w:rStyle w:val="FootnoteReference"/>
        </w:rPr>
        <w:footnoteReference w:id="27"/>
      </w:r>
      <w:r w:rsidR="0064401C">
        <w:t xml:space="preserve"> the commission sought concrete data on whether mentally disabled or learning </w:t>
      </w:r>
      <w:r w:rsidR="0064401C">
        <w:lastRenderedPageBreak/>
        <w:t>impaired individuals were being systematically discriminated against by the National Health Service (NHS).</w:t>
      </w:r>
    </w:p>
    <w:p w:rsidR="0064401C" w:rsidRDefault="0064401C" w:rsidP="00F6292E">
      <w:pPr>
        <w:spacing w:line="360" w:lineRule="auto"/>
      </w:pPr>
      <w:r>
        <w:t>The report found that mentally disabled people still die much earlier and more unexpectedly than the majority population.</w:t>
      </w:r>
      <w:r>
        <w:rPr>
          <w:rStyle w:val="FootnoteReference"/>
        </w:rPr>
        <w:footnoteReference w:id="28"/>
      </w:r>
      <w:r>
        <w:t xml:space="preserve"> They also found that, statistically speaking, the more severe one’s mental disability the more likely one would be to die younger, and from a preventable death. Broader analysis revealed in addition that people with learning disabilities were statistically underweight (a contributor to early death), suffered from more preventable conditions than the general population (such as pressure sores or acid reflux) and were unlikely to have had regular health checks or health plans. For the minority of individuals who had been given integrated health plans, the commission found that the use actually made of these “personalized health plans” was more often to hold patients to account for self-care than for the purpose for which they were originally designed—to co-ordinate disjointed healthcare provision. Most importantly, “reasonable adjustments” to the normal ways of providing healthcare for those with special needs were rarely and certainly not routinely made, meaning that a whole range of practical barriers often derailed effective diagnosis and treatment.</w:t>
      </w:r>
    </w:p>
    <w:p w:rsidR="0064401C" w:rsidRDefault="0064401C" w:rsidP="00F6292E">
      <w:pPr>
        <w:spacing w:line="360" w:lineRule="auto"/>
      </w:pPr>
      <w:r>
        <w:t>After examining 247 deaths of people with learning disabilities during the two year window of the study, the commission found that the majority of what they called premature or preventable deaths were not caused by carers overlooking or ignoring the distress of an ill person.</w:t>
      </w:r>
      <w:r>
        <w:rPr>
          <w:rStyle w:val="FootnoteReference"/>
        </w:rPr>
        <w:footnoteReference w:id="29"/>
      </w:r>
      <w:r>
        <w:t xml:space="preserve"> The fatal </w:t>
      </w:r>
      <w:r>
        <w:lastRenderedPageBreak/>
        <w:t>problems arose when medical professionals failed to offer a timely and accurate diagnosis and/or a workable treatment plan.</w:t>
      </w:r>
      <w:r>
        <w:rPr>
          <w:rStyle w:val="FootnoteReference"/>
        </w:rPr>
        <w:footnoteReference w:id="30"/>
      </w:r>
      <w:r>
        <w:t xml:space="preserve"> Two cases illustrate aspects of the problem to which I will </w:t>
      </w:r>
      <w:r w:rsidR="00F6292E">
        <w:t xml:space="preserve">subsequently </w:t>
      </w:r>
      <w:r>
        <w:t xml:space="preserve">return. The first concerns a problem of information flow. When taken to hospital with respiratory problems, Robert had no one who knew him well enough to </w:t>
      </w:r>
      <w:r w:rsidR="00C00DD8">
        <w:t xml:space="preserve">explain the particularities of his situation to medical </w:t>
      </w:r>
      <w:proofErr w:type="spellStart"/>
      <w:r w:rsidR="00C00DD8">
        <w:t>personell</w:t>
      </w:r>
      <w:proofErr w:type="spellEnd"/>
      <w:r>
        <w:t xml:space="preserve"> because no one who knew his story was present during the diagnosis process.</w:t>
      </w:r>
    </w:p>
    <w:p w:rsidR="0064401C" w:rsidRDefault="0064401C" w:rsidP="00F6292E">
      <w:pPr>
        <w:spacing w:line="360" w:lineRule="auto"/>
        <w:ind w:left="720"/>
      </w:pPr>
      <w:r>
        <w:t>Robert was found to be unwell by his care home staff and they called the out-of-hours doctor. He was taken to hospital unaccompanied, so the information that he had possibly been aspirating food and fluids was not passed on. Robert had an ECG but no chest X-ray or blood tests and was then returned home. His assessment at that time was deficient, given the lack of a clear history and his significant co-morbidities. Robert continued to have respiratory problems and was seen twice over the weekend by the out-of-hours doctors and prescribed antibiotics. On the Monday morning his own GP was asked to visit. She recognized his deterioration and admitted him to the hospital, but his pneumonia was described as ‘severe’ by this stage with a complete ‘white out’ of 1 lung. Robert’s condition deteriorated and it is possible that an earlier diagnosis of his pneumonia might have prevented his premature death.</w:t>
      </w:r>
      <w:r>
        <w:rPr>
          <w:rStyle w:val="FootnoteReference"/>
        </w:rPr>
        <w:footnoteReference w:id="31"/>
      </w:r>
    </w:p>
    <w:p w:rsidR="0064401C" w:rsidRDefault="0064401C" w:rsidP="00F6292E">
      <w:pPr>
        <w:spacing w:line="360" w:lineRule="auto"/>
      </w:pPr>
      <w:r>
        <w:t>A second case reveals a related aspect of the problem, that even when medical personnel do have some version of the story of a patient’s sickness they can be trapped by their take on the person’s presenting symptoms into making a hasty or incorrect diagnosis.</w:t>
      </w:r>
    </w:p>
    <w:p w:rsidR="0064401C" w:rsidRDefault="0064401C" w:rsidP="00F6292E">
      <w:pPr>
        <w:spacing w:line="360" w:lineRule="auto"/>
        <w:ind w:left="720"/>
      </w:pPr>
      <w:r>
        <w:t xml:space="preserve">Henry was taken into A&amp;E at about 8am. His sister reported to the CIPOLD nurse that the hospital staff had been convinced that Henry had had a seizure and did not listen to his family when they said that it was something different. His sister recalled suggesting to the hospital staff that Henry had either had a stroke or a brain </w:t>
      </w:r>
      <w:proofErr w:type="spellStart"/>
      <w:r>
        <w:t>haemorrhage</w:t>
      </w:r>
      <w:proofErr w:type="spellEnd"/>
      <w:r>
        <w:t xml:space="preserve">. His sister said: ‘I am no medical expert but I said he’s bleeding from his nose and from his mouth and they said that he had probably bitten his tongue while he was fitting. Mum kept saying that she didn’t see a fit and it wasn’t a seizure bearing in mind that she has been doing this for however many years…I said to the nurse something is not right…he is in </w:t>
      </w:r>
      <w:r>
        <w:lastRenderedPageBreak/>
        <w:t xml:space="preserve">pain…and they said no he’s not… They took him up for the MRI scan. It all changed then didn’t it? They were very nice to us then, let’s go into the side room and all that business… Of course it was a </w:t>
      </w:r>
      <w:proofErr w:type="spellStart"/>
      <w:r>
        <w:t>haemorrhage</w:t>
      </w:r>
      <w:proofErr w:type="spellEnd"/>
      <w:r>
        <w:t xml:space="preserve"> wasn’t it? All she could say to us was that she was very sorry. It seems like yesterday because I felt that I had let him down. I hadn’t fought his corner hard enough to say it’s not what you think it is. You are just looking on the papers, in the textbook… he has collapsed so he has got epilepsy. You are not listening to my Mum and she was his main carer but all they could say was that they were sorry. They were sorry because they had missed it and that it had taken so long and that he had been in pain from 7am until 5pm.’</w:t>
      </w:r>
      <w:r>
        <w:rPr>
          <w:rStyle w:val="FootnoteReference"/>
        </w:rPr>
        <w:footnoteReference w:id="32"/>
      </w:r>
    </w:p>
    <w:p w:rsidR="0064401C" w:rsidRDefault="0064401C" w:rsidP="00F6292E">
      <w:pPr>
        <w:spacing w:line="360" w:lineRule="auto"/>
      </w:pPr>
      <w:r>
        <w:t>The authors of the report indicate</w:t>
      </w:r>
      <w:r w:rsidRPr="001A70C3">
        <w:t xml:space="preserve"> </w:t>
      </w:r>
      <w:r>
        <w:t>that this was not an isolated story: “For some people, it appeared that once a provisional diagnosis had been made, it prevented doctors from having an open mind and challenging the provisional diagnosis as symptoms developed.”</w:t>
      </w:r>
      <w:r>
        <w:rPr>
          <w:rStyle w:val="FootnoteReference"/>
        </w:rPr>
        <w:footnoteReference w:id="33"/>
      </w:r>
      <w:r>
        <w:t xml:space="preserve"> </w:t>
      </w:r>
    </w:p>
    <w:p w:rsidR="0064401C" w:rsidRDefault="006F730A" w:rsidP="00F6292E">
      <w:pPr>
        <w:spacing w:line="360" w:lineRule="auto"/>
      </w:pPr>
      <w:r>
        <w:t>Already in the 1960’s Foucault had begun</w:t>
      </w:r>
      <w:r w:rsidR="0064401C">
        <w:t xml:space="preserve"> uncover the cultural and structural reasons </w:t>
      </w:r>
      <w:r>
        <w:t xml:space="preserve">that would lead us to expect </w:t>
      </w:r>
      <w:r w:rsidR="0064401C">
        <w:t>this state of affairs</w:t>
      </w:r>
      <w:r>
        <w:t xml:space="preserve"> to materialize, and for the same reasons we should not be surprised that the CIPOLD report found</w:t>
      </w:r>
      <w:r w:rsidR="0064401C">
        <w:t xml:space="preserve"> very low rates of participation in routine medical screening regimens</w:t>
      </w:r>
      <w:r>
        <w:t xml:space="preserve"> among the mentally disabled</w:t>
      </w:r>
      <w:r w:rsidR="0064401C">
        <w:t>. Without “reasonable adjustments” to routine protocols being made, preventative screening that is offered to all patients when they reach a certain age can easily became too unwieldy for staff or carers or too distressing for patients. Similar problems emerge when doctors prescribe complex treatment regimens or assume that everyone is capable of keeping up with difficult hospital checkup appointment schedules.</w:t>
      </w:r>
      <w:r w:rsidR="0064401C">
        <w:rPr>
          <w:rStyle w:val="FootnoteReference"/>
        </w:rPr>
        <w:footnoteReference w:id="34"/>
      </w:r>
      <w:r w:rsidR="0064401C">
        <w:t xml:space="preserve"> In many cases mentally disabled people’s “social care providers appeared to be neither equipped nor resourced to chase up appointments or monitor [the person’s] progress through so many different systems, and there was no one else to do this on [his or her] behalf.”</w:t>
      </w:r>
      <w:r w:rsidR="0064401C">
        <w:rPr>
          <w:rStyle w:val="FootnoteReference"/>
        </w:rPr>
        <w:footnoteReference w:id="35"/>
      </w:r>
      <w:r w:rsidR="0064401C">
        <w:t xml:space="preserve"> In addition to these hurdles, many people with learning difficulties and their </w:t>
      </w:r>
      <w:proofErr w:type="spellStart"/>
      <w:r w:rsidR="0064401C">
        <w:t>carers</w:t>
      </w:r>
      <w:proofErr w:type="spellEnd"/>
      <w:r w:rsidR="0064401C">
        <w:t xml:space="preserve"> were often unaware of the services that might be available to ameliorate some of these difficulties.</w:t>
      </w:r>
      <w:r w:rsidR="0064401C">
        <w:rPr>
          <w:rStyle w:val="FootnoteReference"/>
        </w:rPr>
        <w:footnoteReference w:id="36"/>
      </w:r>
      <w:r w:rsidR="0064401C">
        <w:t xml:space="preserve"> </w:t>
      </w:r>
    </w:p>
    <w:p w:rsidR="0064401C" w:rsidRDefault="0064401C" w:rsidP="00F6292E">
      <w:pPr>
        <w:spacing w:line="360" w:lineRule="auto"/>
      </w:pPr>
      <w:r>
        <w:lastRenderedPageBreak/>
        <w:t>We can now see in a more rounded way how, at least in southern England</w:t>
      </w:r>
      <w:r w:rsidR="006F730A">
        <w:t xml:space="preserve"> (which I take to be representative of the situation in many developed western countries)</w:t>
      </w:r>
      <w:r>
        <w:t>, the culture of hospitals is configured in a manner that assumes that the “average” patient can be counted on to present their own symptoms and deal with the waiting, discomfort and logistics it takes to secure their own care. The system as a whole is geared toward the statistically normal patient, and if an individual’s specific mental disability makes the system threatening or inaccessible the evidence suggests that the statistical outliers will simply be ignored, solidifying their invisibility as appropriate recipients of the routine healthcare provided to everyone else in society.</w:t>
      </w:r>
    </w:p>
    <w:p w:rsidR="0064401C" w:rsidRDefault="0064401C" w:rsidP="00F6292E">
      <w:pPr>
        <w:spacing w:line="360" w:lineRule="auto"/>
      </w:pPr>
      <w:r>
        <w:t>The report concluded that one of the core deficiencies in health care provision for mentally disabled people is a desperate lack of advocates. Advocacy at least entails presenting the story of the patient’s suffering, but, they suggest, would also include being willing and capable of pressing medical professionals to revisit and revise diagnoses and care plans. Yet the evidence stands that those who did so advocate for such people regularly reported that they felt they were not listened to.</w:t>
      </w:r>
      <w:r>
        <w:rPr>
          <w:rStyle w:val="FootnoteReference"/>
        </w:rPr>
        <w:footnoteReference w:id="37"/>
      </w:r>
      <w:r>
        <w:t xml:space="preserve"> To make matters even worse, the commission found that over a quarter of intellectually disabled people have no one who even knows their story over a long enough term that to act as their healthcare advocate.</w:t>
      </w:r>
      <w:r>
        <w:rPr>
          <w:rStyle w:val="FootnoteReference"/>
        </w:rPr>
        <w:footnoteReference w:id="38"/>
      </w:r>
      <w:r>
        <w:t xml:space="preserve"> The report suggested several structural changes, but one core aspect of the commissions’ recommendations was that more formal ways had to be found to remedy this knowledge deficit, a solution that would need to be combined with a willingness on the part of medical professionals to listen first to the patients themselves, then to advocates, and to adjust their usual practices in order to circumvent some of the more obvious problems normal routines cause for individual people with mental disabilities.</w:t>
      </w:r>
      <w:r>
        <w:rPr>
          <w:rStyle w:val="FootnoteReference"/>
        </w:rPr>
        <w:footnoteReference w:id="39"/>
      </w:r>
    </w:p>
    <w:p w:rsidR="0064401C" w:rsidRPr="009859E7" w:rsidRDefault="006F730A" w:rsidP="00F6292E">
      <w:pPr>
        <w:spacing w:line="360" w:lineRule="auto"/>
        <w:rPr>
          <w:b/>
        </w:rPr>
      </w:pPr>
      <w:r>
        <w:rPr>
          <w:b/>
        </w:rPr>
        <w:t>IV</w:t>
      </w:r>
      <w:r w:rsidR="0064401C">
        <w:rPr>
          <w:b/>
        </w:rPr>
        <w:t xml:space="preserve">. </w:t>
      </w:r>
      <w:r>
        <w:rPr>
          <w:b/>
        </w:rPr>
        <w:t>Why</w:t>
      </w:r>
      <w:r w:rsidR="0064401C">
        <w:rPr>
          <w:b/>
        </w:rPr>
        <w:t xml:space="preserve"> doctors don’t listen</w:t>
      </w:r>
    </w:p>
    <w:p w:rsidR="00C00DD8" w:rsidRDefault="0064401C" w:rsidP="00F6292E">
      <w:pPr>
        <w:spacing w:line="360" w:lineRule="auto"/>
      </w:pPr>
      <w:r>
        <w:t xml:space="preserve">In their book </w:t>
      </w:r>
      <w:r>
        <w:rPr>
          <w:i/>
        </w:rPr>
        <w:t>When Doctors Don’t Listen: How to Avoid Misdiagnoses and Unnecessary Tests</w:t>
      </w:r>
      <w:r w:rsidRPr="004340F7">
        <w:rPr>
          <w:rStyle w:val="FootnoteReference"/>
        </w:rPr>
        <w:footnoteReference w:id="40"/>
      </w:r>
      <w:r w:rsidRPr="004340F7">
        <w:t xml:space="preserve"> </w:t>
      </w:r>
      <w:r>
        <w:t xml:space="preserve">Harvard medical school doctors </w:t>
      </w:r>
      <w:proofErr w:type="spellStart"/>
      <w:r>
        <w:t>Leana</w:t>
      </w:r>
      <w:proofErr w:type="spellEnd"/>
      <w:r>
        <w:t xml:space="preserve"> Wen and Joshua </w:t>
      </w:r>
      <w:proofErr w:type="spellStart"/>
      <w:r>
        <w:t>Kosowsky</w:t>
      </w:r>
      <w:proofErr w:type="spellEnd"/>
      <w:r>
        <w:t xml:space="preserve"> approach the problem of the deafness of modern medical systems to the statistical outlier from a different angle that sheds </w:t>
      </w:r>
      <w:r>
        <w:lastRenderedPageBreak/>
        <w:t>fresh light on the conclusions of the CIPOLD report. Their insights are especially relevant because both are emergency room doctors concerned that the diagnosis of patients be quick, accurate, and responsive to changes in the development of a medical condition.</w:t>
      </w:r>
      <w:r w:rsidR="00C00DD8">
        <w:t xml:space="preserve"> This makes them ideally placed to discern the implications for medicine of Berry’s emphasis on the importance of valuing particularity and diversity.</w:t>
      </w:r>
      <w:r>
        <w:t xml:space="preserve"> </w:t>
      </w:r>
    </w:p>
    <w:p w:rsidR="0064401C" w:rsidRDefault="0064401C" w:rsidP="00F6292E">
      <w:pPr>
        <w:spacing w:line="360" w:lineRule="auto"/>
      </w:pPr>
      <w:r>
        <w:t>Contemporary doctors, they observe, are socialized into “care systems” that intentionally teach students to think within an algorithmic diagnostic logic.</w:t>
      </w:r>
      <w:r>
        <w:rPr>
          <w:rStyle w:val="FootnoteReference"/>
        </w:rPr>
        <w:footnoteReference w:id="41"/>
      </w:r>
      <w:r>
        <w:t xml:space="preserve"> In distinction from older apprenticeship models of medical training, the rise to dominance of the modern expertise model of medical knowledge has established </w:t>
      </w:r>
      <w:proofErr w:type="gramStart"/>
      <w:r>
        <w:t>a hegemony</w:t>
      </w:r>
      <w:proofErr w:type="gramEnd"/>
      <w:r>
        <w:t xml:space="preserve"> of research physicians in medical training. Because it is difficult to be a high performer both in the laboratory and at the bedside, clinicians have been squeezed out of medical training with the result that the role of trust and clinical listening is rarely modeled for medical students and is not treated as an essential aspect of good diagnostic procedure.</w:t>
      </w:r>
      <w:r>
        <w:rPr>
          <w:rStyle w:val="FootnoteReference"/>
        </w:rPr>
        <w:footnoteReference w:id="42"/>
      </w:r>
      <w:r>
        <w:t xml:space="preserve"> One effect of this shift has been to create among recent generations of doctors an illusion Wen and </w:t>
      </w:r>
      <w:proofErr w:type="spellStart"/>
      <w:r>
        <w:t>Kosowsky</w:t>
      </w:r>
      <w:proofErr w:type="spellEnd"/>
      <w:r>
        <w:t xml:space="preserve"> believe </w:t>
      </w:r>
      <w:r w:rsidR="00C00DD8">
        <w:t>to be</w:t>
      </w:r>
      <w:r>
        <w:t xml:space="preserve"> dangerous: </w:t>
      </w:r>
      <w:proofErr w:type="gramStart"/>
      <w:r>
        <w:t>that medical tests</w:t>
      </w:r>
      <w:proofErr w:type="gramEnd"/>
      <w:r>
        <w:t xml:space="preserve"> can mechanically determine correct treatments.</w:t>
      </w:r>
      <w:r>
        <w:rPr>
          <w:rStyle w:val="FootnoteReference"/>
        </w:rPr>
        <w:footnoteReference w:id="43"/>
      </w:r>
      <w:r>
        <w:t xml:space="preserve"> Their worries about the rise of algorithmic diagnosis leads them to ask: What is the real source of certainty in diagnosis?</w:t>
      </w:r>
      <w:r>
        <w:rPr>
          <w:rStyle w:val="FootnoteReference"/>
        </w:rPr>
        <w:footnoteReference w:id="44"/>
      </w:r>
      <w:r>
        <w:t xml:space="preserve"> Diagnostic certainty cannot be an artifact of the comprehensiveness of medical testing, as if the sum total of all known tests would yield an unambiguous diagnosis.</w:t>
      </w:r>
      <w:r>
        <w:rPr>
          <w:rStyle w:val="FootnoteReference"/>
        </w:rPr>
        <w:footnoteReference w:id="45"/>
      </w:r>
      <w:r>
        <w:t xml:space="preserve"> Human bodies do not work this way, nor do medical tests. Tests can reveal “abnormal” conditions that are unrelated to the presenting complaint, and are calibrated to detect normal ranges of human functioning that may be irrelevant in any given particular case.</w:t>
      </w:r>
      <w:r>
        <w:rPr>
          <w:rStyle w:val="FootnoteReference"/>
        </w:rPr>
        <w:footnoteReference w:id="46"/>
      </w:r>
      <w:r>
        <w:t xml:space="preserve"> They continue</w:t>
      </w:r>
      <w:r w:rsidR="00C00DD8">
        <w:t xml:space="preserve"> in a vein that clarifies the problematic implications of the statistical structure of modern medicine.</w:t>
      </w:r>
    </w:p>
    <w:p w:rsidR="0064401C" w:rsidRPr="00DB607F" w:rsidRDefault="0064401C" w:rsidP="00F6292E">
      <w:pPr>
        <w:spacing w:line="360" w:lineRule="auto"/>
        <w:ind w:left="720"/>
      </w:pPr>
      <w:r w:rsidRPr="00DB607F">
        <w:rPr>
          <w:lang w:val="en-GB"/>
        </w:rPr>
        <w:t xml:space="preserve">Another important thing to keep in mind about testing is that it often leads to further testing. Remember that tests are defined according to 95 percent of people who fall into the “normal” range, meaning that 5 present of people who actually have no problems will end up being “abnormal” based on their test. … </w:t>
      </w:r>
      <w:r>
        <w:rPr>
          <w:lang w:val="en-GB"/>
        </w:rPr>
        <w:t>[</w:t>
      </w:r>
      <w:r w:rsidRPr="00DB607F">
        <w:rPr>
          <w:lang w:val="en-GB"/>
        </w:rPr>
        <w:t xml:space="preserve">in addition] rules [for routine </w:t>
      </w:r>
      <w:r w:rsidRPr="00DB607F">
        <w:rPr>
          <w:lang w:val="en-GB"/>
        </w:rPr>
        <w:lastRenderedPageBreak/>
        <w:t>administration of tests</w:t>
      </w:r>
      <w:r>
        <w:rPr>
          <w:lang w:val="en-GB"/>
        </w:rPr>
        <w:t>]</w:t>
      </w:r>
      <w:r w:rsidRPr="00DB607F">
        <w:rPr>
          <w:lang w:val="en-GB"/>
        </w:rPr>
        <w:t xml:space="preserve"> are established on populations, not on individuals: they may work for “most” people between ages twenty and fifty, but not all—and you may be the exception. Also, rules typically have arbitrary cut offs. Many rules, for example, use a specific age as a criterion, or heart rate. But does it make sense that someone who just turned 65 has to have an X-ray, but if their injury occurred last week, they were OK without one? Or that a patient with a heart rate of 99 beats per minute is fine, but if the heart rate goes up to 100, they suddenly need a blood test?”</w:t>
      </w:r>
      <w:r>
        <w:rPr>
          <w:rStyle w:val="FootnoteReference"/>
          <w:lang w:val="en-GB"/>
        </w:rPr>
        <w:footnoteReference w:id="47"/>
      </w:r>
    </w:p>
    <w:p w:rsidR="0064401C" w:rsidRDefault="0064401C" w:rsidP="00F6292E">
      <w:pPr>
        <w:spacing w:line="360" w:lineRule="auto"/>
      </w:pPr>
      <w:r>
        <w:t>In short, medical tests may well reveal “abnormal” values, but this may be unrelated to, or not the source of the presenting complaint, and close attention to the specific contours of the presenting complaint may suggest the relevance of tests that testing protocols may miss.</w:t>
      </w:r>
    </w:p>
    <w:p w:rsidR="0064401C" w:rsidRDefault="0064401C" w:rsidP="00F6292E">
      <w:pPr>
        <w:spacing w:line="360" w:lineRule="auto"/>
      </w:pPr>
      <w:r>
        <w:t xml:space="preserve">Wen and </w:t>
      </w:r>
      <w:proofErr w:type="spellStart"/>
      <w:r>
        <w:t>Kosowsky</w:t>
      </w:r>
      <w:proofErr w:type="spellEnd"/>
      <w:r>
        <w:t xml:space="preserve"> respond to their own question by proposing to recover an older practice of close listening to patient histories. They discuss in detail how hard it is to teach the “open listening” demanded by this older approach to medical students who have been systematically trained to ask yes-no questions as they proceed through diagnostic decision-making trees. Wen and </w:t>
      </w:r>
      <w:proofErr w:type="spellStart"/>
      <w:r>
        <w:t>Kosowsky</w:t>
      </w:r>
      <w:proofErr w:type="spellEnd"/>
      <w:r>
        <w:t xml:space="preserve"> insist, however, that these different modes of listening suggest very different understandings of what they call “the healthcare partnership”.</w:t>
      </w:r>
      <w:r>
        <w:rPr>
          <w:rStyle w:val="FootnoteReference"/>
        </w:rPr>
        <w:footnoteReference w:id="48"/>
      </w:r>
      <w:r>
        <w:t xml:space="preserve"> The modern algorithmic account of diagnosis, they suggest, has set up the </w:t>
      </w:r>
      <w:r w:rsidRPr="004208B6">
        <w:t>symptom</w:t>
      </w:r>
      <w:r>
        <w:t xml:space="preserve"> as a </w:t>
      </w:r>
      <w:r w:rsidRPr="004208B6">
        <w:rPr>
          <w:i/>
        </w:rPr>
        <w:t>proxy</w:t>
      </w:r>
      <w:r>
        <w:t xml:space="preserve"> for patient narratives,</w:t>
      </w:r>
      <w:r>
        <w:rPr>
          <w:rStyle w:val="FootnoteReference"/>
        </w:rPr>
        <w:footnoteReference w:id="49"/>
      </w:r>
      <w:r>
        <w:t xml:space="preserve"> and in their view it is the taking of patient histories that alone can provide the basis for the positing of working diagnoses that ground diagnostic certainty and guide the ordering of medical tests.</w:t>
      </w:r>
      <w:r>
        <w:rPr>
          <w:rStyle w:val="FootnoteReference"/>
        </w:rPr>
        <w:footnoteReference w:id="50"/>
      </w:r>
      <w:r>
        <w:t xml:space="preserve"> Taking a supple history may even reveal that the “chief complaint” does not even have a physical cause.</w:t>
      </w:r>
      <w:r>
        <w:rPr>
          <w:rStyle w:val="FootnoteReference"/>
        </w:rPr>
        <w:footnoteReference w:id="51"/>
      </w:r>
      <w:r>
        <w:t xml:space="preserve"> They conclude that there is a moral imperative for doctors to keep asking questions until they have a working diagnosis </w:t>
      </w:r>
      <w:r>
        <w:rPr>
          <w:i/>
        </w:rPr>
        <w:t>before</w:t>
      </w:r>
      <w:r>
        <w:t xml:space="preserve"> they order tests</w:t>
      </w:r>
      <w:r>
        <w:rPr>
          <w:rStyle w:val="FootnoteReference"/>
        </w:rPr>
        <w:footnoteReference w:id="52"/>
      </w:r>
      <w:r>
        <w:t xml:space="preserve"> and end their book with a detailed account of the ways a patient might gently tempt their doctor to look more deeply into a patient’s history in order to aid better diagnosis.</w:t>
      </w:r>
    </w:p>
    <w:p w:rsidR="0064401C" w:rsidRDefault="0064401C" w:rsidP="00F6292E">
      <w:pPr>
        <w:spacing w:line="360" w:lineRule="auto"/>
      </w:pPr>
      <w:r>
        <w:t xml:space="preserve">One doctor who reviewed the book commented that it offered a “superb analysis of how doctors listen and think” but </w:t>
      </w:r>
      <w:r w:rsidR="00C00DD8">
        <w:t>protested that we live in a society used to the rule of the expert and thus</w:t>
      </w:r>
      <w:r>
        <w:t xml:space="preserve"> that </w:t>
      </w:r>
      <w:r>
        <w:lastRenderedPageBreak/>
        <w:t>the levels of communication and openness proposed in it were nothing more than a “seductive fantasy” because “most acutely ill people just want an experienced person to take over, to do what has to be done and do it fast.”</w:t>
      </w:r>
      <w:r>
        <w:rPr>
          <w:rStyle w:val="FootnoteReference"/>
        </w:rPr>
        <w:footnoteReference w:id="53"/>
      </w:r>
      <w:r>
        <w:t xml:space="preserve"> Wen and </w:t>
      </w:r>
      <w:proofErr w:type="spellStart"/>
      <w:r>
        <w:t>Kosowsky</w:t>
      </w:r>
      <w:proofErr w:type="spellEnd"/>
      <w:r>
        <w:t xml:space="preserve"> admit that there is a complex psychological demand being opened up by their proposal because it presses medical professionals to admit up front that their diagnoses are hypotheses,</w:t>
      </w:r>
      <w:r>
        <w:rPr>
          <w:rStyle w:val="FootnoteReference"/>
        </w:rPr>
        <w:footnoteReference w:id="54"/>
      </w:r>
      <w:r>
        <w:t xml:space="preserve"> an admission which shakes the carefully constructed edifice of medical expertise. They admit, further, that the mantle of doctor-as-expert does have a silencing effect on patients (and carers),</w:t>
      </w:r>
      <w:r>
        <w:rPr>
          <w:rStyle w:val="FootnoteReference"/>
        </w:rPr>
        <w:footnoteReference w:id="55"/>
      </w:r>
      <w:r>
        <w:t xml:space="preserve"> to which patients may in some cases be forced to appeal in order to get physicians to be more forthcoming about their diagnostic thought processes.</w:t>
      </w:r>
      <w:r>
        <w:rPr>
          <w:rStyle w:val="FootnoteReference"/>
        </w:rPr>
        <w:footnoteReference w:id="56"/>
      </w:r>
      <w:r>
        <w:t xml:space="preserve"> For these reasons they disapprove of doctor’s playing the role of the scientific expert because when medical professionals assert the “inviolability of expertise” they set up barriers to the honest communication that is crucial to good healthcare and which they believe, reasonably, is a significant contributor to litigation against doctors.</w:t>
      </w:r>
    </w:p>
    <w:p w:rsidR="0064401C" w:rsidRDefault="0064401C" w:rsidP="00F6292E">
      <w:pPr>
        <w:spacing w:line="360" w:lineRule="auto"/>
      </w:pPr>
      <w:r>
        <w:t xml:space="preserve">What then of the problems raised by the CIPOLD report which reported the lack of advocates for mentally disabled people, the difficulties surrounding their communication of pain and their apparent inability to look out for their own best interests, either by pushing doctors to work harder to get a correct diagnosis or to follow complex treatment regimens? These factors obviously complicate the proposals offered by Wen and </w:t>
      </w:r>
      <w:proofErr w:type="spellStart"/>
      <w:r>
        <w:t>Kosowsky</w:t>
      </w:r>
      <w:proofErr w:type="spellEnd"/>
      <w:r>
        <w:t xml:space="preserve">. What would they make of the situation of a carer who they put in the position of being morally responsible to push doctors for better diagnostic procedure? What if this carer is not a legal guardian? Many such questions are left hanging, but Wen and </w:t>
      </w:r>
      <w:proofErr w:type="spellStart"/>
      <w:r>
        <w:t>Kosowsky</w:t>
      </w:r>
      <w:proofErr w:type="spellEnd"/>
      <w:r>
        <w:t xml:space="preserve"> firmly insist that the inability of a patient to speak is no excuse not to try and discover a patient’s story. Indeed, this is precisely where the CIPOLD report also ends; by insisting on more knowledgeable advocates and more adjustments to be made to medical provision in order that a more serious, extended and open ended listening be achieved among doctors. The contribution of Wen and </w:t>
      </w:r>
      <w:proofErr w:type="spellStart"/>
      <w:r>
        <w:t>Kosowsky</w:t>
      </w:r>
      <w:proofErr w:type="spellEnd"/>
      <w:r>
        <w:t xml:space="preserve"> is their reminder that this is not only to go against the grain of the practical processes in modern medical systems, but even against the self-understanding of most doctors and patients.</w:t>
      </w:r>
    </w:p>
    <w:p w:rsidR="00C00DD8" w:rsidRDefault="00C00DD8" w:rsidP="00F6292E">
      <w:pPr>
        <w:spacing w:line="360" w:lineRule="auto"/>
      </w:pPr>
      <w:r w:rsidRPr="00C00DD8">
        <w:lastRenderedPageBreak/>
        <w:t xml:space="preserve">There are both theological and biological reasons to suspect that Wen and </w:t>
      </w:r>
      <w:proofErr w:type="spellStart"/>
      <w:r w:rsidRPr="00C00DD8">
        <w:t>Kosowski</w:t>
      </w:r>
      <w:proofErr w:type="spellEnd"/>
      <w:r w:rsidRPr="00C00DD8">
        <w:t xml:space="preserve"> are right to at least allow that the experience of the sufferer’s own body, and the narration of its travails, is not simply irrelevant “anecdotal” knowledge. If the experience of one’s own body was in fact irrelevant for diagnosis and treatment, we would expect those who are unable to articulate their experience of their own bodies be the perfect patients of modern medicine. That they are not exposes the reality that the modern diagnostic emphasis on the function of bodily systems and organs is in fact always suspended above the safety net of the earlier modes of diagnostic listening. Though modern physician training has in effect deskilled practitioners in the practical arts of listening to patient stories and whole bodies, the attempt to live by testing alone is so fraught with complications that over time, especially in relation to vulnerable populations, that these older and more time consuming forms of listening remain indispensable in health care of real quality. This is why the CIPOLD report is not only revealing of a range of injustices in modern systems of care for people with mental disabilities, but in fact exposes a problem at the heart of modern medicine and in ourselves as patients who perpetrate that social form: its devaluation of important forms of listening and its subsequent inability to take account of non-standard cases. Illich seems to have been right to suggest that in order to begin to unravel the unnoticed brutalities to which our age commits us we must pay more attention to the configuration of our medical knowledge and its role in constructing the bodies and patients that are assumed to be normal and functioning in our modern developed societies.</w:t>
      </w:r>
      <w:r w:rsidRPr="00C00DD8">
        <w:rPr>
          <w:vertAlign w:val="superscript"/>
        </w:rPr>
        <w:footnoteReference w:id="57"/>
      </w:r>
    </w:p>
    <w:p w:rsidR="0064401C" w:rsidRPr="001A6E1D" w:rsidRDefault="006F730A" w:rsidP="00F6292E">
      <w:pPr>
        <w:spacing w:line="360" w:lineRule="auto"/>
        <w:rPr>
          <w:b/>
        </w:rPr>
      </w:pPr>
      <w:r>
        <w:rPr>
          <w:b/>
        </w:rPr>
        <w:t>V</w:t>
      </w:r>
      <w:r w:rsidR="0064401C">
        <w:rPr>
          <w:b/>
        </w:rPr>
        <w:t xml:space="preserve">. </w:t>
      </w:r>
      <w:r>
        <w:rPr>
          <w:b/>
        </w:rPr>
        <w:t>Medicine and protest</w:t>
      </w:r>
    </w:p>
    <w:p w:rsidR="0064401C" w:rsidRDefault="0064401C" w:rsidP="00F6292E">
      <w:pPr>
        <w:spacing w:line="360" w:lineRule="auto"/>
      </w:pPr>
      <w:r>
        <w:t xml:space="preserve">Over 40 years ago the French protestant theologian Jacques Ellul argued on theological grounds that attempts such as that of Wen and </w:t>
      </w:r>
      <w:proofErr w:type="spellStart"/>
      <w:r>
        <w:t>Kosowsky</w:t>
      </w:r>
      <w:proofErr w:type="spellEnd"/>
      <w:r>
        <w:t xml:space="preserve"> are especially important in a modern age in trying to provoke common people to think differently about their practices, to push back “upwards” against the systems that impose denuding orders on human life. Ellul’s lifetime interest in the technological society led him to believe that actors at the higher levels of the political and management order were regularly driven, impelled even, to make certain decisions according to the requirements of the technical apparatus of the modern world and the decision-making frameworks that it has embraced. Trends in economic rationalization combined with the technical developments of our age and the resource needs they set up mean that stands on </w:t>
      </w:r>
      <w:r>
        <w:lastRenderedPageBreak/>
        <w:t>principle regarding specific practical policies would, at the political level, invariably be eviscerated by compromises with the dominant ideologies of the age whose power concentrates where decisions are being made according to more abstract criteria.</w:t>
      </w:r>
      <w:r>
        <w:rPr>
          <w:rStyle w:val="FootnoteReference"/>
        </w:rPr>
        <w:footnoteReference w:id="58"/>
      </w:r>
      <w:r>
        <w:t xml:space="preserve"> Like Wen and </w:t>
      </w:r>
      <w:proofErr w:type="spellStart"/>
      <w:r>
        <w:t>Kosowski</w:t>
      </w:r>
      <w:proofErr w:type="spellEnd"/>
      <w:r>
        <w:t xml:space="preserve">, </w:t>
      </w:r>
      <w:proofErr w:type="spellStart"/>
      <w:r>
        <w:t>Ellul</w:t>
      </w:r>
      <w:proofErr w:type="spellEnd"/>
      <w:r>
        <w:t xml:space="preserve"> felt that the people who needed to be addressed to effect change were common people without great education or ambition but who remained open, spontaneous and compassionate. If given a little teaching, “he or she is relatively better prepared than intellectuals, technical experts, and executives to take the values of life seriously.”</w:t>
      </w:r>
      <w:r>
        <w:rPr>
          <w:rStyle w:val="FootnoteReference"/>
        </w:rPr>
        <w:footnoteReference w:id="59"/>
      </w:r>
    </w:p>
    <w:p w:rsidR="0064401C" w:rsidRDefault="0064401C" w:rsidP="00F6292E">
      <w:pPr>
        <w:spacing w:line="360" w:lineRule="auto"/>
      </w:pPr>
      <w:r>
        <w:t>Already in the 1970’s Ellul found this approach even to convince some in the medical sphere, who, feeling the need to resist the closing down of the technocratic cage, “saw that many tests, although highly developed from a technical point of view, are ultimately no more certain than the diagnoses that were one made by more elementary procedures, but demanded greater personal commitment from physicians.”</w:t>
      </w:r>
      <w:r>
        <w:rPr>
          <w:rStyle w:val="FootnoteReference"/>
        </w:rPr>
        <w:footnoteReference w:id="60"/>
      </w:r>
      <w:r>
        <w:t xml:space="preserve"> As Wen and </w:t>
      </w:r>
      <w:proofErr w:type="spellStart"/>
      <w:r>
        <w:t>Kosowsky</w:t>
      </w:r>
      <w:proofErr w:type="spellEnd"/>
      <w:r>
        <w:t xml:space="preserve"> and the CIPOLD report have demonstrated, this observation has only become more pressing in subsequent decades and becomes exponentially more important for those who are statistical outliers and cannot effectively argue their own case. For those who cannot speak or are incapable of placing their bodies in the stance of the modern patient, medical tests seem the only way to gain purchase on a presenting problem. But precisely because they are offered to statistical outliers, such tests are harder to administer and less trustworthy in principle. Thus Ellul’s question must be repeated: will personal effort be invested by medical personnel in order to get to the root of the bodily suffering of mentally disabled people, and what form will such efforts take? It appears that the default setting when this effort is not made is to let disabled people remain outside the system, or to offer “more testing” and pacifying treatments</w:t>
      </w:r>
      <w:r>
        <w:rPr>
          <w:rStyle w:val="FootnoteReference"/>
        </w:rPr>
        <w:footnoteReference w:id="61"/>
      </w:r>
      <w:r>
        <w:t xml:space="preserve"> as alternatives to seeking histories.</w:t>
      </w:r>
      <w:r>
        <w:rPr>
          <w:rStyle w:val="FootnoteReference"/>
        </w:rPr>
        <w:footnoteReference w:id="62"/>
      </w:r>
    </w:p>
    <w:p w:rsidR="0064401C" w:rsidRPr="00C00DD8" w:rsidRDefault="0064401C" w:rsidP="00F6292E">
      <w:pPr>
        <w:spacing w:line="360" w:lineRule="auto"/>
      </w:pPr>
      <w:r>
        <w:t xml:space="preserve"> </w:t>
      </w:r>
      <w:r>
        <w:rPr>
          <w:b/>
        </w:rPr>
        <w:t>V</w:t>
      </w:r>
      <w:r w:rsidR="006F730A">
        <w:rPr>
          <w:b/>
        </w:rPr>
        <w:t>II</w:t>
      </w:r>
      <w:r>
        <w:rPr>
          <w:b/>
        </w:rPr>
        <w:t xml:space="preserve">. </w:t>
      </w:r>
      <w:r w:rsidR="006F730A">
        <w:rPr>
          <w:b/>
        </w:rPr>
        <w:t>Communion as political collaboration</w:t>
      </w:r>
    </w:p>
    <w:p w:rsidR="0064401C" w:rsidRDefault="00BE0B7F" w:rsidP="00F6292E">
      <w:pPr>
        <w:spacing w:line="360" w:lineRule="auto"/>
      </w:pPr>
      <w:r>
        <w:lastRenderedPageBreak/>
        <w:t>We have seen some of the reasons why</w:t>
      </w:r>
      <w:r w:rsidR="006F730A">
        <w:t xml:space="preserve"> modern statistically-oriented practice of modern medicine makes it very difficult to avoid slipping into discussions of healthcare in our societies becoming obsessed with</w:t>
      </w:r>
      <w:r w:rsidR="0064401C">
        <w:t xml:space="preserve"> the “functioning of systems” whether these are bodily or healthcare systems. With the shift into system thinking comes comparisons with other people’s lives that will always be detrimental to people with disabilities. In technical management discourses quality of life as the lived experience of corporeal wellbeing is replaced with a construction called the “quality adjusted life year” in which external measures are understood as able to adjudge a quality of lives (with mental disability being explicitly defined as a poor “quality of life outcome”). This is to break “quality” up into portions to allow lives and even parts of lives to be weighed against one another and then aggregated with the aim of making healthcare systems function more efficiently economically.</w:t>
      </w:r>
      <w:r w:rsidR="0064401C">
        <w:rPr>
          <w:rStyle w:val="FootnoteReference"/>
        </w:rPr>
        <w:footnoteReference w:id="63"/>
      </w:r>
      <w:r w:rsidR="0064401C">
        <w:t xml:space="preserve"> </w:t>
      </w:r>
      <w:r>
        <w:t xml:space="preserve">Theologian </w:t>
      </w:r>
      <w:r w:rsidR="006F730A">
        <w:t xml:space="preserve">Michael </w:t>
      </w:r>
      <w:r w:rsidR="0064401C">
        <w:t>Banner criticizes the inventor of the QUALY, Alan Williams, for having functionalized the language of “quality of life” in the interest of treating systems, primarily the healthcare system: “one detects in Williams’ discussions of this problem not so much a reasonable demand for ‘clear operational guidelines’ as an unreasonable demand for an algorithm.”</w:t>
      </w:r>
      <w:r w:rsidR="0064401C">
        <w:rPr>
          <w:rStyle w:val="FootnoteReference"/>
        </w:rPr>
        <w:footnoteReference w:id="64"/>
      </w:r>
      <w:r w:rsidR="0064401C">
        <w:t xml:space="preserve"> </w:t>
      </w:r>
    </w:p>
    <w:p w:rsidR="0064401C" w:rsidRDefault="0064401C" w:rsidP="00F6292E">
      <w:pPr>
        <w:spacing w:line="360" w:lineRule="auto"/>
      </w:pPr>
      <w:r>
        <w:t xml:space="preserve">Williams, it turns out, is captured by the same devaluation of listening and attention that characterizes system-think in medicine, and has constructed a form of rationality that renders superfluous the listening to the </w:t>
      </w:r>
      <w:r w:rsidRPr="00705CB2">
        <w:rPr>
          <w:i/>
        </w:rPr>
        <w:t>political</w:t>
      </w:r>
      <w:r>
        <w:t xml:space="preserve"> discussions that alone can decide what a given society will count as acceptable healthcare allocation.</w:t>
      </w:r>
      <w:r>
        <w:rPr>
          <w:rStyle w:val="FootnoteReference"/>
        </w:rPr>
        <w:footnoteReference w:id="65"/>
      </w:r>
      <w:r>
        <w:t xml:space="preserve"> Williams’ argument is an expression of the dominance of utilitarian moral theory in policy defining fora devoted to defining the parameters of “rational” healthcare allocation. Banner offers an elegantly simple retort to such utilitarian logic: “</w:t>
      </w:r>
      <w:r>
        <w:rPr>
          <w:i/>
        </w:rPr>
        <w:t>the strength of a patient’s or class of patients claim to health care is not, in any straightforward sense, proportionate to the benefit which will be achieved by the treatment of that patient or class of patients, even though it is not irrelevant in certain circumstances to take note of such benefits</w:t>
      </w:r>
      <w:r>
        <w:t>.”</w:t>
      </w:r>
      <w:r>
        <w:rPr>
          <w:rStyle w:val="FootnoteReference"/>
        </w:rPr>
        <w:footnoteReference w:id="66"/>
      </w:r>
      <w:r>
        <w:t xml:space="preserve"> In short, there are configurations of healthcare systems that we might defend as </w:t>
      </w:r>
      <w:r w:rsidRPr="00430C70">
        <w:rPr>
          <w:i/>
        </w:rPr>
        <w:t>rational</w:t>
      </w:r>
      <w:r>
        <w:t xml:space="preserve">, but which are nevertheless </w:t>
      </w:r>
      <w:r w:rsidRPr="00430C70">
        <w:rPr>
          <w:i/>
        </w:rPr>
        <w:t>unjust</w:t>
      </w:r>
      <w:r>
        <w:t>.</w:t>
      </w:r>
    </w:p>
    <w:p w:rsidR="0064401C" w:rsidRDefault="0064401C" w:rsidP="00F6292E">
      <w:pPr>
        <w:spacing w:line="360" w:lineRule="auto"/>
      </w:pPr>
      <w:r>
        <w:lastRenderedPageBreak/>
        <w:t>Which sorts of healthcare expenditures should be prioritized in healthcare systems is a question that will never be reducible to sheer medical criteria, as the QUALY model assumes. The fact that people do continue to recognize and give care to those who will only minimally benefit from that care, most obviously the elderly and disabled, makes the claim of justice on the shape modern healthcare has taken all the more visible.</w:t>
      </w:r>
      <w:r>
        <w:rPr>
          <w:rStyle w:val="FootnoteReference"/>
        </w:rPr>
        <w:footnoteReference w:id="67"/>
      </w:r>
      <w:r>
        <w:t xml:space="preserve"> To offer the care and attention that will help a stroke patient relearn to button their own shirt may never make sense within reasoning that aims for maximal economic rationalization, but a wide range of people nevertheless do still think this is care worth rendering. Banner suggests that there is a covert understanding of justice at work here which bears explicit articulation: “The point is that in these particular circumstances, where we can do very little, we have a special obligation to do what we can.”</w:t>
      </w:r>
      <w:r>
        <w:rPr>
          <w:rStyle w:val="FootnoteReference"/>
        </w:rPr>
        <w:footnoteReference w:id="68"/>
      </w:r>
    </w:p>
    <w:p w:rsidR="0064401C" w:rsidRDefault="0064401C" w:rsidP="00F6292E">
      <w:pPr>
        <w:spacing w:line="360" w:lineRule="auto"/>
      </w:pPr>
      <w:r>
        <w:t>In order conceptually to explicate this felt obligation of those who care for the most vulnerable, we must forcibly extract it from the configuration of modern medical systems in which it can only appear as an inefficient or unproductive use of healthcare resources. Instead, Banner suggests, we will need to see in such efforts “something which is at the heart of humane medicine as it is at the heart of a humane, or we might just say human society: that is, the expression of a sympathy which asserts a desire to maintain, and does indeed maintain, our kinship and community with those who, through the approach of death or through physical or mental deprivation, stand in different ways on the edges of the most limited and perhaps the most obvious communities, namely the community of those who are fit, strong and productive.”</w:t>
      </w:r>
      <w:r>
        <w:rPr>
          <w:rStyle w:val="FootnoteReference"/>
        </w:rPr>
        <w:footnoteReference w:id="69"/>
      </w:r>
      <w:r>
        <w:t xml:space="preserve"> Banner goes on to suggest that an emphasis on the link between justice and human fidelity can be theologically understood as resting on, and judged by, God’s fidelity to humanity. To care in fidelity to those who seem hopelessly unable to repay us can be understood as a witness to our being cared for by God despite having ourselves been hopelessly broken and resistant to God. It is therefore a response of gratitude which seeks in a special way to remain faithful to individual humans without hope for reward or outcome as God has shown Godself faithful to us.</w:t>
      </w:r>
      <w:r>
        <w:rPr>
          <w:rStyle w:val="FootnoteReference"/>
        </w:rPr>
        <w:footnoteReference w:id="70"/>
      </w:r>
    </w:p>
    <w:p w:rsidR="00CB67C8" w:rsidRDefault="00F6292E" w:rsidP="00F6292E">
      <w:pPr>
        <w:spacing w:line="360" w:lineRule="auto"/>
      </w:pPr>
      <w:r>
        <w:lastRenderedPageBreak/>
        <w:t>If one attend</w:t>
      </w:r>
      <w:r w:rsidR="00145DEB">
        <w:t xml:space="preserve">s any gathering of the families, </w:t>
      </w:r>
      <w:r>
        <w:t xml:space="preserve">carers </w:t>
      </w:r>
      <w:r w:rsidR="00145DEB">
        <w:t xml:space="preserve">or friends </w:t>
      </w:r>
      <w:r>
        <w:t xml:space="preserve">of the severely disabled, </w:t>
      </w:r>
      <w:r w:rsidR="00CB67C8">
        <w:t>from the</w:t>
      </w:r>
      <w:r>
        <w:t xml:space="preserve"> Christmas party </w:t>
      </w:r>
      <w:r w:rsidR="00CB67C8">
        <w:t>to the</w:t>
      </w:r>
      <w:r>
        <w:t xml:space="preserve"> funeral, it will quickly become apparent that the conversations soon and inevitably turn to discussions of how to negotiate the intricacies of healthcare systems. In the United States this discussion often orbits around the severe problem of securing adequate funding for complex care, and in the United Kingdom, to the </w:t>
      </w:r>
      <w:r w:rsidR="00145DEB">
        <w:t>labyrinth</w:t>
      </w:r>
      <w:r>
        <w:t xml:space="preserve"> of </w:t>
      </w:r>
      <w:r w:rsidR="003F7A7A">
        <w:t>Self-Directed Support or Direct Payment infrastructures</w:t>
      </w:r>
      <w:r w:rsidR="00CB67C8">
        <w:t xml:space="preserve">. Those regularly involved in receiving medical and social care also constantly discuss which health care professionals and social workers are close listeners, and which are living by the book and so pay little attention to the narratives carers tell about their children or wards. This process of collective information gathering </w:t>
      </w:r>
      <w:r w:rsidR="00145DEB">
        <w:t xml:space="preserve">and knowledge sharing </w:t>
      </w:r>
      <w:r w:rsidR="00CB67C8">
        <w:t xml:space="preserve">must be understood as a collective process of seeking out sectors of the medical and state apparatus which are more hospitable to the outliers. </w:t>
      </w:r>
    </w:p>
    <w:p w:rsidR="00F6292E" w:rsidRDefault="00CB67C8" w:rsidP="00F6292E">
      <w:pPr>
        <w:spacing w:line="360" w:lineRule="auto"/>
      </w:pPr>
      <w:r>
        <w:t xml:space="preserve">Such conversations are the deepest stratum of politics, because it is out of such forums, in which goods held in common are discovered and shared, that all truly political engagement must come. </w:t>
      </w:r>
      <w:r w:rsidR="00145DEB">
        <w:t>The</w:t>
      </w:r>
      <w:r>
        <w:t xml:space="preserve"> political impact </w:t>
      </w:r>
      <w:r w:rsidR="00145DEB">
        <w:t xml:space="preserve">of such converse </w:t>
      </w:r>
      <w:r>
        <w:t xml:space="preserve">is immediately discernable in two directions. </w:t>
      </w:r>
      <w:r w:rsidR="00145DEB">
        <w:t>M</w:t>
      </w:r>
      <w:r>
        <w:t>ost obviously</w:t>
      </w:r>
      <w:r w:rsidR="00145DEB">
        <w:t xml:space="preserve">, such conversation </w:t>
      </w:r>
      <w:r>
        <w:t xml:space="preserve">prepares parents and carers to more probingly and intelligently advocate for </w:t>
      </w:r>
      <w:r w:rsidR="003F7A7A">
        <w:t>their</w:t>
      </w:r>
      <w:r>
        <w:t xml:space="preserve"> loved ones’ best interests. These conversations groom the forms of perception that </w:t>
      </w:r>
      <w:r w:rsidR="00145DEB">
        <w:t>catalyze the resisting</w:t>
      </w:r>
      <w:r>
        <w:t xml:space="preserve"> voices that Wen, Kowalski and Ellul have called for—which can articulate in concrete healthcare settings why generic care is not enough for this or that perso</w:t>
      </w:r>
      <w:r w:rsidR="003F7A7A">
        <w:t>n. Parents</w:t>
      </w:r>
      <w:r>
        <w:t xml:space="preserve">, carers and friends of the mentally disabled </w:t>
      </w:r>
      <w:r w:rsidR="003F7A7A">
        <w:t>quickly learn</w:t>
      </w:r>
      <w:r>
        <w:t xml:space="preserve"> that those hospitals, schools and government officials who do not listen to carers and companions</w:t>
      </w:r>
      <w:r w:rsidR="003F7A7A">
        <w:t xml:space="preserve"> will almost certainly not be attending closely enough to the fragile and inarticulate lives to whom they are bound. They thus live out of the acute awareness that they need to find actors within the institutions of modern health care who genuinely care—and that this is essentially not only for the flourishing of their loved ones but even, in some cases, for their very survival.</w:t>
      </w:r>
    </w:p>
    <w:p w:rsidR="003F7A7A" w:rsidRDefault="003F7A7A" w:rsidP="00F6292E">
      <w:pPr>
        <w:spacing w:line="360" w:lineRule="auto"/>
      </w:pPr>
      <w:r>
        <w:t xml:space="preserve">The conversations of the gathered community of </w:t>
      </w:r>
      <w:r w:rsidR="00145DEB">
        <w:t>parents</w:t>
      </w:r>
      <w:r>
        <w:t xml:space="preserve"> and carers </w:t>
      </w:r>
      <w:r w:rsidR="00145DEB">
        <w:t xml:space="preserve">thus </w:t>
      </w:r>
      <w:r>
        <w:t xml:space="preserve">confirm Ellul’s insight that the non-expert’s more rounded view of the health of individuals is politically powerful. It is powerful in creating a group in which those who experience and as carers are drawn into the travails of the </w:t>
      </w:r>
      <w:r w:rsidR="00145DEB">
        <w:t>outlier</w:t>
      </w:r>
      <w:r>
        <w:t xml:space="preserve"> can develop their skills as individuals and as a collective pressure group </w:t>
      </w:r>
      <w:r w:rsidR="00145DEB">
        <w:t xml:space="preserve">to </w:t>
      </w:r>
      <w:r>
        <w:t xml:space="preserve">push back against denuding trends in modern healthcare systems. But it is also political in a second more subtle way. Such a community gives succor and encouragement to those in modern </w:t>
      </w:r>
      <w:r>
        <w:lastRenderedPageBreak/>
        <w:t xml:space="preserve">(industrialized) healthcare systems who sense that </w:t>
      </w:r>
      <w:r w:rsidR="00145DEB">
        <w:t xml:space="preserve">somehow </w:t>
      </w:r>
      <w:r>
        <w:t xml:space="preserve">all is not </w:t>
      </w:r>
      <w:r w:rsidR="00145DEB">
        <w:t>quite as it should be</w:t>
      </w:r>
      <w:r>
        <w:t xml:space="preserve">. Where those systems might roll over the non-verbal or inarticulate patent relatively easily, the advocate who speaks on behalf of the patient can help to provoke health care professionals to slow down, to look and listen again. </w:t>
      </w:r>
      <w:r w:rsidR="00145DEB">
        <w:t>In this way advocates</w:t>
      </w:r>
      <w:r>
        <w:t xml:space="preserve"> offer a service to the whole political community. In resisting the smooth and i</w:t>
      </w:r>
      <w:r w:rsidR="00145DEB">
        <w:t>nfinite expansion of standardiz</w:t>
      </w:r>
      <w:r>
        <w:t xml:space="preserve">ing and efficiency-seeking behavior in modern industrialized expertise-driven systems they offer a </w:t>
      </w:r>
      <w:r w:rsidR="00145DEB">
        <w:t>resistance</w:t>
      </w:r>
      <w:r>
        <w:t xml:space="preserve"> that ultimately benefits everyone. For this reason alone Christians ought to consider what it would mean to add their voices as advocates to those who must negotiate the healthcare system </w:t>
      </w:r>
      <w:proofErr w:type="gramStart"/>
      <w:r>
        <w:t>alone.</w:t>
      </w:r>
      <w:proofErr w:type="gramEnd"/>
      <w:r>
        <w:t xml:space="preserve"> The outliers and their carers live under immense stress simply in being non-standard, and as the CIPOLD report so starkly illustrated, it is of no little political import when people become involved in advocacy for “the least of these” in medical contexts.</w:t>
      </w:r>
      <w:r w:rsidR="00145DEB">
        <w:t xml:space="preserve"> Those (rare) churches who, discerning the stresses of securing care for those with mental health issues and mental disabilities, have come alongside individuals and families, offer God’s redemptive embrace to those suffering under the glare of the gods of the age.</w:t>
      </w:r>
    </w:p>
    <w:p w:rsidR="0064401C" w:rsidRDefault="0064401C" w:rsidP="00F6292E">
      <w:pPr>
        <w:spacing w:line="360" w:lineRule="auto"/>
      </w:pPr>
      <w:r>
        <w:t xml:space="preserve">I hope that these considerations will have indicated </w:t>
      </w:r>
      <w:r w:rsidR="00BE0B7F">
        <w:t>why I believe that</w:t>
      </w:r>
      <w:r>
        <w:t xml:space="preserve"> the deepest problematic </w:t>
      </w:r>
      <w:r w:rsidR="00BE0B7F">
        <w:t xml:space="preserve">facing the expertise-dominated field of healthcare today concerns non-standard bodies, but just as importantly the problem of </w:t>
      </w:r>
      <w:r w:rsidRPr="00BE0B7F">
        <w:t>communication</w:t>
      </w:r>
      <w:r w:rsidR="00BE0B7F">
        <w:t xml:space="preserve"> that arise in societies dominated by experts</w:t>
      </w:r>
      <w:r>
        <w:t xml:space="preserve">. Fear and uncertainty inevitably arise when we are in an I-it relation with a “healthcare provider”, as Wen and </w:t>
      </w:r>
      <w:proofErr w:type="spellStart"/>
      <w:r>
        <w:t>Kosowski</w:t>
      </w:r>
      <w:proofErr w:type="spellEnd"/>
      <w:r>
        <w:t xml:space="preserve"> have so sharply articulated. </w:t>
      </w:r>
      <w:r w:rsidR="00BE0B7F">
        <w:t>T</w:t>
      </w:r>
      <w:r>
        <w:t xml:space="preserve">he inequities that are evident in modern healthcare systems are ones that are susceptible to theological analysis because they are intrinsically related to the problem of inter-human </w:t>
      </w:r>
      <w:r w:rsidRPr="001173B3">
        <w:rPr>
          <w:i/>
        </w:rPr>
        <w:t>estrangement</w:t>
      </w:r>
      <w:r>
        <w:t xml:space="preserve">, as it becomes fully intelligible only on the backdrop of human estrangement from God. Skillful healthcare is based on </w:t>
      </w:r>
      <w:proofErr w:type="gramStart"/>
      <w:r>
        <w:t>a recognition</w:t>
      </w:r>
      <w:proofErr w:type="gramEnd"/>
      <w:r>
        <w:t xml:space="preserve"> of </w:t>
      </w:r>
      <w:r w:rsidR="00BE0B7F">
        <w:t>the importance of particularity and diversity, which demands forms of</w:t>
      </w:r>
      <w:r>
        <w:t xml:space="preserve"> communication characterized </w:t>
      </w:r>
      <w:r w:rsidR="00BE0B7F">
        <w:t>by the will to</w:t>
      </w:r>
      <w:r>
        <w:t xml:space="preserve"> open genuine communication and partnership in diagnosis and treatment. The Christian doctrine of the Fall is, in part, an explanation for why we should expect gaps and problems in inter-human communication, and why we so reflexively resist the suggestion that we are not really listening to others. Furthermore, it is also an account of how broken patterns of non-communication can become institutionalized. This explains why, in calling for a renewed appreciation of the importance of attentive communication in providing healthcare, I have emphasized </w:t>
      </w:r>
      <w:r w:rsidR="00BE0B7F">
        <w:t>not only why but how it typically fails people with special needs</w:t>
      </w:r>
      <w:r>
        <w:t xml:space="preserve">. This is why we should also expect, in our age as in any other, that attempts to establish </w:t>
      </w:r>
      <w:r>
        <w:lastRenderedPageBreak/>
        <w:t>compassionate listening will have to battle the regnant rationalities that wish to get on without it—and here the constellation of barriers we face in our age has the unique profile I have tried to bring into view: utilitarian economic rationality, the ideology of expertise, technological and algorithmic systems thinking, bureaucratic processes and fears about legal threats, to name some of the most prominent.</w:t>
      </w:r>
    </w:p>
    <w:p w:rsidR="00023656" w:rsidRDefault="00023656" w:rsidP="00F6292E">
      <w:pPr>
        <w:spacing w:line="360" w:lineRule="auto"/>
      </w:pPr>
      <w:r>
        <w:t xml:space="preserve">These considerations have suggested some of the reasons why </w:t>
      </w:r>
      <w:r w:rsidR="00BE0B7F">
        <w:t xml:space="preserve">I believe </w:t>
      </w:r>
      <w:r>
        <w:t xml:space="preserve">Hauerwas </w:t>
      </w:r>
      <w:r w:rsidR="00BE0B7F">
        <w:t>was</w:t>
      </w:r>
      <w:r>
        <w:t xml:space="preserve"> right to observe </w:t>
      </w:r>
      <w:r w:rsidR="00BE0B7F">
        <w:t xml:space="preserve">some decades ago </w:t>
      </w:r>
      <w:r>
        <w:t>that,</w:t>
      </w:r>
    </w:p>
    <w:p w:rsidR="00023656" w:rsidRDefault="00023656" w:rsidP="00F6292E">
      <w:pPr>
        <w:spacing w:line="360" w:lineRule="auto"/>
        <w:ind w:left="540"/>
      </w:pPr>
      <w:r>
        <w:t xml:space="preserve">Most parents [of disabled children] soon learn not to look for miracles or cures. All they want is to find a competent </w:t>
      </w:r>
      <w:r w:rsidR="00D84992">
        <w:t>pediatrician</w:t>
      </w:r>
      <w:r>
        <w:t xml:space="preserve"> or specialist who will treat their child ‘like a person.’ Unfortunately, parents are often forced to spend a great deal of their time simply trying to find a physician who is able to view their child in this manner.</w:t>
      </w:r>
      <w:r>
        <w:rPr>
          <w:rStyle w:val="FootnoteReference"/>
        </w:rPr>
        <w:footnoteReference w:id="71"/>
      </w:r>
    </w:p>
    <w:p w:rsidR="00023656" w:rsidRDefault="00023656" w:rsidP="00F6292E">
      <w:pPr>
        <w:spacing w:line="360" w:lineRule="auto"/>
      </w:pPr>
      <w:r>
        <w:t>The best parents can hope for, and indeed, all they should hope for, is a proper collaborative discussion where both parents and medical professionals recognize the value of the other’s knowledge. I have surveyed a range of authors who make it clear why this is important. Medicine tends to normalize and so devalue diversity and particularity, while its generality yields the power of knowledge and treatment that parents cannot hope to have on their own. Yet for the reasons we have explored, this happens only rarely because of the challenge it clearly represents to the smooth and efficient functioning of medical care systems and even the medical model itself.</w:t>
      </w:r>
    </w:p>
    <w:p w:rsidR="00023656" w:rsidRDefault="00023656" w:rsidP="00F6292E">
      <w:pPr>
        <w:spacing w:line="360" w:lineRule="auto"/>
      </w:pPr>
      <w:r>
        <w:t xml:space="preserve">I have not explicitly </w:t>
      </w:r>
      <w:r w:rsidR="00BE0B7F">
        <w:t>articulated the basis of every move in</w:t>
      </w:r>
      <w:r>
        <w:t xml:space="preserve"> this account </w:t>
      </w:r>
      <w:r w:rsidR="00BE0B7F">
        <w:t>in</w:t>
      </w:r>
      <w:r>
        <w:t xml:space="preserve"> Christian theological </w:t>
      </w:r>
      <w:r w:rsidR="00BE0B7F">
        <w:t>affirmation, having developed those in detail elsewhere</w:t>
      </w:r>
      <w:r>
        <w:t>.</w:t>
      </w:r>
      <w:r>
        <w:rPr>
          <w:rStyle w:val="FootnoteReference"/>
        </w:rPr>
        <w:footnoteReference w:id="72"/>
      </w:r>
      <w:r>
        <w:t xml:space="preserve"> </w:t>
      </w:r>
      <w:r w:rsidR="00BE0B7F">
        <w:t xml:space="preserve">More would need to be said about how theologically to understand the responsibilities </w:t>
      </w:r>
      <w:r>
        <w:t xml:space="preserve">of both parents </w:t>
      </w:r>
      <w:r w:rsidRPr="00BE0B7F">
        <w:rPr>
          <w:i/>
        </w:rPr>
        <w:t>and</w:t>
      </w:r>
      <w:r>
        <w:t xml:space="preserve"> physicians to advocate for the best interests of the child. </w:t>
      </w:r>
      <w:r w:rsidR="00BE0B7F">
        <w:t>But if we grant that the issue at stake</w:t>
      </w:r>
      <w:r>
        <w:t xml:space="preserve"> is how properly </w:t>
      </w:r>
      <w:r w:rsidR="00BE0B7F">
        <w:t xml:space="preserve">to </w:t>
      </w:r>
      <w:r>
        <w:t>care for created particularities, and the accounts of Berry</w:t>
      </w:r>
      <w:r w:rsidR="00BE0B7F">
        <w:t>, Illich, Ellul,</w:t>
      </w:r>
      <w:r>
        <w:t xml:space="preserve"> and Wen and </w:t>
      </w:r>
      <w:proofErr w:type="spellStart"/>
      <w:r>
        <w:t>Kosowsky</w:t>
      </w:r>
      <w:proofErr w:type="spellEnd"/>
      <w:r>
        <w:t xml:space="preserve">, taken together, reveal that a proper doctrine of creation which valorizes diversity and attending to this diversity should play an important role in deciding how and why doctors and parents should converse and collaborate in the interests of the individual child. By affirming the created </w:t>
      </w:r>
      <w:r w:rsidR="00D84992">
        <w:lastRenderedPageBreak/>
        <w:t>particularities of the child in question</w:t>
      </w:r>
      <w:r>
        <w:t xml:space="preserve"> both parents and doctors are barred from claiming the exhaustive knowledge necessary for genuinely healing</w:t>
      </w:r>
      <w:r w:rsidR="00D84992">
        <w:t xml:space="preserve"> </w:t>
      </w:r>
      <w:r>
        <w:t xml:space="preserve">care. </w:t>
      </w:r>
    </w:p>
    <w:p w:rsidR="00CD4EC1" w:rsidRPr="00CD4EC1" w:rsidRDefault="00023656" w:rsidP="00F6292E">
      <w:pPr>
        <w:spacing w:line="360" w:lineRule="auto"/>
      </w:pPr>
      <w:r>
        <w:t xml:space="preserve">Restating the concerns shared by Berry and Hauerwas in theological terms: in lavishing full and </w:t>
      </w:r>
      <w:r w:rsidR="00D84992">
        <w:t>conscientious</w:t>
      </w:r>
      <w:r>
        <w:t xml:space="preserve"> love on one particular creature in creation, humans are given, whether parents, medical </w:t>
      </w:r>
      <w:r w:rsidR="00D84992">
        <w:t>personnel</w:t>
      </w:r>
      <w:r>
        <w:t xml:space="preserve"> or farmers, special insights in the pathologies and relative faithfulness of the societies they inhabit. Recognizing and valuing the diversity and particularity of creation is a deeply political and theological act. By fully investing themselves in their vocation they challenge those in contiguous vocations to face the ways society’s</w:t>
      </w:r>
      <w:r w:rsidR="005902AF">
        <w:t xml:space="preserve"> self-understandings may be embodied rejections of theological truths. </w:t>
      </w:r>
      <w:proofErr w:type="gramStart"/>
      <w:r w:rsidR="00145DEB">
        <w:t>A church that is drawn by the mentally disabled into speaking up for and with them is engaging in a highly charged political act with wide-ranging implications.</w:t>
      </w:r>
      <w:proofErr w:type="gramEnd"/>
      <w:r w:rsidR="00145DEB">
        <w:t xml:space="preserve"> The scope of these implications</w:t>
      </w:r>
      <w:r w:rsidR="005902AF">
        <w:t xml:space="preserve"> becomes apparent when we come to terms with the difficulties that have been built into modern medicine in recognizing and caring for the God-given diversity of creaturely life.</w:t>
      </w:r>
    </w:p>
    <w:sectPr w:rsidR="00CD4EC1" w:rsidRPr="00CD4EC1">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71C" w:rsidRDefault="0060571C" w:rsidP="009A25A1">
      <w:pPr>
        <w:spacing w:after="0" w:line="240" w:lineRule="auto"/>
      </w:pPr>
      <w:r>
        <w:separator/>
      </w:r>
    </w:p>
  </w:endnote>
  <w:endnote w:type="continuationSeparator" w:id="0">
    <w:p w:rsidR="0060571C" w:rsidRDefault="0060571C" w:rsidP="009A25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0651425"/>
      <w:docPartObj>
        <w:docPartGallery w:val="Page Numbers (Bottom of Page)"/>
        <w:docPartUnique/>
      </w:docPartObj>
    </w:sdtPr>
    <w:sdtEndPr>
      <w:rPr>
        <w:noProof/>
      </w:rPr>
    </w:sdtEndPr>
    <w:sdtContent>
      <w:p w:rsidR="00D6098C" w:rsidRDefault="00D6098C">
        <w:pPr>
          <w:pStyle w:val="Footer"/>
          <w:jc w:val="right"/>
        </w:pPr>
        <w:r>
          <w:fldChar w:fldCharType="begin"/>
        </w:r>
        <w:r>
          <w:instrText xml:space="preserve"> PAGE   \* MERGEFORMAT </w:instrText>
        </w:r>
        <w:r>
          <w:fldChar w:fldCharType="separate"/>
        </w:r>
        <w:r w:rsidR="00AA49A1">
          <w:rPr>
            <w:noProof/>
          </w:rPr>
          <w:t>1</w:t>
        </w:r>
        <w:r>
          <w:rPr>
            <w:noProof/>
          </w:rPr>
          <w:fldChar w:fldCharType="end"/>
        </w:r>
      </w:p>
    </w:sdtContent>
  </w:sdt>
  <w:p w:rsidR="00D6098C" w:rsidRDefault="00D609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71C" w:rsidRDefault="0060571C" w:rsidP="009A25A1">
      <w:pPr>
        <w:spacing w:after="0" w:line="240" w:lineRule="auto"/>
      </w:pPr>
      <w:r>
        <w:separator/>
      </w:r>
    </w:p>
  </w:footnote>
  <w:footnote w:type="continuationSeparator" w:id="0">
    <w:p w:rsidR="0060571C" w:rsidRDefault="0060571C" w:rsidP="009A25A1">
      <w:pPr>
        <w:spacing w:after="0" w:line="240" w:lineRule="auto"/>
      </w:pPr>
      <w:r>
        <w:continuationSeparator/>
      </w:r>
    </w:p>
  </w:footnote>
  <w:footnote w:id="1">
    <w:p w:rsidR="009A25A1" w:rsidRPr="00F807EA" w:rsidRDefault="009A25A1" w:rsidP="009A25A1">
      <w:pPr>
        <w:pStyle w:val="FootnoteText"/>
      </w:pPr>
      <w:r>
        <w:rPr>
          <w:rStyle w:val="FootnoteReference"/>
        </w:rPr>
        <w:footnoteRef/>
      </w:r>
      <w:r>
        <w:t xml:space="preserve"> </w:t>
      </w:r>
      <w:r w:rsidR="00F807EA">
        <w:t xml:space="preserve">Stanley Hauerwas, </w:t>
      </w:r>
      <w:r w:rsidR="00F807EA">
        <w:rPr>
          <w:i/>
        </w:rPr>
        <w:t>Suffering Presence: Theological Reflections on Medicine the Mentally Handicapped, and the Church</w:t>
      </w:r>
      <w:r w:rsidR="00F807EA">
        <w:t xml:space="preserve"> (Edinburgh: T&amp;T Clark, 1989), 200-201.</w:t>
      </w:r>
    </w:p>
  </w:footnote>
  <w:footnote w:id="2">
    <w:p w:rsidR="009A25A1" w:rsidRPr="00E475E5" w:rsidRDefault="009A25A1" w:rsidP="009A25A1">
      <w:pPr>
        <w:pStyle w:val="FootnoteText"/>
      </w:pPr>
      <w:r>
        <w:rPr>
          <w:rStyle w:val="FootnoteReference"/>
        </w:rPr>
        <w:footnoteRef/>
      </w:r>
      <w:r>
        <w:t xml:space="preserve"> </w:t>
      </w:r>
      <w:r w:rsidR="0069063E">
        <w:t xml:space="preserve">Wendell </w:t>
      </w:r>
      <w:r>
        <w:t xml:space="preserve">Berry, </w:t>
      </w:r>
      <w:proofErr w:type="gramStart"/>
      <w:r>
        <w:rPr>
          <w:i/>
        </w:rPr>
        <w:t>The</w:t>
      </w:r>
      <w:proofErr w:type="gramEnd"/>
      <w:r>
        <w:rPr>
          <w:i/>
        </w:rPr>
        <w:t xml:space="preserve"> Unsettling of America</w:t>
      </w:r>
      <w:r w:rsidR="0069063E" w:rsidRPr="0069063E">
        <w:rPr>
          <w:i/>
        </w:rPr>
        <w:t>: Culture &amp; Agriculture</w:t>
      </w:r>
      <w:r w:rsidR="0069063E" w:rsidRPr="007303D7">
        <w:t xml:space="preserve"> </w:t>
      </w:r>
      <w:r w:rsidR="0069063E">
        <w:t>(</w:t>
      </w:r>
      <w:r w:rsidR="0069063E" w:rsidRPr="007303D7">
        <w:t>San Francisco: Sierra Club Books, 1977</w:t>
      </w:r>
      <w:r w:rsidR="0069063E">
        <w:t xml:space="preserve">), </w:t>
      </w:r>
      <w:r>
        <w:t>19.</w:t>
      </w:r>
    </w:p>
  </w:footnote>
  <w:footnote w:id="3">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33.</w:t>
      </w:r>
    </w:p>
  </w:footnote>
  <w:footnote w:id="4">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90.</w:t>
      </w:r>
    </w:p>
  </w:footnote>
  <w:footnote w:id="5">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31.</w:t>
      </w:r>
    </w:p>
  </w:footnote>
  <w:footnote w:id="6">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31.</w:t>
      </w:r>
    </w:p>
  </w:footnote>
  <w:footnote w:id="7">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184-189.</w:t>
      </w:r>
    </w:p>
  </w:footnote>
  <w:footnote w:id="8">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182.</w:t>
      </w:r>
    </w:p>
  </w:footnote>
  <w:footnote w:id="9">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177-178.</w:t>
      </w:r>
    </w:p>
  </w:footnote>
  <w:footnote w:id="10">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33.</w:t>
      </w:r>
    </w:p>
  </w:footnote>
  <w:footnote w:id="11">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35.</w:t>
      </w:r>
    </w:p>
  </w:footnote>
  <w:footnote w:id="12">
    <w:p w:rsidR="009A25A1" w:rsidRDefault="009A25A1" w:rsidP="009A25A1">
      <w:pPr>
        <w:pStyle w:val="FootnoteText"/>
      </w:pPr>
      <w:r>
        <w:rPr>
          <w:rStyle w:val="FootnoteReference"/>
        </w:rPr>
        <w:footnoteRef/>
      </w:r>
      <w:r>
        <w:t xml:space="preserve"> </w:t>
      </w:r>
      <w:smartTag w:uri="urn:schemas-microsoft-com:office:smarttags" w:element="State">
        <w:smartTag w:uri="urn:schemas-microsoft-com:office:smarttags" w:element="place">
          <w:r>
            <w:t>Berry</w:t>
          </w:r>
        </w:smartTag>
      </w:smartTag>
      <w:r>
        <w:t xml:space="preserve">, </w:t>
      </w:r>
      <w:proofErr w:type="gramStart"/>
      <w:r>
        <w:rPr>
          <w:i/>
        </w:rPr>
        <w:t>The</w:t>
      </w:r>
      <w:proofErr w:type="gramEnd"/>
      <w:r>
        <w:rPr>
          <w:i/>
        </w:rPr>
        <w:t xml:space="preserve"> Unsettling of </w:t>
      </w:r>
      <w:smartTag w:uri="urn:schemas-microsoft-com:office:smarttags" w:element="country-region">
        <w:smartTag w:uri="urn:schemas-microsoft-com:office:smarttags" w:element="place">
          <w:r>
            <w:rPr>
              <w:i/>
            </w:rPr>
            <w:t>America</w:t>
          </w:r>
        </w:smartTag>
      </w:smartTag>
      <w:r>
        <w:t>, 31.</w:t>
      </w:r>
    </w:p>
  </w:footnote>
  <w:footnote w:id="13">
    <w:p w:rsidR="00C6662D" w:rsidRPr="00C6662D" w:rsidRDefault="00C6662D">
      <w:pPr>
        <w:pStyle w:val="FootnoteText"/>
      </w:pPr>
      <w:r>
        <w:rPr>
          <w:rStyle w:val="FootnoteReference"/>
        </w:rPr>
        <w:footnoteRef/>
      </w:r>
      <w:r>
        <w:t xml:space="preserve"> Michel Foucault, </w:t>
      </w:r>
      <w:r>
        <w:rPr>
          <w:i/>
        </w:rPr>
        <w:t xml:space="preserve">The Birth of the Clinic: An </w:t>
      </w:r>
      <w:proofErr w:type="spellStart"/>
      <w:r>
        <w:rPr>
          <w:i/>
        </w:rPr>
        <w:t>Archeology</w:t>
      </w:r>
      <w:proofErr w:type="spellEnd"/>
      <w:r>
        <w:rPr>
          <w:i/>
        </w:rPr>
        <w:t xml:space="preserve"> of Medical Perception</w:t>
      </w:r>
      <w:r w:rsidR="002F2978">
        <w:t xml:space="preserve">, A. M. Sheridan Smith trans. (New York: Vintage Books, </w:t>
      </w:r>
      <w:r w:rsidR="00EA2958">
        <w:t>1994</w:t>
      </w:r>
      <w:r w:rsidR="002F2978">
        <w:t>)</w:t>
      </w:r>
      <w:r>
        <w:t>, Ch. 2, esp. p. 35.</w:t>
      </w:r>
    </w:p>
  </w:footnote>
  <w:footnote w:id="14">
    <w:p w:rsidR="00C6662D" w:rsidRPr="00C6662D" w:rsidRDefault="00C6662D">
      <w:pPr>
        <w:pStyle w:val="FootnoteText"/>
      </w:pPr>
      <w:r>
        <w:rPr>
          <w:rStyle w:val="FootnoteReference"/>
        </w:rPr>
        <w:footnoteRef/>
      </w:r>
      <w:r>
        <w:t xml:space="preserve"> </w:t>
      </w:r>
      <w:r w:rsidRPr="00C6662D">
        <w:rPr>
          <w:lang w:val="en-US"/>
        </w:rPr>
        <w:t xml:space="preserve">Foucault, </w:t>
      </w:r>
      <w:proofErr w:type="gramStart"/>
      <w:r w:rsidRPr="00C6662D">
        <w:rPr>
          <w:i/>
          <w:lang w:val="en-US"/>
        </w:rPr>
        <w:t>The</w:t>
      </w:r>
      <w:proofErr w:type="gramEnd"/>
      <w:r w:rsidRPr="00C6662D">
        <w:rPr>
          <w:i/>
          <w:lang w:val="en-US"/>
        </w:rPr>
        <w:t xml:space="preserve"> Birth of the Clinic</w:t>
      </w:r>
      <w:r>
        <w:rPr>
          <w:lang w:val="en-US"/>
        </w:rPr>
        <w:t>, 29-30.</w:t>
      </w:r>
    </w:p>
  </w:footnote>
  <w:footnote w:id="15">
    <w:p w:rsidR="005B47F3" w:rsidRPr="005B47F3" w:rsidRDefault="005B47F3">
      <w:pPr>
        <w:pStyle w:val="FootnoteText"/>
      </w:pPr>
      <w:r>
        <w:rPr>
          <w:rStyle w:val="FootnoteReference"/>
        </w:rPr>
        <w:footnoteRef/>
      </w:r>
      <w:r>
        <w:t xml:space="preserve"> </w:t>
      </w:r>
      <w:r w:rsidRPr="005B47F3">
        <w:rPr>
          <w:lang w:val="en-US"/>
        </w:rPr>
        <w:t xml:space="preserve">Foucault, </w:t>
      </w:r>
      <w:proofErr w:type="gramStart"/>
      <w:r w:rsidRPr="005B47F3">
        <w:rPr>
          <w:i/>
          <w:lang w:val="en-US"/>
        </w:rPr>
        <w:t>The</w:t>
      </w:r>
      <w:proofErr w:type="gramEnd"/>
      <w:r w:rsidRPr="005B47F3">
        <w:rPr>
          <w:i/>
          <w:lang w:val="en-US"/>
        </w:rPr>
        <w:t xml:space="preserve"> Birth of the Clinic</w:t>
      </w:r>
      <w:r>
        <w:rPr>
          <w:lang w:val="en-US"/>
        </w:rPr>
        <w:t>, 102.</w:t>
      </w:r>
    </w:p>
  </w:footnote>
  <w:footnote w:id="16">
    <w:p w:rsidR="009E0A7D" w:rsidRPr="00FB5050" w:rsidRDefault="009E0A7D" w:rsidP="009E0A7D">
      <w:pPr>
        <w:pStyle w:val="FootnoteText"/>
      </w:pPr>
      <w:r w:rsidRPr="00FB5050">
        <w:rPr>
          <w:rStyle w:val="FootnoteReference"/>
        </w:rPr>
        <w:footnoteRef/>
      </w:r>
      <w:r w:rsidRPr="00FB5050">
        <w:t xml:space="preserve"> Though I cannot explore the connection </w:t>
      </w:r>
      <w:r>
        <w:t>here</w:t>
      </w:r>
      <w:r w:rsidRPr="00FB5050">
        <w:t xml:space="preserve">, </w:t>
      </w:r>
      <w:r>
        <w:t>Illich</w:t>
      </w:r>
      <w:r w:rsidRPr="00FB5050">
        <w:t xml:space="preserve"> theological</w:t>
      </w:r>
      <w:r>
        <w:t>ly</w:t>
      </w:r>
      <w:r w:rsidRPr="00FB5050">
        <w:t xml:space="preserve"> inflect</w:t>
      </w:r>
      <w:r>
        <w:t>s</w:t>
      </w:r>
      <w:r w:rsidRPr="00FB5050">
        <w:t xml:space="preserve"> </w:t>
      </w:r>
      <w:r>
        <w:t xml:space="preserve">worries </w:t>
      </w:r>
      <w:r w:rsidRPr="00FB5050">
        <w:t>about the destructive powers of the all-pervasive institutions of the modern world</w:t>
      </w:r>
      <w:r>
        <w:t xml:space="preserve"> similar to</w:t>
      </w:r>
      <w:r w:rsidRPr="00FB5050">
        <w:t xml:space="preserve"> Kafka’s </w:t>
      </w:r>
      <w:r>
        <w:t>observations about</w:t>
      </w:r>
      <w:r w:rsidRPr="00FB5050">
        <w:t xml:space="preserve"> the </w:t>
      </w:r>
      <w:r>
        <w:t xml:space="preserve">moral dilemmas generated by life </w:t>
      </w:r>
      <w:r w:rsidRPr="00FB5050">
        <w:t>in an increasing</w:t>
      </w:r>
      <w:r>
        <w:t>ly bureaucratized west</w:t>
      </w:r>
      <w:r w:rsidRPr="00FB5050">
        <w:t xml:space="preserve">. “[M]y work is an attempt to accept with great sadness the fact of Western culture. [Christopher] Dawson…says that the Church is Europe and Europe is the Church, and I say </w:t>
      </w:r>
      <w:r w:rsidRPr="00FB5050">
        <w:rPr>
          <w:i/>
        </w:rPr>
        <w:t>yes</w:t>
      </w:r>
      <w:r w:rsidRPr="00FB5050">
        <w:t xml:space="preserve">! </w:t>
      </w:r>
      <w:proofErr w:type="spellStart"/>
      <w:r w:rsidRPr="00FB5050">
        <w:rPr>
          <w:i/>
        </w:rPr>
        <w:t>Corruptio</w:t>
      </w:r>
      <w:proofErr w:type="spellEnd"/>
      <w:r w:rsidRPr="00FB5050">
        <w:rPr>
          <w:i/>
        </w:rPr>
        <w:t xml:space="preserve"> </w:t>
      </w:r>
      <w:proofErr w:type="spellStart"/>
      <w:r w:rsidRPr="00FB5050">
        <w:rPr>
          <w:i/>
        </w:rPr>
        <w:t>optimi</w:t>
      </w:r>
      <w:proofErr w:type="spellEnd"/>
      <w:r w:rsidRPr="00FB5050">
        <w:rPr>
          <w:i/>
        </w:rPr>
        <w:t xml:space="preserve"> quae </w:t>
      </w:r>
      <w:proofErr w:type="spellStart"/>
      <w:proofErr w:type="gramStart"/>
      <w:r w:rsidRPr="00FB5050">
        <w:rPr>
          <w:i/>
        </w:rPr>
        <w:t>est</w:t>
      </w:r>
      <w:proofErr w:type="spellEnd"/>
      <w:proofErr w:type="gramEnd"/>
      <w:r w:rsidRPr="00FB5050">
        <w:rPr>
          <w:i/>
        </w:rPr>
        <w:t xml:space="preserve"> </w:t>
      </w:r>
      <w:proofErr w:type="spellStart"/>
      <w:r w:rsidRPr="00FB5050">
        <w:rPr>
          <w:i/>
        </w:rPr>
        <w:t>pessima</w:t>
      </w:r>
      <w:proofErr w:type="spellEnd"/>
      <w:r w:rsidRPr="00FB5050">
        <w:t xml:space="preserve">. [The corruption of the best is the worst.] Through the attempt to insure, to guarantee, to regulate Revelation, the best becomes the worst. … I live also with a sense of profound ambiguity. I can’t do without tradition, but I have to recognize that its institutionalization is the root of an evil deeper than any evil I could have known with my unaided eyes and mind.” Ivan Illich, </w:t>
      </w:r>
      <w:r w:rsidRPr="00FB5050">
        <w:rPr>
          <w:i/>
        </w:rPr>
        <w:t>Rivers North of the Future: The Testament of Ivan Illich, as told to David Caley</w:t>
      </w:r>
      <w:r w:rsidRPr="00FB5050">
        <w:t>, Charles Taylor, for</w:t>
      </w:r>
      <w:r>
        <w:t>e</w:t>
      </w:r>
      <w:r w:rsidRPr="00FB5050">
        <w:t>w</w:t>
      </w:r>
      <w:r>
        <w:t>o</w:t>
      </w:r>
      <w:r w:rsidRPr="00FB5050">
        <w:t>rd (Toronto: Anansi, 2005), xv, brackets and ellipses original.</w:t>
      </w:r>
    </w:p>
  </w:footnote>
  <w:footnote w:id="17">
    <w:p w:rsidR="009E0A7D" w:rsidRPr="00FB5050" w:rsidRDefault="009E0A7D" w:rsidP="009E0A7D">
      <w:pPr>
        <w:pStyle w:val="FootnoteText"/>
      </w:pPr>
      <w:r w:rsidRPr="00FB5050">
        <w:rPr>
          <w:rStyle w:val="FootnoteReference"/>
        </w:rPr>
        <w:footnoteRef/>
      </w:r>
      <w:r w:rsidRPr="00FB5050">
        <w:t xml:space="preserve"> Illich, </w:t>
      </w:r>
      <w:r w:rsidRPr="00FB5050">
        <w:rPr>
          <w:i/>
        </w:rPr>
        <w:t>Rivers North of the Future</w:t>
      </w:r>
      <w:r w:rsidRPr="00FB5050">
        <w:t xml:space="preserve">, 203. </w:t>
      </w:r>
      <w:r>
        <w:t xml:space="preserve">He continues, </w:t>
      </w:r>
      <w:r w:rsidRPr="00FB5050">
        <w:t>“I find … in the history of medicine, an extraordinary possibility of speaking about the transformation in self-perception, and therefore also in the ego, brought about by the certainty with which we accept the instrumental relationship of help and assistance.”</w:t>
      </w:r>
    </w:p>
  </w:footnote>
  <w:footnote w:id="18">
    <w:p w:rsidR="009E0A7D" w:rsidRPr="00FB5050" w:rsidRDefault="009E0A7D" w:rsidP="009E0A7D">
      <w:pPr>
        <w:pStyle w:val="FootnoteText"/>
      </w:pPr>
      <w:r w:rsidRPr="00FB5050">
        <w:rPr>
          <w:rStyle w:val="FootnoteReference"/>
        </w:rPr>
        <w:footnoteRef/>
      </w:r>
      <w:r w:rsidRPr="00FB5050">
        <w:t xml:space="preserve"> Illich, </w:t>
      </w:r>
      <w:r w:rsidRPr="00FB5050">
        <w:rPr>
          <w:i/>
        </w:rPr>
        <w:t>Rivers North of the Future</w:t>
      </w:r>
      <w:r w:rsidRPr="00FB5050">
        <w:t>, 226. “I believe this distinction between tool and user is characteristic of the epoch which I claim came to an end with the 1980s. There is a distance—I use the specific term “</w:t>
      </w:r>
      <w:proofErr w:type="spellStart"/>
      <w:r w:rsidRPr="00FB5050">
        <w:t>distality</w:t>
      </w:r>
      <w:proofErr w:type="spellEnd"/>
      <w:r w:rsidRPr="00FB5050">
        <w:t xml:space="preserve">” between the hand, the operator, and the instrument that performs the task. This </w:t>
      </w:r>
      <w:proofErr w:type="spellStart"/>
      <w:r w:rsidRPr="00FB5050">
        <w:t>distality</w:t>
      </w:r>
      <w:proofErr w:type="spellEnd"/>
      <w:r w:rsidRPr="00FB5050">
        <w:t xml:space="preserve"> disappears again when the hammer and the man, or the dog and the leash held by the man, are conceived as a system. You can no longer say that there is a distance between the operator and the device, because according to systems theory the operator is part of the system which he operates and regulates. … With the increasing dominance of instrumentality during this 800-year period, it became certain, obvious, natural, that wherever something is achieved, it is achieved by means of an instrument. The eye is perceived as an instrument for recording what’s before </w:t>
      </w:r>
      <w:proofErr w:type="gramStart"/>
      <w:r w:rsidRPr="00FB5050">
        <w:t>me,</w:t>
      </w:r>
      <w:proofErr w:type="gramEnd"/>
      <w:r w:rsidRPr="00FB5050">
        <w:t xml:space="preserve"> the hand is conceived and spoken about as an instrument shaped by evolutionary development. Love is an instrument for satisfaction. Just as it becomes almost unthinkable that I should be guided by an ‘ought’ that is not determined by some kind of norm, so it becomes unthinkable that I should pursue a goal without using an instrument for that purpose. In other terms, instrumentality implies an extraordinary intensity of purposefulness within society. And hand-in-hand with the increasing intensity of </w:t>
      </w:r>
      <w:proofErr w:type="spellStart"/>
      <w:r w:rsidRPr="00FB5050">
        <w:t>instrumentalization</w:t>
      </w:r>
      <w:proofErr w:type="spellEnd"/>
      <w:r w:rsidRPr="00FB5050">
        <w:t xml:space="preserve"> in Western society goes a lack of attention to what one </w:t>
      </w:r>
      <w:r>
        <w:t>traditionally called gratuity.”</w:t>
      </w:r>
    </w:p>
  </w:footnote>
  <w:footnote w:id="19">
    <w:p w:rsidR="009E0A7D" w:rsidRPr="00FB5050" w:rsidRDefault="009E0A7D" w:rsidP="009E0A7D">
      <w:pPr>
        <w:pStyle w:val="FootnoteText"/>
      </w:pPr>
      <w:r w:rsidRPr="00FB5050">
        <w:rPr>
          <w:rStyle w:val="FootnoteReference"/>
        </w:rPr>
        <w:footnoteRef/>
      </w:r>
      <w:r w:rsidRPr="00FB5050">
        <w:t xml:space="preserve"> Illich, </w:t>
      </w:r>
      <w:r w:rsidRPr="00FB5050">
        <w:rPr>
          <w:i/>
        </w:rPr>
        <w:t>Rivers North of the Future</w:t>
      </w:r>
      <w:r w:rsidRPr="00FB5050">
        <w:t>, 204.</w:t>
      </w:r>
    </w:p>
  </w:footnote>
  <w:footnote w:id="20">
    <w:p w:rsidR="009E0A7D" w:rsidRPr="00FB5050" w:rsidRDefault="009E0A7D" w:rsidP="009E0A7D">
      <w:pPr>
        <w:pStyle w:val="FootnoteText"/>
      </w:pPr>
      <w:r w:rsidRPr="00FB5050">
        <w:rPr>
          <w:rStyle w:val="FootnoteReference"/>
        </w:rPr>
        <w:footnoteRef/>
      </w:r>
      <w:r w:rsidRPr="00FB5050">
        <w:t xml:space="preserve"> Illich, </w:t>
      </w:r>
      <w:r w:rsidRPr="00FB5050">
        <w:rPr>
          <w:i/>
        </w:rPr>
        <w:t>Rivers North of the Future</w:t>
      </w:r>
      <w:r w:rsidRPr="00FB5050">
        <w:t>, 204.</w:t>
      </w:r>
    </w:p>
  </w:footnote>
  <w:footnote w:id="21">
    <w:p w:rsidR="009E0A7D" w:rsidRPr="00FB5050" w:rsidRDefault="009E0A7D" w:rsidP="009E0A7D">
      <w:pPr>
        <w:pStyle w:val="FootnoteText"/>
      </w:pPr>
      <w:r w:rsidRPr="00FB5050">
        <w:rPr>
          <w:rStyle w:val="FootnoteReference"/>
        </w:rPr>
        <w:footnoteRef/>
      </w:r>
      <w:r w:rsidRPr="00FB5050">
        <w:t xml:space="preserve"> Illich, </w:t>
      </w:r>
      <w:r w:rsidRPr="00FB5050">
        <w:rPr>
          <w:i/>
        </w:rPr>
        <w:t>Rivers North of the Future</w:t>
      </w:r>
      <w:r w:rsidRPr="00FB5050">
        <w:t>, 127.</w:t>
      </w:r>
    </w:p>
  </w:footnote>
  <w:footnote w:id="22">
    <w:p w:rsidR="009E0A7D" w:rsidRPr="00FB5050" w:rsidRDefault="009E0A7D" w:rsidP="009E0A7D">
      <w:pPr>
        <w:pStyle w:val="FootnoteText"/>
      </w:pPr>
      <w:r w:rsidRPr="00FB5050">
        <w:rPr>
          <w:rStyle w:val="FootnoteReference"/>
        </w:rPr>
        <w:footnoteRef/>
      </w:r>
      <w:r w:rsidRPr="00FB5050">
        <w:t xml:space="preserve"> Illich, </w:t>
      </w:r>
      <w:r w:rsidRPr="00FB5050">
        <w:rPr>
          <w:i/>
        </w:rPr>
        <w:t>Rivers North of the Future</w:t>
      </w:r>
      <w:r w:rsidRPr="00FB5050">
        <w:t>, 162.</w:t>
      </w:r>
    </w:p>
  </w:footnote>
  <w:footnote w:id="23">
    <w:p w:rsidR="0064401C" w:rsidRPr="0064401C" w:rsidRDefault="0064401C">
      <w:pPr>
        <w:pStyle w:val="FootnoteText"/>
      </w:pPr>
      <w:r>
        <w:rPr>
          <w:rStyle w:val="FootnoteReference"/>
        </w:rPr>
        <w:footnoteRef/>
      </w:r>
      <w:r>
        <w:t xml:space="preserve"> Foucault, </w:t>
      </w:r>
      <w:proofErr w:type="gramStart"/>
      <w:r>
        <w:rPr>
          <w:i/>
        </w:rPr>
        <w:t>The</w:t>
      </w:r>
      <w:proofErr w:type="gramEnd"/>
      <w:r>
        <w:rPr>
          <w:i/>
        </w:rPr>
        <w:t xml:space="preserve"> Birth of the Clinic</w:t>
      </w:r>
      <w:r>
        <w:t>, 115.</w:t>
      </w:r>
    </w:p>
  </w:footnote>
  <w:footnote w:id="24">
    <w:p w:rsidR="0064401C" w:rsidRPr="00FB5050" w:rsidRDefault="0064401C" w:rsidP="0064401C">
      <w:pPr>
        <w:pStyle w:val="FootnoteText"/>
      </w:pPr>
      <w:r w:rsidRPr="00FB5050">
        <w:rPr>
          <w:rStyle w:val="FootnoteReference"/>
        </w:rPr>
        <w:footnoteRef/>
      </w:r>
      <w:r w:rsidRPr="00FB5050">
        <w:t xml:space="preserve"> The story was first broken by the BBC’s Panorama television show on 31 May 2011. A timeline of the coverage and responses is collected at </w:t>
      </w:r>
      <w:hyperlink r:id="rId1" w:history="1">
        <w:r w:rsidRPr="00D35264">
          <w:rPr>
            <w:rStyle w:val="Hyperlink"/>
            <w:u w:val="none"/>
          </w:rPr>
          <w:t>http://www.bbc.co.uk/news/uk-england-bristol-20078999</w:t>
        </w:r>
      </w:hyperlink>
      <w:r w:rsidRPr="00FB5050">
        <w:t xml:space="preserve"> . On </w:t>
      </w:r>
      <w:r w:rsidRPr="00FB5050">
        <w:rPr>
          <w:lang w:val="en"/>
        </w:rPr>
        <w:t xml:space="preserve">28 March 2013 the UK Department of Health released its report on the scandal, entitled </w:t>
      </w:r>
      <w:r w:rsidRPr="00FB5050">
        <w:rPr>
          <w:i/>
          <w:lang w:val="en"/>
        </w:rPr>
        <w:t>Transforming care: a national response to Winterbourne View hospital</w:t>
      </w:r>
      <w:r w:rsidRPr="00FB5050">
        <w:rPr>
          <w:lang w:val="en"/>
        </w:rPr>
        <w:t xml:space="preserve"> (available at www.gov.uk).</w:t>
      </w:r>
    </w:p>
  </w:footnote>
  <w:footnote w:id="25">
    <w:p w:rsidR="0064401C" w:rsidRPr="00FB5050" w:rsidRDefault="0064401C" w:rsidP="0064401C">
      <w:pPr>
        <w:pStyle w:val="FootnoteText"/>
      </w:pPr>
      <w:r w:rsidRPr="00FB5050">
        <w:rPr>
          <w:rStyle w:val="FootnoteReference"/>
        </w:rPr>
        <w:footnoteRef/>
      </w:r>
      <w:r w:rsidRPr="00FB5050">
        <w:t xml:space="preserve"> Pauline </w:t>
      </w:r>
      <w:proofErr w:type="spellStart"/>
      <w:r w:rsidRPr="00FB5050">
        <w:t>Heslop</w:t>
      </w:r>
      <w:proofErr w:type="spellEnd"/>
      <w:r w:rsidRPr="00FB5050">
        <w:t xml:space="preserve">, Peter Blair, Peter Fleming, Mat </w:t>
      </w:r>
      <w:proofErr w:type="spellStart"/>
      <w:r w:rsidRPr="00FB5050">
        <w:t>Hoghton</w:t>
      </w:r>
      <w:proofErr w:type="spellEnd"/>
      <w:r w:rsidRPr="00FB5050">
        <w:t xml:space="preserve">, Anna Marriott and Lesley Russ, </w:t>
      </w:r>
      <w:r w:rsidRPr="00FB5050">
        <w:rPr>
          <w:i/>
        </w:rPr>
        <w:t>Confidential Inquiry into premature deaths of people with learning disabilities (CIPOLD)</w:t>
      </w:r>
      <w:r w:rsidRPr="00FB5050">
        <w:t>, final report, (Bristol: Norah Fry Research Centre, 2013).</w:t>
      </w:r>
    </w:p>
  </w:footnote>
  <w:footnote w:id="26">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12</w:t>
      </w:r>
      <w:r>
        <w:t xml:space="preserve">, </w:t>
      </w:r>
      <w:r w:rsidRPr="00FB5050">
        <w:t>20.</w:t>
      </w:r>
      <w:proofErr w:type="gramEnd"/>
      <w:r w:rsidRPr="00FB5050">
        <w:t xml:space="preserve"> The survey reviewed all deaths in Bristol, Gloucestershire, North Somerset, South Gloucestershire, Bath and North East Somerset. The authors also noted that several large care institutions in the region had been closed in recent decades and their inhabitants settled in community settings, meaning that the proportion of learning impaired people was statistically marginally higher in this region than the national average.</w:t>
      </w:r>
    </w:p>
  </w:footnote>
  <w:footnote w:id="27">
    <w:p w:rsidR="0064401C" w:rsidRPr="00566E70" w:rsidRDefault="0064401C" w:rsidP="0064401C">
      <w:pPr>
        <w:pStyle w:val="FootnoteText"/>
      </w:pPr>
      <w:r>
        <w:rPr>
          <w:rStyle w:val="FootnoteReference"/>
        </w:rPr>
        <w:footnoteRef/>
      </w:r>
      <w:r>
        <w:t xml:space="preserve"> The CIPOLD authors are keen to stress that the conclusions of this report are by no means new findings, but are all the more disturbing in reiterating criticisms that appeared in earlier official government reports. They comment, (p. 12):  “</w:t>
      </w:r>
      <w:r w:rsidRPr="00566E70">
        <w:rPr>
          <w:i/>
        </w:rPr>
        <w:t>Valuing People</w:t>
      </w:r>
      <w:r>
        <w:t xml:space="preserve"> in 2001 committed the government to exploring the feasibility of establishing a Confidential Inquiry into mortality among people with a learning disability. </w:t>
      </w:r>
      <w:r w:rsidRPr="00566E70">
        <w:rPr>
          <w:i/>
        </w:rPr>
        <w:t>Treat Me Right</w:t>
      </w:r>
      <w:r>
        <w:t xml:space="preserve"> in 2004 concluded that a Confidential Inquiry into the deaths of people with learning disabilities would not only identify the causes of death, but would also be a powerful lever for improvement in the delivery of health services. A Disability Rights Commission report in 2006 considered it ‘alarming’ that little or nothing had been done to implement the recommendations of </w:t>
      </w:r>
      <w:proofErr w:type="spellStart"/>
      <w:r>
        <w:t>Mencap’s</w:t>
      </w:r>
      <w:proofErr w:type="spellEnd"/>
      <w:r>
        <w:t xml:space="preserve"> </w:t>
      </w:r>
      <w:r w:rsidRPr="00566E70">
        <w:rPr>
          <w:i/>
        </w:rPr>
        <w:t>Treat Me Right</w:t>
      </w:r>
      <w:r>
        <w:t xml:space="preserve"> report by those with the power to do so. A Disability Rights Commission report in 2007 criticised the lack of strategic change and prioritisation that had taken place following its report the previous year, calling it ‘quite literally a matter of life and death’. </w:t>
      </w:r>
      <w:r w:rsidRPr="00566E70">
        <w:rPr>
          <w:i/>
        </w:rPr>
        <w:t>Death by Indifference</w:t>
      </w:r>
      <w:r>
        <w:t xml:space="preserve"> described the circumstances surrounding the deaths of six people with learning disabilities while they were in the care of the NHS. It suggested that people with learning disabilities, their families and carers were facing ‘institutional discrimination’ in healthcare services. </w:t>
      </w:r>
      <w:r w:rsidRPr="00566E70">
        <w:rPr>
          <w:i/>
        </w:rPr>
        <w:t>Healthcare for All</w:t>
      </w:r>
      <w:r>
        <w:t xml:space="preserve"> is the report of the Michael Inquiry, which was established to learn lessons from the six cases highlighted in the </w:t>
      </w:r>
      <w:proofErr w:type="spellStart"/>
      <w:r>
        <w:t>Mencap</w:t>
      </w:r>
      <w:proofErr w:type="spellEnd"/>
      <w:r>
        <w:t xml:space="preserve"> report. It reported evidence of ‘a significant level of avoidable suffering and a high likelihood that there are deaths occurring which could be avoided’. It recommended the establishment </w:t>
      </w:r>
      <w:proofErr w:type="gramStart"/>
      <w:r>
        <w:t>of a</w:t>
      </w:r>
      <w:proofErr w:type="gramEnd"/>
      <w:r>
        <w:t xml:space="preserve"> learning disabilities Public Health Observatory, and a time-limited Confidential Inquiry into premature deaths of people with learning disabilities ‘to provide evidence for clinical and professional staff on the extent of the problem and guidance on prevention’.” </w:t>
      </w:r>
    </w:p>
  </w:footnote>
  <w:footnote w:id="28">
    <w:p w:rsidR="0064401C" w:rsidRPr="00FB5050" w:rsidRDefault="0064401C" w:rsidP="0064401C">
      <w:pPr>
        <w:pStyle w:val="FootnoteText"/>
      </w:pPr>
      <w:r w:rsidRPr="00FB5050">
        <w:rPr>
          <w:rStyle w:val="FootnoteReference"/>
        </w:rPr>
        <w:footnoteRef/>
      </w:r>
      <w:r w:rsidRPr="00FB5050">
        <w:t xml:space="preserve"> Unexpected deaths were defined in the study as a “</w:t>
      </w:r>
      <w:r w:rsidRPr="00FB5050">
        <w:rPr>
          <w:i/>
        </w:rPr>
        <w:t>death which was not anticipated as a significant possibility 24 hours before the death or where there was a similarly unexpected collapse leading to or predicating events which led to death</w:t>
      </w:r>
      <w:r w:rsidRPr="00FB5050">
        <w:t xml:space="preserve">”. Using this definition, the Overview Panel adjudged that over half (57%) of deaths were expected, and 43% of the deaths were unexpected” CIPOLD, 34, italics in original. The Panel also found that 42% of the unexpected deaths were preventable. </w:t>
      </w:r>
      <w:proofErr w:type="gramStart"/>
      <w:r w:rsidRPr="00FB5050">
        <w:t>CIPOLD, 28.</w:t>
      </w:r>
      <w:proofErr w:type="gramEnd"/>
    </w:p>
  </w:footnote>
  <w:footnote w:id="29">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2.</w:t>
      </w:r>
      <w:proofErr w:type="gramEnd"/>
      <w:r w:rsidRPr="00FB5050">
        <w:t xml:space="preserve"> 42% of those deemed to have died a premature death had at one time lived in a long-stay institution. “At the time of their deaths, 64% lived in residential care homes, most with 24-hour paid carer support. For 20% of the people with learning disabilities, safeguarding concerns had previously been raised; for a further 8% safeguarding concerns were raised to the CIPOLD review retrospectively—these had not been reported or investigated at any time previously.” </w:t>
      </w:r>
      <w:proofErr w:type="gramStart"/>
      <w:r w:rsidRPr="00FB5050">
        <w:t>CIPOLD, 4.</w:t>
      </w:r>
      <w:proofErr w:type="gramEnd"/>
    </w:p>
  </w:footnote>
  <w:footnote w:id="30">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56.</w:t>
      </w:r>
      <w:proofErr w:type="gramEnd"/>
    </w:p>
  </w:footnote>
  <w:footnote w:id="31">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57.</w:t>
      </w:r>
      <w:proofErr w:type="gramEnd"/>
    </w:p>
  </w:footnote>
  <w:footnote w:id="32">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58.</w:t>
      </w:r>
      <w:proofErr w:type="gramEnd"/>
    </w:p>
  </w:footnote>
  <w:footnote w:id="33">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58.</w:t>
      </w:r>
      <w:proofErr w:type="gramEnd"/>
    </w:p>
  </w:footnote>
  <w:footnote w:id="34">
    <w:p w:rsidR="0064401C" w:rsidRPr="00FB5050" w:rsidRDefault="0064401C" w:rsidP="0064401C">
      <w:pPr>
        <w:pStyle w:val="FootnoteText"/>
      </w:pPr>
      <w:r w:rsidRPr="00FB5050">
        <w:rPr>
          <w:rStyle w:val="FootnoteReference"/>
        </w:rPr>
        <w:footnoteRef/>
      </w:r>
      <w:r w:rsidRPr="00FB5050">
        <w:t xml:space="preserve"> CIPOLD, 63-66.</w:t>
      </w:r>
    </w:p>
  </w:footnote>
  <w:footnote w:id="35">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65.</w:t>
      </w:r>
      <w:proofErr w:type="gramEnd"/>
    </w:p>
  </w:footnote>
  <w:footnote w:id="36">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102.</w:t>
      </w:r>
      <w:proofErr w:type="gramEnd"/>
    </w:p>
  </w:footnote>
  <w:footnote w:id="37">
    <w:p w:rsidR="0064401C" w:rsidRPr="00FB5050" w:rsidRDefault="0064401C" w:rsidP="0064401C">
      <w:pPr>
        <w:pStyle w:val="FootnoteText"/>
      </w:pPr>
      <w:r w:rsidRPr="00FB5050">
        <w:rPr>
          <w:rStyle w:val="FootnoteReference"/>
        </w:rPr>
        <w:footnoteRef/>
      </w:r>
      <w:r w:rsidRPr="00FB5050">
        <w:t xml:space="preserve"> CIPOLD, 66-67.</w:t>
      </w:r>
    </w:p>
  </w:footnote>
  <w:footnote w:id="38">
    <w:p w:rsidR="0064401C" w:rsidRPr="00FB5050" w:rsidRDefault="0064401C" w:rsidP="0064401C">
      <w:pPr>
        <w:pStyle w:val="FootnoteText"/>
      </w:pPr>
      <w:r w:rsidRPr="00FB5050">
        <w:rPr>
          <w:rStyle w:val="FootnoteReference"/>
        </w:rPr>
        <w:footnoteRef/>
      </w:r>
      <w:r w:rsidRPr="00FB5050">
        <w:t xml:space="preserve"> </w:t>
      </w:r>
      <w:proofErr w:type="gramStart"/>
      <w:r w:rsidRPr="00FB5050">
        <w:t>CIPOLD, 83.</w:t>
      </w:r>
      <w:proofErr w:type="gramEnd"/>
    </w:p>
  </w:footnote>
  <w:footnote w:id="39">
    <w:p w:rsidR="0064401C" w:rsidRPr="00FB5050" w:rsidRDefault="0064401C" w:rsidP="0064401C">
      <w:pPr>
        <w:pStyle w:val="FootnoteText"/>
      </w:pPr>
      <w:r w:rsidRPr="00FB5050">
        <w:rPr>
          <w:rStyle w:val="FootnoteReference"/>
        </w:rPr>
        <w:footnoteRef/>
      </w:r>
      <w:r w:rsidRPr="00FB5050">
        <w:t xml:space="preserve"> It is </w:t>
      </w:r>
      <w:r>
        <w:t>suggestive of appropriate responses to the dilemmas under discussion</w:t>
      </w:r>
      <w:r w:rsidRPr="00FB5050">
        <w:t xml:space="preserve"> that simply by reflecting back the state of play in the course of the investigations many healthcare professionals were already beginning to see reasons to adjust their attitudes and </w:t>
      </w:r>
      <w:r>
        <w:t xml:space="preserve">practices. </w:t>
      </w:r>
      <w:proofErr w:type="gramStart"/>
      <w:r>
        <w:t xml:space="preserve">CIPOLD, </w:t>
      </w:r>
      <w:proofErr w:type="spellStart"/>
      <w:r>
        <w:t>ch</w:t>
      </w:r>
      <w:proofErr w:type="spellEnd"/>
      <w:r>
        <w:t xml:space="preserve"> 12, 99ff.</w:t>
      </w:r>
      <w:proofErr w:type="gramEnd"/>
    </w:p>
  </w:footnote>
  <w:footnote w:id="40">
    <w:p w:rsidR="0064401C" w:rsidRPr="00FB5050" w:rsidRDefault="0064401C" w:rsidP="0064401C">
      <w:pPr>
        <w:pStyle w:val="FootnoteText"/>
      </w:pPr>
      <w:r w:rsidRPr="00FB5050">
        <w:rPr>
          <w:rStyle w:val="FootnoteReference"/>
        </w:rPr>
        <w:footnoteRef/>
      </w:r>
      <w:r w:rsidRPr="00FB5050">
        <w:t xml:space="preserve"> </w:t>
      </w:r>
      <w:proofErr w:type="spellStart"/>
      <w:r w:rsidRPr="00FB5050">
        <w:t>Leana</w:t>
      </w:r>
      <w:proofErr w:type="spellEnd"/>
      <w:r w:rsidRPr="00FB5050">
        <w:t xml:space="preserve"> Wen and Joshua </w:t>
      </w:r>
      <w:proofErr w:type="spellStart"/>
      <w:r w:rsidRPr="00FB5050">
        <w:t>Kosowsky</w:t>
      </w:r>
      <w:proofErr w:type="spellEnd"/>
      <w:r w:rsidRPr="00FB5050">
        <w:t xml:space="preserve">, </w:t>
      </w:r>
      <w:r w:rsidRPr="00FB5050">
        <w:rPr>
          <w:i/>
        </w:rPr>
        <w:t>When Doctors Don’t Listen: How to Avoid Misdiagnoses and Unnecessary Tests</w:t>
      </w:r>
      <w:r w:rsidRPr="00FB5050">
        <w:t xml:space="preserve"> (New York: St. Martin’s Press, 2012).</w:t>
      </w:r>
    </w:p>
  </w:footnote>
  <w:footnote w:id="41">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7.</w:t>
      </w:r>
      <w:proofErr w:type="gramEnd"/>
    </w:p>
  </w:footnote>
  <w:footnote w:id="42">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40.</w:t>
      </w:r>
      <w:proofErr w:type="gramEnd"/>
    </w:p>
  </w:footnote>
  <w:footnote w:id="43">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54-55.</w:t>
      </w:r>
      <w:proofErr w:type="gramEnd"/>
    </w:p>
  </w:footnote>
  <w:footnote w:id="44">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58.</w:t>
      </w:r>
      <w:proofErr w:type="gramEnd"/>
    </w:p>
  </w:footnote>
  <w:footnote w:id="45">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109.</w:t>
      </w:r>
      <w:proofErr w:type="gramEnd"/>
    </w:p>
  </w:footnote>
  <w:footnote w:id="46">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xml:space="preserve">, </w:t>
      </w:r>
      <w:r>
        <w:t>106.</w:t>
      </w:r>
      <w:proofErr w:type="gramEnd"/>
      <w:r w:rsidRPr="00FB5050">
        <w:t xml:space="preserve"> </w:t>
      </w:r>
    </w:p>
  </w:footnote>
  <w:footnote w:id="47">
    <w:p w:rsidR="0064401C" w:rsidRPr="00DB607F" w:rsidRDefault="0064401C" w:rsidP="0064401C">
      <w:pPr>
        <w:pStyle w:val="FootnoteText"/>
      </w:pPr>
      <w:r>
        <w:rPr>
          <w:rStyle w:val="FootnoteReference"/>
        </w:rPr>
        <w:footnoteRef/>
      </w:r>
      <w:r>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xml:space="preserve">, </w:t>
      </w:r>
      <w:r w:rsidRPr="00DB607F">
        <w:t>163-164.</w:t>
      </w:r>
      <w:proofErr w:type="gramEnd"/>
    </w:p>
  </w:footnote>
  <w:footnote w:id="48">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8-9.</w:t>
      </w:r>
      <w:proofErr w:type="gramEnd"/>
    </w:p>
  </w:footnote>
  <w:footnote w:id="49">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52.</w:t>
      </w:r>
      <w:proofErr w:type="gramEnd"/>
    </w:p>
  </w:footnote>
  <w:footnote w:id="50">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147, 153, 161.</w:t>
      </w:r>
      <w:proofErr w:type="gramEnd"/>
    </w:p>
  </w:footnote>
  <w:footnote w:id="51">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124.</w:t>
      </w:r>
      <w:proofErr w:type="gramEnd"/>
    </w:p>
  </w:footnote>
  <w:footnote w:id="52">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266.</w:t>
      </w:r>
      <w:proofErr w:type="gramEnd"/>
    </w:p>
  </w:footnote>
  <w:footnote w:id="53">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Abigail </w:t>
      </w:r>
      <w:proofErr w:type="spellStart"/>
      <w:r w:rsidRPr="00FB5050">
        <w:t>Zuger</w:t>
      </w:r>
      <w:proofErr w:type="spellEnd"/>
      <w:r w:rsidRPr="00FB5050">
        <w:t xml:space="preserve">, “A Prescription for Frustration” </w:t>
      </w:r>
      <w:r w:rsidRPr="00FB5050">
        <w:rPr>
          <w:i/>
        </w:rPr>
        <w:t>New York Times</w:t>
      </w:r>
      <w:r w:rsidRPr="00FB5050">
        <w:t xml:space="preserve"> 1 April 2013, accessed on line.</w:t>
      </w:r>
      <w:proofErr w:type="gramEnd"/>
    </w:p>
  </w:footnote>
  <w:footnote w:id="54">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189.</w:t>
      </w:r>
      <w:proofErr w:type="gramEnd"/>
    </w:p>
  </w:footnote>
  <w:footnote w:id="55">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185.</w:t>
      </w:r>
      <w:proofErr w:type="gramEnd"/>
    </w:p>
  </w:footnote>
  <w:footnote w:id="56">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Wen and </w:t>
      </w:r>
      <w:proofErr w:type="spellStart"/>
      <w:r w:rsidRPr="00FB5050">
        <w:t>Kosowsky</w:t>
      </w:r>
      <w:proofErr w:type="spellEnd"/>
      <w:r w:rsidRPr="00FB5050">
        <w:t xml:space="preserve">, </w:t>
      </w:r>
      <w:r w:rsidRPr="00FB5050">
        <w:rPr>
          <w:i/>
        </w:rPr>
        <w:t>When Doctors Don’t Listen</w:t>
      </w:r>
      <w:r w:rsidRPr="00FB5050">
        <w:t>, 215.</w:t>
      </w:r>
      <w:proofErr w:type="gramEnd"/>
    </w:p>
  </w:footnote>
  <w:footnote w:id="57">
    <w:p w:rsidR="00C00DD8" w:rsidRPr="00FB5050" w:rsidRDefault="00C00DD8" w:rsidP="00C00DD8">
      <w:pPr>
        <w:pStyle w:val="FootnoteText"/>
      </w:pPr>
      <w:r w:rsidRPr="00FB5050">
        <w:rPr>
          <w:rStyle w:val="FootnoteReference"/>
        </w:rPr>
        <w:footnoteRef/>
      </w:r>
      <w:r w:rsidRPr="00FB5050">
        <w:t xml:space="preserve"> Illich, </w:t>
      </w:r>
      <w:r w:rsidRPr="00FB5050">
        <w:rPr>
          <w:i/>
        </w:rPr>
        <w:t>Rivers North of the Future</w:t>
      </w:r>
      <w:r w:rsidRPr="00FB5050">
        <w:t>, 131, 161, 166.</w:t>
      </w:r>
    </w:p>
  </w:footnote>
  <w:footnote w:id="58">
    <w:p w:rsidR="0064401C" w:rsidRPr="006F5CD3" w:rsidRDefault="0064401C" w:rsidP="0064401C">
      <w:pPr>
        <w:pStyle w:val="FootnoteText"/>
      </w:pPr>
      <w:r>
        <w:rPr>
          <w:rStyle w:val="FootnoteReference"/>
        </w:rPr>
        <w:footnoteRef/>
      </w:r>
      <w:r>
        <w:t xml:space="preserve"> Cf. Scott Prather, </w:t>
      </w:r>
      <w:r w:rsidRPr="006F5CD3">
        <w:rPr>
          <w:i/>
        </w:rPr>
        <w:t>Christ, Power and Mammon: Karl Barth and John Howard Yoder in Dialogue</w:t>
      </w:r>
      <w:r>
        <w:t xml:space="preserve"> (London: Bloomsbury T&amp;T Clark, 2013), </w:t>
      </w:r>
      <w:proofErr w:type="spellStart"/>
      <w:r>
        <w:t>ch.</w:t>
      </w:r>
      <w:proofErr w:type="spellEnd"/>
      <w:r>
        <w:t xml:space="preserve"> 5.</w:t>
      </w:r>
    </w:p>
  </w:footnote>
  <w:footnote w:id="59">
    <w:p w:rsidR="0064401C" w:rsidRPr="00FB5050" w:rsidRDefault="0064401C" w:rsidP="0064401C">
      <w:pPr>
        <w:pStyle w:val="FootnoteText"/>
      </w:pPr>
      <w:r w:rsidRPr="00FB5050">
        <w:rPr>
          <w:rStyle w:val="FootnoteReference"/>
        </w:rPr>
        <w:footnoteRef/>
      </w:r>
      <w:r w:rsidRPr="00FB5050">
        <w:t xml:space="preserve"> Jacques Ellul, </w:t>
      </w:r>
      <w:r w:rsidRPr="00FB5050">
        <w:rPr>
          <w:i/>
        </w:rPr>
        <w:t>Perspectives on our Age: Jacques Ellul Speaks on His Life and Work</w:t>
      </w:r>
      <w:r w:rsidRPr="00FB5050">
        <w:t xml:space="preserve">, rev. ed., Willem H. </w:t>
      </w:r>
      <w:proofErr w:type="spellStart"/>
      <w:r w:rsidRPr="00FB5050">
        <w:t>Vanderburg</w:t>
      </w:r>
      <w:proofErr w:type="spellEnd"/>
      <w:r w:rsidRPr="00FB5050">
        <w:t>, ed. (Toronto: Anansi, 2004), 64.</w:t>
      </w:r>
      <w:r w:rsidR="00F6292E" w:rsidRPr="00F6292E">
        <w:t xml:space="preserve"> </w:t>
      </w:r>
      <w:r w:rsidR="00F6292E">
        <w:t>For an expanded theological critique of this concept of expertise, see Bernd Wannenwetsch,</w:t>
      </w:r>
      <w:r w:rsidR="00F6292E" w:rsidRPr="00D04944">
        <w:t xml:space="preserve"> “Der </w:t>
      </w:r>
      <w:proofErr w:type="spellStart"/>
      <w:r w:rsidR="00F6292E" w:rsidRPr="00D04944">
        <w:rPr>
          <w:bCs/>
        </w:rPr>
        <w:t>Profi</w:t>
      </w:r>
      <w:proofErr w:type="spellEnd"/>
      <w:r w:rsidR="00F6292E" w:rsidRPr="00D04944">
        <w:t xml:space="preserve">: Mensch </w:t>
      </w:r>
      <w:proofErr w:type="spellStart"/>
      <w:r w:rsidR="00F6292E" w:rsidRPr="00D04944">
        <w:t>ohne</w:t>
      </w:r>
      <w:proofErr w:type="spellEnd"/>
      <w:r w:rsidR="00F6292E" w:rsidRPr="00D04944">
        <w:t xml:space="preserve"> </w:t>
      </w:r>
      <w:proofErr w:type="spellStart"/>
      <w:r w:rsidR="00F6292E" w:rsidRPr="00D04944">
        <w:t>Eigenschaften</w:t>
      </w:r>
      <w:proofErr w:type="spellEnd"/>
      <w:r w:rsidR="00F6292E" w:rsidRPr="00D04944">
        <w:t xml:space="preserve">: </w:t>
      </w:r>
      <w:proofErr w:type="spellStart"/>
      <w:r w:rsidR="00F6292E" w:rsidRPr="00D04944">
        <w:t>Warum</w:t>
      </w:r>
      <w:proofErr w:type="spellEnd"/>
      <w:r w:rsidR="00F6292E" w:rsidRPr="00D04944">
        <w:t xml:space="preserve"> die </w:t>
      </w:r>
      <w:proofErr w:type="spellStart"/>
      <w:r w:rsidR="00F6292E" w:rsidRPr="00D04944">
        <w:t>Kirche</w:t>
      </w:r>
      <w:proofErr w:type="spellEnd"/>
      <w:r w:rsidR="00F6292E" w:rsidRPr="00D04944">
        <w:t xml:space="preserve"> </w:t>
      </w:r>
      <w:proofErr w:type="spellStart"/>
      <w:r w:rsidR="00F6292E" w:rsidRPr="00D04944">
        <w:t>Amageure</w:t>
      </w:r>
      <w:proofErr w:type="spellEnd"/>
      <w:r w:rsidR="00F6292E" w:rsidRPr="00D04944">
        <w:t xml:space="preserve"> </w:t>
      </w:r>
      <w:proofErr w:type="spellStart"/>
      <w:r w:rsidR="00F6292E" w:rsidRPr="00D04944">
        <w:t>braucht</w:t>
      </w:r>
      <w:proofErr w:type="spellEnd"/>
      <w:r w:rsidR="00F6292E" w:rsidRPr="00D04944">
        <w:t xml:space="preserve">.” </w:t>
      </w:r>
      <w:r w:rsidR="00F6292E" w:rsidRPr="006F5CD3">
        <w:rPr>
          <w:lang w:val="nl-NL"/>
        </w:rPr>
        <w:t xml:space="preserve">In </w:t>
      </w:r>
      <w:r w:rsidR="00F6292E" w:rsidRPr="006F5CD3">
        <w:rPr>
          <w:i/>
          <w:lang w:val="nl-NL"/>
        </w:rPr>
        <w:t>Alles ist Nichts: Evangelium Hören II</w:t>
      </w:r>
      <w:r w:rsidR="00F6292E" w:rsidRPr="006F5CD3">
        <w:rPr>
          <w:lang w:val="nl-NL"/>
        </w:rPr>
        <w:t>, edited by Arbeitskreis Kirche in der Marketgesellschaft (Nürnberg, 2001), 45-55.</w:t>
      </w:r>
    </w:p>
  </w:footnote>
  <w:footnote w:id="60">
    <w:p w:rsidR="0064401C" w:rsidRPr="00FB5050" w:rsidRDefault="0064401C" w:rsidP="0064401C">
      <w:pPr>
        <w:pStyle w:val="FootnoteText"/>
      </w:pPr>
      <w:r w:rsidRPr="00FB5050">
        <w:rPr>
          <w:rStyle w:val="FootnoteReference"/>
        </w:rPr>
        <w:footnoteRef/>
      </w:r>
      <w:r w:rsidRPr="00FB5050">
        <w:t xml:space="preserve"> Ellul, </w:t>
      </w:r>
      <w:r w:rsidRPr="00FB5050">
        <w:rPr>
          <w:i/>
        </w:rPr>
        <w:t>Perspectives on our Age</w:t>
      </w:r>
      <w:r w:rsidRPr="00FB5050">
        <w:t>, 65.</w:t>
      </w:r>
    </w:p>
  </w:footnote>
  <w:footnote w:id="61">
    <w:p w:rsidR="0064401C" w:rsidRPr="00FB5050" w:rsidRDefault="0064401C" w:rsidP="0064401C">
      <w:pPr>
        <w:pStyle w:val="FootnoteText"/>
      </w:pPr>
      <w:r w:rsidRPr="00FB5050">
        <w:rPr>
          <w:rStyle w:val="FootnoteReference"/>
        </w:rPr>
        <w:footnoteRef/>
      </w:r>
      <w:r w:rsidRPr="00FB5050">
        <w:t xml:space="preserve"> </w:t>
      </w:r>
      <w:r>
        <w:t>The widespread over prescription of</w:t>
      </w:r>
      <w:r w:rsidRPr="00FB5050">
        <w:t xml:space="preserve"> calming drugs</w:t>
      </w:r>
      <w:r>
        <w:t xml:space="preserve"> (such as </w:t>
      </w:r>
      <w:r w:rsidRPr="00523E6D">
        <w:t>opioid analgesics</w:t>
      </w:r>
      <w:r>
        <w:t>) to people in institutions has been noted by man</w:t>
      </w:r>
      <w:r w:rsidR="00F6292E">
        <w:t xml:space="preserve">y, including the CIPOLD report, </w:t>
      </w:r>
      <w:r>
        <w:t>4</w:t>
      </w:r>
      <w:r w:rsidR="00F6292E">
        <w:t>6</w:t>
      </w:r>
      <w:r>
        <w:t>.</w:t>
      </w:r>
    </w:p>
  </w:footnote>
  <w:footnote w:id="62">
    <w:p w:rsidR="0064401C" w:rsidRPr="00FB5050" w:rsidRDefault="0064401C" w:rsidP="0064401C">
      <w:pPr>
        <w:pStyle w:val="FootnoteText"/>
      </w:pPr>
      <w:r w:rsidRPr="00FB5050">
        <w:rPr>
          <w:rStyle w:val="FootnoteReference"/>
        </w:rPr>
        <w:footnoteRef/>
      </w:r>
      <w:r w:rsidRPr="00FB5050">
        <w:t xml:space="preserve"> Wen and </w:t>
      </w:r>
      <w:proofErr w:type="spellStart"/>
      <w:r w:rsidRPr="00FB5050">
        <w:t>Kososwski</w:t>
      </w:r>
      <w:proofErr w:type="spellEnd"/>
      <w:r w:rsidRPr="00FB5050">
        <w:t xml:space="preserve"> even suggest personalized genetic medicine is a technique that attempts to formalize the replacement of listening to patent’s accounts of their condition</w:t>
      </w:r>
      <w:r w:rsidR="00F6292E">
        <w:t xml:space="preserve"> </w:t>
      </w:r>
      <w:proofErr w:type="spellStart"/>
      <w:r w:rsidR="0069063E" w:rsidRPr="00FB5050">
        <w:t>Leana</w:t>
      </w:r>
      <w:proofErr w:type="spellEnd"/>
      <w:r w:rsidR="0069063E" w:rsidRPr="00FB5050">
        <w:t xml:space="preserve"> Wen and Joshua </w:t>
      </w:r>
      <w:proofErr w:type="spellStart"/>
      <w:r w:rsidR="0069063E" w:rsidRPr="00FB5050">
        <w:t>Kosowsky</w:t>
      </w:r>
      <w:proofErr w:type="spellEnd"/>
      <w:r w:rsidR="0069063E" w:rsidRPr="00FB5050">
        <w:t xml:space="preserve">, </w:t>
      </w:r>
      <w:r w:rsidR="0069063E" w:rsidRPr="00FB5050">
        <w:rPr>
          <w:i/>
        </w:rPr>
        <w:t>When Doctors Don’t Listen: How to Avoid Misdiagnoses and Unnecessary Tests</w:t>
      </w:r>
      <w:r w:rsidR="0069063E" w:rsidRPr="00FB5050">
        <w:t xml:space="preserve"> (New York: St. Martin’s Press, 2012)</w:t>
      </w:r>
      <w:r w:rsidR="00F6292E">
        <w:t>, 146-147</w:t>
      </w:r>
      <w:r w:rsidRPr="00FB5050">
        <w:t xml:space="preserve">. </w:t>
      </w:r>
    </w:p>
  </w:footnote>
  <w:footnote w:id="63">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143, 146-7.</w:t>
      </w:r>
      <w:proofErr w:type="gramEnd"/>
    </w:p>
  </w:footnote>
  <w:footnote w:id="64">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161.</w:t>
      </w:r>
      <w:proofErr w:type="gramEnd"/>
    </w:p>
  </w:footnote>
  <w:footnote w:id="65">
    <w:p w:rsidR="0064401C" w:rsidRPr="00705CB2" w:rsidRDefault="0064401C" w:rsidP="0064401C">
      <w:pPr>
        <w:pStyle w:val="FootnoteText"/>
      </w:pPr>
      <w:r>
        <w:rPr>
          <w:rStyle w:val="FootnoteReference"/>
        </w:rPr>
        <w:footnoteRef/>
      </w:r>
      <w:r>
        <w:t xml:space="preserve"> I have discussed elsewhere the reasons for and mechanisms of the ever expanding reach of this rationality, which is characteristic of trends across contemporary developed societies. See Brian Brock, </w:t>
      </w:r>
      <w:r>
        <w:rPr>
          <w:i/>
        </w:rPr>
        <w:t>Christian Ethics in a Technological Age</w:t>
      </w:r>
      <w:r>
        <w:t xml:space="preserve"> (Grand Rapids: Eerdmans, 2010), 10-18, </w:t>
      </w:r>
      <w:proofErr w:type="gramStart"/>
      <w:r w:rsidRPr="007E5B31">
        <w:rPr>
          <w:i/>
        </w:rPr>
        <w:t>passim</w:t>
      </w:r>
      <w:r>
        <w:t xml:space="preserve"> .</w:t>
      </w:r>
      <w:proofErr w:type="gramEnd"/>
    </w:p>
  </w:footnote>
  <w:footnote w:id="66">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148, italics original.</w:t>
      </w:r>
      <w:proofErr w:type="gramEnd"/>
    </w:p>
  </w:footnote>
  <w:footnote w:id="67">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157.</w:t>
      </w:r>
      <w:proofErr w:type="gramEnd"/>
      <w:r w:rsidRPr="00FB5050">
        <w:t xml:space="preserve"> Another utilitarian, Peter Singer, who famously has advocated for the moral duty to legalize euthanasia, has recently been criticized for his decision to care lavishly for his mother, who is suffering from dementia. See John Swinton, </w:t>
      </w:r>
      <w:r w:rsidRPr="00FB5050">
        <w:rPr>
          <w:i/>
        </w:rPr>
        <w:t>Dementia: Living in the Memories of God</w:t>
      </w:r>
      <w:r w:rsidRPr="00FB5050">
        <w:t xml:space="preserve"> (Grand Rapids: Eerdmans, 2012), 131-134.</w:t>
      </w:r>
    </w:p>
  </w:footnote>
  <w:footnote w:id="68">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158.</w:t>
      </w:r>
      <w:proofErr w:type="gramEnd"/>
    </w:p>
  </w:footnote>
  <w:footnote w:id="69">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158.</w:t>
      </w:r>
      <w:proofErr w:type="gramEnd"/>
    </w:p>
  </w:footnote>
  <w:footnote w:id="70">
    <w:p w:rsidR="0064401C" w:rsidRPr="00FB5050" w:rsidRDefault="0064401C" w:rsidP="0064401C">
      <w:pPr>
        <w:pStyle w:val="FootnoteText"/>
      </w:pPr>
      <w:r w:rsidRPr="00FB5050">
        <w:rPr>
          <w:rStyle w:val="FootnoteReference"/>
        </w:rPr>
        <w:footnoteRef/>
      </w:r>
      <w:r w:rsidRPr="00FB5050">
        <w:t xml:space="preserve"> </w:t>
      </w:r>
      <w:proofErr w:type="gramStart"/>
      <w:r w:rsidRPr="00FB5050">
        <w:t xml:space="preserve">Banner, </w:t>
      </w:r>
      <w:r w:rsidRPr="00FB5050">
        <w:rPr>
          <w:i/>
        </w:rPr>
        <w:t>Christian Ethics and Contemporary Moral Problems</w:t>
      </w:r>
      <w:r w:rsidRPr="00FB5050">
        <w:t>, 159.</w:t>
      </w:r>
      <w:proofErr w:type="gramEnd"/>
    </w:p>
  </w:footnote>
  <w:footnote w:id="71">
    <w:p w:rsidR="00023656" w:rsidRDefault="00023656" w:rsidP="00023656">
      <w:pPr>
        <w:pStyle w:val="FootnoteText"/>
      </w:pPr>
      <w:r>
        <w:rPr>
          <w:rStyle w:val="FootnoteReference"/>
        </w:rPr>
        <w:footnoteRef/>
      </w:r>
      <w:r>
        <w:t xml:space="preserve"> </w:t>
      </w:r>
      <w:proofErr w:type="gramStart"/>
      <w:r>
        <w:t>Reader 168.</w:t>
      </w:r>
      <w:proofErr w:type="gramEnd"/>
    </w:p>
  </w:footnote>
  <w:footnote w:id="72">
    <w:p w:rsidR="00023656" w:rsidRPr="00023656" w:rsidRDefault="00023656">
      <w:pPr>
        <w:pStyle w:val="FootnoteText"/>
      </w:pPr>
      <w:r>
        <w:rPr>
          <w:rStyle w:val="FootnoteReference"/>
        </w:rPr>
        <w:footnoteRef/>
      </w:r>
      <w:r>
        <w:t xml:space="preserve"> </w:t>
      </w:r>
      <w:r w:rsidR="00BE0B7F">
        <w:t>This more detailed account can be found in</w:t>
      </w:r>
      <w:r>
        <w:t xml:space="preserve"> my </w:t>
      </w:r>
      <w:r>
        <w:rPr>
          <w:i/>
        </w:rPr>
        <w:t>Christian Ethics in a Technological Age</w:t>
      </w:r>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EC1"/>
    <w:rsid w:val="0000503F"/>
    <w:rsid w:val="00023656"/>
    <w:rsid w:val="00145DEB"/>
    <w:rsid w:val="00244EE5"/>
    <w:rsid w:val="002D56DD"/>
    <w:rsid w:val="002F2978"/>
    <w:rsid w:val="00385E7F"/>
    <w:rsid w:val="003E1397"/>
    <w:rsid w:val="003F7A7A"/>
    <w:rsid w:val="00407AA7"/>
    <w:rsid w:val="004223B1"/>
    <w:rsid w:val="00455317"/>
    <w:rsid w:val="00461231"/>
    <w:rsid w:val="00481FAC"/>
    <w:rsid w:val="00573A37"/>
    <w:rsid w:val="005902AF"/>
    <w:rsid w:val="005B47F3"/>
    <w:rsid w:val="006036F5"/>
    <w:rsid w:val="0060571C"/>
    <w:rsid w:val="00611FDA"/>
    <w:rsid w:val="0063793B"/>
    <w:rsid w:val="0064401C"/>
    <w:rsid w:val="0069063E"/>
    <w:rsid w:val="006F730A"/>
    <w:rsid w:val="007123F7"/>
    <w:rsid w:val="007D1DB5"/>
    <w:rsid w:val="00883A2C"/>
    <w:rsid w:val="008A403C"/>
    <w:rsid w:val="00913A56"/>
    <w:rsid w:val="009A25A1"/>
    <w:rsid w:val="009E0A7D"/>
    <w:rsid w:val="00A80DE4"/>
    <w:rsid w:val="00AA49A1"/>
    <w:rsid w:val="00B471CA"/>
    <w:rsid w:val="00B90BEA"/>
    <w:rsid w:val="00BE0B7F"/>
    <w:rsid w:val="00C00DD8"/>
    <w:rsid w:val="00C6662D"/>
    <w:rsid w:val="00CB67C8"/>
    <w:rsid w:val="00CD4EC1"/>
    <w:rsid w:val="00D46D80"/>
    <w:rsid w:val="00D6098C"/>
    <w:rsid w:val="00D84992"/>
    <w:rsid w:val="00DE077F"/>
    <w:rsid w:val="00EA2958"/>
    <w:rsid w:val="00F6292E"/>
    <w:rsid w:val="00F807EA"/>
    <w:rsid w:val="00F963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martTagType w:namespaceuri="urn:schemas-microsoft-com:office:smarttags" w:name="St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4EC1"/>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9A25A1"/>
    <w:pPr>
      <w:spacing w:after="0" w:line="240" w:lineRule="auto"/>
    </w:pPr>
    <w:rPr>
      <w:rFonts w:eastAsia="Times New Roman"/>
      <w:sz w:val="20"/>
      <w:szCs w:val="20"/>
      <w:lang w:val="en-GB" w:eastAsia="en-GB"/>
    </w:rPr>
  </w:style>
  <w:style w:type="character" w:customStyle="1" w:styleId="FootnoteTextChar">
    <w:name w:val="Footnote Text Char"/>
    <w:basedOn w:val="DefaultParagraphFont"/>
    <w:link w:val="FootnoteText"/>
    <w:semiHidden/>
    <w:rsid w:val="009A25A1"/>
    <w:rPr>
      <w:rFonts w:ascii="Times New Roman" w:eastAsia="Times New Roman" w:hAnsi="Times New Roman" w:cs="Times New Roman"/>
      <w:sz w:val="20"/>
      <w:szCs w:val="20"/>
      <w:lang w:val="en-GB" w:eastAsia="en-GB"/>
    </w:rPr>
  </w:style>
  <w:style w:type="character" w:styleId="FootnoteReference">
    <w:name w:val="footnote reference"/>
    <w:semiHidden/>
    <w:rsid w:val="009A25A1"/>
    <w:rPr>
      <w:vertAlign w:val="superscript"/>
    </w:rPr>
  </w:style>
  <w:style w:type="paragraph" w:styleId="Header">
    <w:name w:val="header"/>
    <w:basedOn w:val="Normal"/>
    <w:link w:val="HeaderChar"/>
    <w:uiPriority w:val="99"/>
    <w:unhideWhenUsed/>
    <w:rsid w:val="00D609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098C"/>
    <w:rPr>
      <w:rFonts w:ascii="Times New Roman" w:hAnsi="Times New Roman" w:cs="Times New Roman"/>
      <w:sz w:val="24"/>
      <w:szCs w:val="24"/>
    </w:rPr>
  </w:style>
  <w:style w:type="paragraph" w:styleId="Footer">
    <w:name w:val="footer"/>
    <w:basedOn w:val="Normal"/>
    <w:link w:val="FooterChar"/>
    <w:uiPriority w:val="99"/>
    <w:unhideWhenUsed/>
    <w:rsid w:val="00D60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098C"/>
    <w:rPr>
      <w:rFonts w:ascii="Times New Roman" w:hAnsi="Times New Roman" w:cs="Times New Roman"/>
      <w:sz w:val="24"/>
      <w:szCs w:val="24"/>
    </w:rPr>
  </w:style>
  <w:style w:type="character" w:styleId="Hyperlink">
    <w:name w:val="Hyperlink"/>
    <w:uiPriority w:val="99"/>
    <w:unhideWhenUsed/>
    <w:rsid w:val="0064401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4EC1"/>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9A25A1"/>
    <w:pPr>
      <w:spacing w:after="0" w:line="240" w:lineRule="auto"/>
    </w:pPr>
    <w:rPr>
      <w:rFonts w:eastAsia="Times New Roman"/>
      <w:sz w:val="20"/>
      <w:szCs w:val="20"/>
      <w:lang w:val="en-GB" w:eastAsia="en-GB"/>
    </w:rPr>
  </w:style>
  <w:style w:type="character" w:customStyle="1" w:styleId="FootnoteTextChar">
    <w:name w:val="Footnote Text Char"/>
    <w:basedOn w:val="DefaultParagraphFont"/>
    <w:link w:val="FootnoteText"/>
    <w:semiHidden/>
    <w:rsid w:val="009A25A1"/>
    <w:rPr>
      <w:rFonts w:ascii="Times New Roman" w:eastAsia="Times New Roman" w:hAnsi="Times New Roman" w:cs="Times New Roman"/>
      <w:sz w:val="20"/>
      <w:szCs w:val="20"/>
      <w:lang w:val="en-GB" w:eastAsia="en-GB"/>
    </w:rPr>
  </w:style>
  <w:style w:type="character" w:styleId="FootnoteReference">
    <w:name w:val="footnote reference"/>
    <w:semiHidden/>
    <w:rsid w:val="009A25A1"/>
    <w:rPr>
      <w:vertAlign w:val="superscript"/>
    </w:rPr>
  </w:style>
  <w:style w:type="paragraph" w:styleId="Header">
    <w:name w:val="header"/>
    <w:basedOn w:val="Normal"/>
    <w:link w:val="HeaderChar"/>
    <w:uiPriority w:val="99"/>
    <w:unhideWhenUsed/>
    <w:rsid w:val="00D609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098C"/>
    <w:rPr>
      <w:rFonts w:ascii="Times New Roman" w:hAnsi="Times New Roman" w:cs="Times New Roman"/>
      <w:sz w:val="24"/>
      <w:szCs w:val="24"/>
    </w:rPr>
  </w:style>
  <w:style w:type="paragraph" w:styleId="Footer">
    <w:name w:val="footer"/>
    <w:basedOn w:val="Normal"/>
    <w:link w:val="FooterChar"/>
    <w:uiPriority w:val="99"/>
    <w:unhideWhenUsed/>
    <w:rsid w:val="00D60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098C"/>
    <w:rPr>
      <w:rFonts w:ascii="Times New Roman" w:hAnsi="Times New Roman" w:cs="Times New Roman"/>
      <w:sz w:val="24"/>
      <w:szCs w:val="24"/>
    </w:rPr>
  </w:style>
  <w:style w:type="character" w:styleId="Hyperlink">
    <w:name w:val="Hyperlink"/>
    <w:uiPriority w:val="99"/>
    <w:unhideWhenUsed/>
    <w:rsid w:val="0064401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bbc.co.uk/news/uk-england-bristol-200789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214</TotalTime>
  <Pages>26</Pages>
  <Words>8764</Words>
  <Characters>49956</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Cex</dc:creator>
  <cp:lastModifiedBy>Brock, Brian R.</cp:lastModifiedBy>
  <cp:revision>19</cp:revision>
  <dcterms:created xsi:type="dcterms:W3CDTF">2014-09-02T08:38:00Z</dcterms:created>
  <dcterms:modified xsi:type="dcterms:W3CDTF">2015-07-16T16:24:00Z</dcterms:modified>
</cp:coreProperties>
</file>