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drawings/drawing1.xml" ContentType="application/vnd.openxmlformats-officedocument.drawingml.chartshapes+xml"/>
  <Override PartName="/word/charts/chart3.xml" ContentType="application/vnd.openxmlformats-officedocument.drawingml.chart+xml"/>
  <Override PartName="/word/charts/chart4.xml" ContentType="application/vnd.openxmlformats-officedocument.drawingml.chart+xml"/>
  <Override PartName="/word/drawings/drawing2.xml" ContentType="application/vnd.openxmlformats-officedocument.drawingml.chartshapes+xml"/>
  <Override PartName="/word/charts/chart5.xml" ContentType="application/vnd.openxmlformats-officedocument.drawingml.chart+xml"/>
  <Override PartName="/word/charts/chart6.xml" ContentType="application/vnd.openxmlformats-officedocument.drawingml.chart+xml"/>
  <Override PartName="/word/drawings/drawing3.xml" ContentType="application/vnd.openxmlformats-officedocument.drawingml.chartshapes+xml"/>
  <Override PartName="/word/charts/chart7.xml" ContentType="application/vnd.openxmlformats-officedocument.drawingml.chart+xml"/>
  <Override PartName="/word/drawings/drawing4.xml" ContentType="application/vnd.openxmlformats-officedocument.drawingml.chartshapes+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E58E03B" w14:textId="77777777" w:rsidR="0098753B" w:rsidRPr="00C64BF5" w:rsidRDefault="0098753B" w:rsidP="00A6498C">
      <w:pPr>
        <w:pStyle w:val="Heading1"/>
        <w:rPr>
          <w:lang w:val="en-US"/>
        </w:rPr>
      </w:pPr>
      <w:r w:rsidRPr="00C64BF5">
        <w:rPr>
          <w:lang w:val="en-US"/>
        </w:rPr>
        <w:t>Title:</w:t>
      </w:r>
    </w:p>
    <w:p w14:paraId="229EFCD2" w14:textId="1D6658ED" w:rsidR="00D97D81" w:rsidRPr="00C64BF5" w:rsidRDefault="008005BB" w:rsidP="0098753B">
      <w:pPr>
        <w:rPr>
          <w:lang w:val="en-US"/>
        </w:rPr>
      </w:pPr>
      <w:r w:rsidRPr="00C64BF5">
        <w:rPr>
          <w:lang w:val="en-US"/>
        </w:rPr>
        <w:t>A</w:t>
      </w:r>
      <w:r w:rsidR="009519E7" w:rsidRPr="00C64BF5">
        <w:rPr>
          <w:lang w:val="en-US"/>
        </w:rPr>
        <w:t>ccelerat</w:t>
      </w:r>
      <w:r w:rsidRPr="00C64BF5">
        <w:rPr>
          <w:lang w:val="en-US"/>
        </w:rPr>
        <w:t>ing</w:t>
      </w:r>
      <w:r w:rsidR="009519E7" w:rsidRPr="00C64BF5">
        <w:rPr>
          <w:lang w:val="en-US"/>
        </w:rPr>
        <w:t xml:space="preserve"> </w:t>
      </w:r>
      <w:r w:rsidRPr="00C64BF5">
        <w:rPr>
          <w:lang w:val="en-US"/>
        </w:rPr>
        <w:t xml:space="preserve">the transformation to </w:t>
      </w:r>
      <w:r w:rsidR="009519E7" w:rsidRPr="00C64BF5">
        <w:rPr>
          <w:lang w:val="en-US"/>
        </w:rPr>
        <w:t>low carbon</w:t>
      </w:r>
      <w:r w:rsidR="00D67197">
        <w:rPr>
          <w:lang w:val="en-US"/>
        </w:rPr>
        <w:t xml:space="preserve"> passenger transport system</w:t>
      </w:r>
      <w:r w:rsidRPr="00C64BF5">
        <w:rPr>
          <w:lang w:val="en-US"/>
        </w:rPr>
        <w:t xml:space="preserve">: the role of </w:t>
      </w:r>
      <w:r w:rsidR="00206DCC" w:rsidRPr="00C64BF5">
        <w:rPr>
          <w:lang w:val="en-US"/>
        </w:rPr>
        <w:t>car</w:t>
      </w:r>
      <w:r w:rsidRPr="00C64BF5">
        <w:rPr>
          <w:lang w:val="en-US"/>
        </w:rPr>
        <w:t xml:space="preserve"> purchase taxes, feebates, </w:t>
      </w:r>
      <w:r w:rsidR="00C00928" w:rsidRPr="00C64BF5">
        <w:rPr>
          <w:lang w:val="en-US"/>
        </w:rPr>
        <w:t>road</w:t>
      </w:r>
      <w:r w:rsidRPr="00C64BF5">
        <w:rPr>
          <w:lang w:val="en-US"/>
        </w:rPr>
        <w:t xml:space="preserve"> taxes and scrappage incentives </w:t>
      </w:r>
      <w:r w:rsidR="00D67197">
        <w:rPr>
          <w:lang w:val="en-US"/>
        </w:rPr>
        <w:t>in the UK</w:t>
      </w:r>
    </w:p>
    <w:p w14:paraId="4855BF68" w14:textId="77777777" w:rsidR="00D97D81" w:rsidRPr="00C64BF5" w:rsidRDefault="00D97D81" w:rsidP="0098753B">
      <w:pPr>
        <w:rPr>
          <w:lang w:val="en-US"/>
        </w:rPr>
      </w:pPr>
    </w:p>
    <w:p w14:paraId="1C9CDEB0" w14:textId="77777777" w:rsidR="0098753B" w:rsidRPr="00C64BF5" w:rsidRDefault="0098753B" w:rsidP="00A6498C">
      <w:pPr>
        <w:pStyle w:val="Heading1"/>
        <w:rPr>
          <w:lang w:val="en-US"/>
        </w:rPr>
      </w:pPr>
      <w:r w:rsidRPr="00C64BF5">
        <w:rPr>
          <w:lang w:val="en-US"/>
        </w:rPr>
        <w:t>Authors:</w:t>
      </w:r>
    </w:p>
    <w:p w14:paraId="4917BA9D" w14:textId="77777777" w:rsidR="009519E7" w:rsidRPr="00C64BF5" w:rsidRDefault="009519E7" w:rsidP="0098753B">
      <w:pPr>
        <w:rPr>
          <w:lang w:val="en-US"/>
        </w:rPr>
      </w:pPr>
      <w:proofErr w:type="spellStart"/>
      <w:r w:rsidRPr="00C64BF5">
        <w:rPr>
          <w:lang w:val="en-US"/>
        </w:rPr>
        <w:t>Dr</w:t>
      </w:r>
      <w:proofErr w:type="spellEnd"/>
      <w:r w:rsidRPr="00C64BF5">
        <w:rPr>
          <w:lang w:val="en-US"/>
        </w:rPr>
        <w:t xml:space="preserve"> Christian Brand</w:t>
      </w:r>
      <w:r w:rsidR="00C254CB" w:rsidRPr="00C64BF5">
        <w:rPr>
          <w:lang w:val="en-US"/>
        </w:rPr>
        <w:t xml:space="preserve"> </w:t>
      </w:r>
      <w:r w:rsidR="00C254CB" w:rsidRPr="00C64BF5">
        <w:rPr>
          <w:vertAlign w:val="superscript"/>
          <w:lang w:val="en-US"/>
        </w:rPr>
        <w:t>a,</w:t>
      </w:r>
      <w:r w:rsidR="005D11F4" w:rsidRPr="00C64BF5">
        <w:rPr>
          <w:vertAlign w:val="superscript"/>
          <w:lang w:val="en-US"/>
        </w:rPr>
        <w:t>*</w:t>
      </w:r>
      <w:r w:rsidR="00C254CB" w:rsidRPr="00C64BF5">
        <w:rPr>
          <w:lang w:val="en-US"/>
        </w:rPr>
        <w:t xml:space="preserve">, </w:t>
      </w:r>
      <w:proofErr w:type="spellStart"/>
      <w:r w:rsidR="00C254CB" w:rsidRPr="00C64BF5">
        <w:rPr>
          <w:lang w:val="en-US"/>
        </w:rPr>
        <w:t>Dr</w:t>
      </w:r>
      <w:proofErr w:type="spellEnd"/>
      <w:r w:rsidR="00C254CB" w:rsidRPr="00C64BF5">
        <w:rPr>
          <w:lang w:val="en-US"/>
        </w:rPr>
        <w:t xml:space="preserve"> Jillian </w:t>
      </w:r>
      <w:proofErr w:type="spellStart"/>
      <w:r w:rsidR="00C254CB" w:rsidRPr="00C64BF5">
        <w:rPr>
          <w:lang w:val="en-US"/>
        </w:rPr>
        <w:t>Anable</w:t>
      </w:r>
      <w:proofErr w:type="spellEnd"/>
      <w:r w:rsidR="00C254CB" w:rsidRPr="00C64BF5">
        <w:rPr>
          <w:lang w:val="en-US"/>
        </w:rPr>
        <w:t xml:space="preserve"> </w:t>
      </w:r>
      <w:r w:rsidR="00C254CB" w:rsidRPr="00C64BF5">
        <w:rPr>
          <w:vertAlign w:val="superscript"/>
          <w:lang w:val="en-US"/>
        </w:rPr>
        <w:t>b</w:t>
      </w:r>
      <w:r w:rsidR="00C254CB" w:rsidRPr="00C64BF5">
        <w:rPr>
          <w:lang w:val="en-US"/>
        </w:rPr>
        <w:t xml:space="preserve"> and </w:t>
      </w:r>
      <w:proofErr w:type="spellStart"/>
      <w:r w:rsidR="001B1085">
        <w:rPr>
          <w:lang w:val="en-US"/>
        </w:rPr>
        <w:t>Dr</w:t>
      </w:r>
      <w:proofErr w:type="spellEnd"/>
      <w:r w:rsidR="001B1085">
        <w:rPr>
          <w:lang w:val="en-US"/>
        </w:rPr>
        <w:t xml:space="preserve"> </w:t>
      </w:r>
      <w:r w:rsidR="00C254CB" w:rsidRPr="00C64BF5">
        <w:rPr>
          <w:lang w:val="en-US"/>
        </w:rPr>
        <w:t xml:space="preserve">Martino Tran </w:t>
      </w:r>
      <w:r w:rsidR="00C254CB" w:rsidRPr="00C64BF5">
        <w:rPr>
          <w:vertAlign w:val="superscript"/>
          <w:lang w:val="en-US"/>
        </w:rPr>
        <w:t>c</w:t>
      </w:r>
    </w:p>
    <w:p w14:paraId="2E5EE71D" w14:textId="77777777" w:rsidR="00C254CB" w:rsidRPr="00C64BF5" w:rsidRDefault="00C254CB" w:rsidP="0098753B">
      <w:pPr>
        <w:rPr>
          <w:vertAlign w:val="superscript"/>
          <w:lang w:val="en-US"/>
        </w:rPr>
      </w:pPr>
    </w:p>
    <w:p w14:paraId="09D5015B" w14:textId="77777777" w:rsidR="005D11F4" w:rsidRPr="00C64BF5" w:rsidRDefault="00C254CB" w:rsidP="0098753B">
      <w:pPr>
        <w:rPr>
          <w:lang w:val="en-US"/>
        </w:rPr>
      </w:pPr>
      <w:proofErr w:type="spellStart"/>
      <w:proofErr w:type="gramStart"/>
      <w:r w:rsidRPr="00C64BF5">
        <w:rPr>
          <w:vertAlign w:val="superscript"/>
          <w:lang w:val="en-US"/>
        </w:rPr>
        <w:t>a</w:t>
      </w:r>
      <w:proofErr w:type="spellEnd"/>
      <w:proofErr w:type="gramEnd"/>
      <w:r w:rsidRPr="00C64BF5">
        <w:rPr>
          <w:vertAlign w:val="superscript"/>
          <w:lang w:val="en-US"/>
        </w:rPr>
        <w:t xml:space="preserve"> </w:t>
      </w:r>
      <w:r w:rsidR="009519E7" w:rsidRPr="00C64BF5">
        <w:rPr>
          <w:lang w:val="en-US"/>
        </w:rPr>
        <w:t>Environmental Change Institute</w:t>
      </w:r>
      <w:r w:rsidR="005D11F4" w:rsidRPr="00C64BF5">
        <w:rPr>
          <w:lang w:val="en-US"/>
        </w:rPr>
        <w:t xml:space="preserve">, </w:t>
      </w:r>
      <w:r w:rsidR="009519E7" w:rsidRPr="00C64BF5">
        <w:rPr>
          <w:lang w:val="en-US"/>
        </w:rPr>
        <w:t>University of Oxford</w:t>
      </w:r>
    </w:p>
    <w:p w14:paraId="4BA1ADEA" w14:textId="77777777" w:rsidR="005D11F4" w:rsidRPr="00C64BF5" w:rsidRDefault="009519E7" w:rsidP="0098753B">
      <w:pPr>
        <w:rPr>
          <w:lang w:val="en-US"/>
        </w:rPr>
      </w:pPr>
      <w:r w:rsidRPr="00C64BF5">
        <w:rPr>
          <w:lang w:val="en-US"/>
        </w:rPr>
        <w:t>South Parks Road, Oxford, OX1 3QY</w:t>
      </w:r>
      <w:r w:rsidR="005D11F4" w:rsidRPr="00C64BF5">
        <w:rPr>
          <w:lang w:val="en-US"/>
        </w:rPr>
        <w:t>, UK</w:t>
      </w:r>
    </w:p>
    <w:p w14:paraId="1499CA25" w14:textId="77777777" w:rsidR="009519E7" w:rsidRPr="00C64BF5" w:rsidRDefault="009519E7" w:rsidP="0098753B">
      <w:pPr>
        <w:rPr>
          <w:lang w:val="en-US"/>
        </w:rPr>
      </w:pPr>
      <w:r w:rsidRPr="00C64BF5">
        <w:rPr>
          <w:lang w:val="en-US"/>
        </w:rPr>
        <w:t>Email</w:t>
      </w:r>
      <w:r w:rsidR="005D11F4" w:rsidRPr="00C64BF5">
        <w:rPr>
          <w:lang w:val="en-US"/>
        </w:rPr>
        <w:t xml:space="preserve">: </w:t>
      </w:r>
      <w:hyperlink r:id="rId9" w:history="1">
        <w:r w:rsidR="005D11F4" w:rsidRPr="00C64BF5">
          <w:rPr>
            <w:rStyle w:val="Hyperlink"/>
            <w:lang w:val="en-US"/>
          </w:rPr>
          <w:t>christian.brand@ouce.ox.ac.uk</w:t>
        </w:r>
      </w:hyperlink>
      <w:r w:rsidR="005D11F4" w:rsidRPr="00C64BF5">
        <w:rPr>
          <w:lang w:val="en-US"/>
        </w:rPr>
        <w:t xml:space="preserve"> </w:t>
      </w:r>
    </w:p>
    <w:p w14:paraId="6AECA2A3" w14:textId="77777777" w:rsidR="00C254CB" w:rsidRPr="00C64BF5" w:rsidRDefault="00C254CB" w:rsidP="0098753B">
      <w:pPr>
        <w:rPr>
          <w:lang w:val="en-US"/>
        </w:rPr>
      </w:pPr>
      <w:r w:rsidRPr="00C64BF5">
        <w:rPr>
          <w:lang w:val="en-US"/>
        </w:rPr>
        <w:t>T: +44 (0)1865 285177</w:t>
      </w:r>
    </w:p>
    <w:p w14:paraId="13284612" w14:textId="77777777" w:rsidR="009519E7" w:rsidRPr="00C64BF5" w:rsidRDefault="009519E7" w:rsidP="0098753B">
      <w:pPr>
        <w:rPr>
          <w:lang w:val="en-US"/>
        </w:rPr>
      </w:pPr>
    </w:p>
    <w:p w14:paraId="0B14E7F3" w14:textId="77777777" w:rsidR="00A6498C" w:rsidRPr="00C64BF5" w:rsidRDefault="00C254CB" w:rsidP="00A6498C">
      <w:pPr>
        <w:rPr>
          <w:lang w:val="en-US"/>
        </w:rPr>
      </w:pPr>
      <w:proofErr w:type="gramStart"/>
      <w:r w:rsidRPr="00C64BF5">
        <w:rPr>
          <w:vertAlign w:val="superscript"/>
          <w:lang w:val="en-US"/>
        </w:rPr>
        <w:t>b</w:t>
      </w:r>
      <w:proofErr w:type="gramEnd"/>
      <w:r w:rsidRPr="00C64BF5">
        <w:rPr>
          <w:vertAlign w:val="superscript"/>
          <w:lang w:val="en-US"/>
        </w:rPr>
        <w:t xml:space="preserve"> </w:t>
      </w:r>
      <w:r w:rsidR="00A6498C" w:rsidRPr="00C64BF5">
        <w:rPr>
          <w:lang w:val="en-US"/>
        </w:rPr>
        <w:t>The Centre for Transport Research, University of Aberdeen</w:t>
      </w:r>
    </w:p>
    <w:p w14:paraId="3C130CBA" w14:textId="77777777" w:rsidR="00A6498C" w:rsidRPr="00C64BF5" w:rsidRDefault="00A6498C" w:rsidP="00A6498C">
      <w:pPr>
        <w:rPr>
          <w:lang w:val="en-US"/>
        </w:rPr>
      </w:pPr>
      <w:r w:rsidRPr="00C64BF5">
        <w:rPr>
          <w:lang w:val="en-US"/>
        </w:rPr>
        <w:t xml:space="preserve">St Mary’s, </w:t>
      </w:r>
      <w:proofErr w:type="spellStart"/>
      <w:r w:rsidRPr="00C64BF5">
        <w:rPr>
          <w:lang w:val="en-US"/>
        </w:rPr>
        <w:t>Elphinstone</w:t>
      </w:r>
      <w:proofErr w:type="spellEnd"/>
      <w:r w:rsidRPr="00C64BF5">
        <w:rPr>
          <w:lang w:val="en-US"/>
        </w:rPr>
        <w:t xml:space="preserve"> Road, Aberdeen, AB24 3UF, UK</w:t>
      </w:r>
    </w:p>
    <w:p w14:paraId="41DBFEEE" w14:textId="77777777" w:rsidR="00A6498C" w:rsidRPr="00C64BF5" w:rsidRDefault="00A6498C" w:rsidP="00A6498C">
      <w:pPr>
        <w:rPr>
          <w:lang w:val="en-US"/>
        </w:rPr>
      </w:pPr>
      <w:r w:rsidRPr="00C64BF5">
        <w:rPr>
          <w:lang w:val="en-US"/>
        </w:rPr>
        <w:t xml:space="preserve">Email: </w:t>
      </w:r>
      <w:hyperlink r:id="rId10" w:history="1">
        <w:r w:rsidRPr="00C64BF5">
          <w:rPr>
            <w:rStyle w:val="Hyperlink"/>
            <w:lang w:val="en-US"/>
          </w:rPr>
          <w:t>j.anable@abdn.ac.uk</w:t>
        </w:r>
      </w:hyperlink>
      <w:r w:rsidRPr="00C64BF5">
        <w:rPr>
          <w:lang w:val="en-US"/>
        </w:rPr>
        <w:t xml:space="preserve"> </w:t>
      </w:r>
    </w:p>
    <w:p w14:paraId="2FCFD59E" w14:textId="77777777" w:rsidR="00C254CB" w:rsidRPr="00C64BF5" w:rsidRDefault="00C254CB" w:rsidP="00A6498C">
      <w:pPr>
        <w:rPr>
          <w:lang w:val="en-US"/>
        </w:rPr>
      </w:pPr>
      <w:r w:rsidRPr="00C64BF5">
        <w:rPr>
          <w:lang w:val="en-US"/>
        </w:rPr>
        <w:t>T: +44 (0)1224 273795</w:t>
      </w:r>
    </w:p>
    <w:p w14:paraId="5342CA1E" w14:textId="77777777" w:rsidR="00A6498C" w:rsidRPr="00C64BF5" w:rsidRDefault="00A6498C" w:rsidP="0098753B">
      <w:pPr>
        <w:rPr>
          <w:lang w:val="en-US"/>
        </w:rPr>
      </w:pPr>
    </w:p>
    <w:p w14:paraId="4450B1D2" w14:textId="77777777" w:rsidR="005D11F4" w:rsidRPr="00C64BF5" w:rsidRDefault="00C254CB" w:rsidP="0098753B">
      <w:pPr>
        <w:rPr>
          <w:lang w:val="en-US"/>
        </w:rPr>
      </w:pPr>
      <w:proofErr w:type="gramStart"/>
      <w:r w:rsidRPr="00C64BF5">
        <w:rPr>
          <w:vertAlign w:val="superscript"/>
          <w:lang w:val="en-US"/>
        </w:rPr>
        <w:t>c</w:t>
      </w:r>
      <w:proofErr w:type="gramEnd"/>
      <w:r w:rsidRPr="00C64BF5">
        <w:rPr>
          <w:vertAlign w:val="superscript"/>
          <w:lang w:val="en-US"/>
        </w:rPr>
        <w:t xml:space="preserve"> </w:t>
      </w:r>
      <w:r w:rsidR="005D11F4" w:rsidRPr="00C64BF5">
        <w:rPr>
          <w:lang w:val="en-US"/>
        </w:rPr>
        <w:t>Oxford Martin School and Transport Studies Unit, University of Oxford</w:t>
      </w:r>
    </w:p>
    <w:p w14:paraId="66C2A5B8" w14:textId="77777777" w:rsidR="005D11F4" w:rsidRPr="00C64BF5" w:rsidRDefault="005D11F4" w:rsidP="0098753B">
      <w:pPr>
        <w:rPr>
          <w:lang w:val="en-US"/>
        </w:rPr>
      </w:pPr>
      <w:r w:rsidRPr="00C64BF5">
        <w:rPr>
          <w:lang w:val="en-US"/>
        </w:rPr>
        <w:t>South Parks Road, Oxford, OX1 3QY, UK</w:t>
      </w:r>
    </w:p>
    <w:p w14:paraId="545C7B47" w14:textId="77777777" w:rsidR="005D11F4" w:rsidRPr="00C64BF5" w:rsidRDefault="005D11F4" w:rsidP="0098753B">
      <w:pPr>
        <w:rPr>
          <w:rStyle w:val="Hyperlink"/>
          <w:lang w:val="en-US"/>
        </w:rPr>
      </w:pPr>
      <w:r w:rsidRPr="00C64BF5">
        <w:rPr>
          <w:lang w:val="en-US"/>
        </w:rPr>
        <w:t xml:space="preserve">Email: </w:t>
      </w:r>
      <w:hyperlink r:id="rId11" w:history="1">
        <w:r w:rsidRPr="00C64BF5">
          <w:rPr>
            <w:rStyle w:val="Hyperlink"/>
            <w:lang w:val="en-US"/>
          </w:rPr>
          <w:t>martino.tran@ouce.ox.ac.uk</w:t>
        </w:r>
      </w:hyperlink>
    </w:p>
    <w:p w14:paraId="7AF24129" w14:textId="77777777" w:rsidR="00C254CB" w:rsidRPr="00C64BF5" w:rsidRDefault="00C254CB" w:rsidP="0098753B">
      <w:pPr>
        <w:rPr>
          <w:lang w:val="en-US"/>
        </w:rPr>
      </w:pPr>
      <w:r w:rsidRPr="00C64BF5">
        <w:rPr>
          <w:lang w:val="en-US"/>
        </w:rPr>
        <w:t>T: +44 (0)1865 285039</w:t>
      </w:r>
    </w:p>
    <w:p w14:paraId="3ABAB117" w14:textId="77777777" w:rsidR="005D11F4" w:rsidRPr="00C64BF5" w:rsidRDefault="005D11F4" w:rsidP="0098753B">
      <w:pPr>
        <w:rPr>
          <w:lang w:val="en-US"/>
        </w:rPr>
      </w:pPr>
    </w:p>
    <w:p w14:paraId="2728881D" w14:textId="77777777" w:rsidR="005D11F4" w:rsidRPr="00C64BF5" w:rsidRDefault="005D11F4" w:rsidP="0098753B">
      <w:pPr>
        <w:rPr>
          <w:lang w:val="en-US"/>
        </w:rPr>
      </w:pPr>
      <w:r w:rsidRPr="00C64BF5">
        <w:rPr>
          <w:vertAlign w:val="superscript"/>
          <w:lang w:val="en-US"/>
        </w:rPr>
        <w:t>*</w:t>
      </w:r>
      <w:r w:rsidRPr="00C64BF5">
        <w:rPr>
          <w:lang w:val="en-US"/>
        </w:rPr>
        <w:t xml:space="preserve"> Corresponding author</w:t>
      </w:r>
    </w:p>
    <w:p w14:paraId="58FA8252" w14:textId="77777777" w:rsidR="005D11F4" w:rsidRPr="00C64BF5" w:rsidRDefault="005D11F4" w:rsidP="0098753B">
      <w:pPr>
        <w:rPr>
          <w:lang w:val="en-US"/>
        </w:rPr>
      </w:pPr>
    </w:p>
    <w:p w14:paraId="1D667010" w14:textId="77777777" w:rsidR="00D97D81" w:rsidRPr="00C64BF5" w:rsidRDefault="00D97D81" w:rsidP="00A6498C">
      <w:pPr>
        <w:pStyle w:val="Heading1"/>
        <w:rPr>
          <w:lang w:val="en-US"/>
        </w:rPr>
      </w:pPr>
      <w:r w:rsidRPr="00C64BF5">
        <w:rPr>
          <w:lang w:val="en-US"/>
        </w:rPr>
        <w:t>Abstract</w:t>
      </w:r>
    </w:p>
    <w:p w14:paraId="7DE5DB58" w14:textId="22C7B0F0" w:rsidR="006C300A" w:rsidRDefault="008A36A2" w:rsidP="0098753B">
      <w:pPr>
        <w:rPr>
          <w:lang w:val="en-US"/>
        </w:rPr>
      </w:pPr>
      <w:r w:rsidRPr="00C64BF5">
        <w:rPr>
          <w:lang w:val="en-US"/>
        </w:rPr>
        <w:t xml:space="preserve">The transition to a low carbon transport world requires a host of demand and supply policies to be developed and deployed. Pricing and taxation </w:t>
      </w:r>
      <w:r w:rsidR="001A38D3">
        <w:rPr>
          <w:lang w:val="en-US"/>
        </w:rPr>
        <w:t xml:space="preserve">of vehicle ownership </w:t>
      </w:r>
      <w:r w:rsidRPr="00C64BF5">
        <w:rPr>
          <w:lang w:val="en-US"/>
        </w:rPr>
        <w:t xml:space="preserve">plays a major role, as it affects purchasing </w:t>
      </w:r>
      <w:r w:rsidR="00C64BF5" w:rsidRPr="00C64BF5">
        <w:rPr>
          <w:lang w:val="en-US"/>
        </w:rPr>
        <w:t>behavior</w:t>
      </w:r>
      <w:r w:rsidRPr="00C64BF5">
        <w:rPr>
          <w:lang w:val="en-US"/>
        </w:rPr>
        <w:t xml:space="preserve">, overall ownership and use of vehicles. </w:t>
      </w:r>
      <w:r w:rsidR="00D6337E">
        <w:rPr>
          <w:lang w:val="en-US"/>
        </w:rPr>
        <w:t xml:space="preserve">There is a lack in robust assessments of the life cycle </w:t>
      </w:r>
      <w:r w:rsidRPr="00C64BF5">
        <w:rPr>
          <w:lang w:val="en-US"/>
        </w:rPr>
        <w:t xml:space="preserve">energy and environmental effects of a number of key </w:t>
      </w:r>
      <w:r w:rsidR="009E24C7" w:rsidRPr="00C64BF5">
        <w:rPr>
          <w:lang w:val="en-US"/>
        </w:rPr>
        <w:t xml:space="preserve">car </w:t>
      </w:r>
      <w:r w:rsidRPr="00C64BF5">
        <w:rPr>
          <w:lang w:val="en-US"/>
        </w:rPr>
        <w:t xml:space="preserve">pricing and taxation instruments, including graded purchase taxes, vehicle excise duties and </w:t>
      </w:r>
      <w:r w:rsidR="009E24C7" w:rsidRPr="00C64BF5">
        <w:rPr>
          <w:lang w:val="en-US"/>
        </w:rPr>
        <w:t>vehicle</w:t>
      </w:r>
      <w:r w:rsidRPr="00C64BF5">
        <w:rPr>
          <w:lang w:val="en-US"/>
        </w:rPr>
        <w:t xml:space="preserve"> scrappage incentives.</w:t>
      </w:r>
      <w:r w:rsidR="00D6337E">
        <w:rPr>
          <w:lang w:val="en-US"/>
        </w:rPr>
        <w:t xml:space="preserve"> </w:t>
      </w:r>
      <w:r w:rsidR="00D6337E" w:rsidRPr="00C64BF5">
        <w:rPr>
          <w:lang w:val="en-US"/>
        </w:rPr>
        <w:t>Th</w:t>
      </w:r>
      <w:r w:rsidR="006C300A">
        <w:rPr>
          <w:lang w:val="en-US"/>
        </w:rPr>
        <w:t xml:space="preserve">is paper aims to fill this gap by exploring </w:t>
      </w:r>
      <w:r w:rsidR="00D6337E" w:rsidRPr="00D6337E">
        <w:rPr>
          <w:lang w:val="en-US"/>
        </w:rPr>
        <w:t xml:space="preserve">which type of </w:t>
      </w:r>
      <w:r w:rsidR="00D67197">
        <w:rPr>
          <w:lang w:val="en-US"/>
        </w:rPr>
        <w:t xml:space="preserve">vehicle taxation </w:t>
      </w:r>
      <w:r w:rsidR="00D6337E" w:rsidRPr="00D6337E">
        <w:rPr>
          <w:lang w:val="en-US"/>
        </w:rPr>
        <w:t>accelerates fuel, technology and purchasing behavioral transitions the fast</w:t>
      </w:r>
      <w:r w:rsidR="006C300A">
        <w:rPr>
          <w:lang w:val="en-US"/>
        </w:rPr>
        <w:t>est with (</w:t>
      </w:r>
      <w:proofErr w:type="spellStart"/>
      <w:r w:rsidR="006C300A">
        <w:rPr>
          <w:lang w:val="en-US"/>
        </w:rPr>
        <w:t>i</w:t>
      </w:r>
      <w:proofErr w:type="spellEnd"/>
      <w:r w:rsidR="006C300A">
        <w:rPr>
          <w:lang w:val="en-US"/>
        </w:rPr>
        <w:t xml:space="preserve">) most </w:t>
      </w:r>
      <w:r w:rsidR="00E86717">
        <w:rPr>
          <w:lang w:val="en-US"/>
        </w:rPr>
        <w:t xml:space="preserve">tailpipe and </w:t>
      </w:r>
      <w:r w:rsidR="006C300A">
        <w:rPr>
          <w:lang w:val="en-US"/>
        </w:rPr>
        <w:t>life cycle greenhouse gas</w:t>
      </w:r>
      <w:r w:rsidR="00D6337E" w:rsidRPr="00D6337E">
        <w:rPr>
          <w:lang w:val="en-US"/>
        </w:rPr>
        <w:t xml:space="preserve"> emissions savings, (ii) potential revenue neutrality for the Treasury and (iii) </w:t>
      </w:r>
      <w:r w:rsidR="00E86717">
        <w:rPr>
          <w:lang w:val="en-US"/>
        </w:rPr>
        <w:t>no adverse effects on car use</w:t>
      </w:r>
      <w:r w:rsidR="00D6337E" w:rsidRPr="00D6337E">
        <w:rPr>
          <w:lang w:val="en-US"/>
        </w:rPr>
        <w:t>.</w:t>
      </w:r>
    </w:p>
    <w:p w14:paraId="761CAE62" w14:textId="77777777" w:rsidR="006C300A" w:rsidRDefault="006C300A" w:rsidP="0098753B">
      <w:pPr>
        <w:rPr>
          <w:lang w:val="en-US"/>
        </w:rPr>
      </w:pPr>
    </w:p>
    <w:p w14:paraId="6591F675" w14:textId="6FD056DD" w:rsidR="00D67197" w:rsidRDefault="006C300A" w:rsidP="0098753B">
      <w:pPr>
        <w:rPr>
          <w:lang w:val="en-US"/>
        </w:rPr>
      </w:pPr>
      <w:r>
        <w:rPr>
          <w:lang w:val="en-US"/>
        </w:rPr>
        <w:t>T</w:t>
      </w:r>
      <w:r w:rsidR="008A36A2" w:rsidRPr="00C64BF5">
        <w:rPr>
          <w:lang w:val="en-US"/>
        </w:rPr>
        <w:t xml:space="preserve">he UK Transport Carbon Model </w:t>
      </w:r>
      <w:r>
        <w:rPr>
          <w:lang w:val="en-US"/>
        </w:rPr>
        <w:t>was developed further and used to assess</w:t>
      </w:r>
      <w:r w:rsidR="008A36A2" w:rsidRPr="00C64BF5">
        <w:rPr>
          <w:lang w:val="en-US"/>
        </w:rPr>
        <w:t xml:space="preserve"> long term scenarios of low carbon fiscal policies and their effects on </w:t>
      </w:r>
      <w:r w:rsidR="009E24C7" w:rsidRPr="00C64BF5">
        <w:rPr>
          <w:lang w:val="en-US"/>
        </w:rPr>
        <w:t xml:space="preserve">transport demand, vehicle stock evolution, </w:t>
      </w:r>
      <w:proofErr w:type="gramStart"/>
      <w:r w:rsidR="008A36A2" w:rsidRPr="00C64BF5">
        <w:rPr>
          <w:lang w:val="en-US"/>
        </w:rPr>
        <w:t>life</w:t>
      </w:r>
      <w:proofErr w:type="gramEnd"/>
      <w:r w:rsidR="008A36A2" w:rsidRPr="00C64BF5">
        <w:rPr>
          <w:lang w:val="en-US"/>
        </w:rPr>
        <w:t xml:space="preserve"> cycle </w:t>
      </w:r>
      <w:r>
        <w:rPr>
          <w:lang w:val="en-US"/>
        </w:rPr>
        <w:t>greenhouse gas</w:t>
      </w:r>
      <w:r w:rsidR="009E24C7" w:rsidRPr="00C64BF5">
        <w:rPr>
          <w:lang w:val="en-US"/>
        </w:rPr>
        <w:t xml:space="preserve"> </w:t>
      </w:r>
      <w:r w:rsidR="008A36A2" w:rsidRPr="00C64BF5">
        <w:rPr>
          <w:lang w:val="en-US"/>
        </w:rPr>
        <w:t>emissions</w:t>
      </w:r>
      <w:r w:rsidR="00E044CC" w:rsidRPr="00C64BF5">
        <w:rPr>
          <w:lang w:val="en-US"/>
        </w:rPr>
        <w:t xml:space="preserve"> in the UK</w:t>
      </w:r>
      <w:r w:rsidR="008A36A2" w:rsidRPr="00C64BF5">
        <w:rPr>
          <w:lang w:val="en-US"/>
        </w:rPr>
        <w:t xml:space="preserve">. </w:t>
      </w:r>
      <w:r w:rsidR="00C013DD" w:rsidRPr="00C64BF5">
        <w:rPr>
          <w:lang w:val="en-US"/>
        </w:rPr>
        <w:t xml:space="preserve">The </w:t>
      </w:r>
      <w:r w:rsidR="00061FDF" w:rsidRPr="00C64BF5">
        <w:rPr>
          <w:lang w:val="en-US"/>
        </w:rPr>
        <w:t>modeling</w:t>
      </w:r>
      <w:r w:rsidR="0099404F" w:rsidRPr="00C64BF5">
        <w:rPr>
          <w:lang w:val="en-US"/>
        </w:rPr>
        <w:t xml:space="preserve"> </w:t>
      </w:r>
      <w:r w:rsidR="00C013DD" w:rsidRPr="00C64BF5">
        <w:rPr>
          <w:lang w:val="en-US"/>
        </w:rPr>
        <w:t xml:space="preserve">results suggest that policy choice, design and timing can play crucial roles in meeting multiple policy goals. Both </w:t>
      </w:r>
      <w:r w:rsidR="00EB0B47" w:rsidRPr="00C64BF5">
        <w:rPr>
          <w:lang w:val="en-US"/>
        </w:rPr>
        <w:t>CO</w:t>
      </w:r>
      <w:r w:rsidR="00EB0B47" w:rsidRPr="00C64BF5">
        <w:rPr>
          <w:vertAlign w:val="subscript"/>
          <w:lang w:val="en-US"/>
        </w:rPr>
        <w:t>2</w:t>
      </w:r>
      <w:r w:rsidR="00C013DD" w:rsidRPr="00C64BF5">
        <w:rPr>
          <w:lang w:val="en-US"/>
        </w:rPr>
        <w:t xml:space="preserve"> grading and tightening of CO</w:t>
      </w:r>
      <w:r w:rsidR="00C013DD" w:rsidRPr="00C64BF5">
        <w:rPr>
          <w:vertAlign w:val="subscript"/>
          <w:lang w:val="en-US"/>
        </w:rPr>
        <w:t>2</w:t>
      </w:r>
      <w:r w:rsidR="00C013DD" w:rsidRPr="00C64BF5">
        <w:rPr>
          <w:lang w:val="en-US"/>
        </w:rPr>
        <w:t xml:space="preserve"> limits over time are crucial in achieving the transition to low carbon mobility. </w:t>
      </w:r>
      <w:r w:rsidR="006472E4">
        <w:rPr>
          <w:lang w:val="en-US"/>
        </w:rPr>
        <w:t>Of the policy scenarios investigated here t</w:t>
      </w:r>
      <w:r w:rsidR="00C013DD" w:rsidRPr="00C64BF5">
        <w:rPr>
          <w:lang w:val="en-US"/>
        </w:rPr>
        <w:t xml:space="preserve">he </w:t>
      </w:r>
      <w:r w:rsidR="008D2E70">
        <w:rPr>
          <w:lang w:val="en-US"/>
        </w:rPr>
        <w:t xml:space="preserve">more ambitious and complex </w:t>
      </w:r>
      <w:r w:rsidR="00C013DD" w:rsidRPr="00C64BF5">
        <w:rPr>
          <w:lang w:val="en-US"/>
        </w:rPr>
        <w:t xml:space="preserve">car purchase </w:t>
      </w:r>
      <w:r w:rsidR="008D2E70">
        <w:rPr>
          <w:lang w:val="en-US"/>
        </w:rPr>
        <w:t xml:space="preserve">tax and </w:t>
      </w:r>
      <w:proofErr w:type="spellStart"/>
      <w:r w:rsidR="00C013DD" w:rsidRPr="00C64BF5">
        <w:rPr>
          <w:lang w:val="en-US"/>
        </w:rPr>
        <w:t>feebate</w:t>
      </w:r>
      <w:proofErr w:type="spellEnd"/>
      <w:r w:rsidR="00C013DD" w:rsidRPr="00C64BF5">
        <w:rPr>
          <w:lang w:val="en-US"/>
        </w:rPr>
        <w:t xml:space="preserve"> policies are most effective in accelerating low carbon technology uptake</w:t>
      </w:r>
      <w:r w:rsidR="00206DCC" w:rsidRPr="00C64BF5">
        <w:rPr>
          <w:lang w:val="en-US"/>
        </w:rPr>
        <w:t>,</w:t>
      </w:r>
      <w:r w:rsidR="00C013DD" w:rsidRPr="00C64BF5">
        <w:rPr>
          <w:lang w:val="en-US"/>
        </w:rPr>
        <w:t xml:space="preserve"> reducing life cycle </w:t>
      </w:r>
      <w:r w:rsidR="003949BA" w:rsidRPr="00C64BF5">
        <w:rPr>
          <w:lang w:val="en-US"/>
        </w:rPr>
        <w:t>greenhouse gas</w:t>
      </w:r>
      <w:r w:rsidR="00C013DD" w:rsidRPr="00C64BF5">
        <w:rPr>
          <w:lang w:val="en-US"/>
        </w:rPr>
        <w:t xml:space="preserve"> emissions</w:t>
      </w:r>
      <w:r w:rsidR="00206DCC" w:rsidRPr="00C64BF5">
        <w:rPr>
          <w:lang w:val="en-US"/>
        </w:rPr>
        <w:t xml:space="preserve"> and,</w:t>
      </w:r>
      <w:r w:rsidR="00C013DD" w:rsidRPr="00C64BF5">
        <w:rPr>
          <w:lang w:val="en-US"/>
        </w:rPr>
        <w:t xml:space="preserve"> </w:t>
      </w:r>
      <w:r w:rsidR="00206DCC" w:rsidRPr="00C64BF5">
        <w:rPr>
          <w:lang w:val="en-US"/>
        </w:rPr>
        <w:t>if d</w:t>
      </w:r>
      <w:r w:rsidR="00C013DD" w:rsidRPr="00C64BF5">
        <w:rPr>
          <w:lang w:val="en-US"/>
        </w:rPr>
        <w:t>esigned carefully</w:t>
      </w:r>
      <w:r w:rsidR="00206DCC" w:rsidRPr="00C64BF5">
        <w:rPr>
          <w:lang w:val="en-US"/>
        </w:rPr>
        <w:t>,</w:t>
      </w:r>
      <w:r w:rsidR="00C013DD" w:rsidRPr="00C64BF5">
        <w:rPr>
          <w:lang w:val="en-US"/>
        </w:rPr>
        <w:t xml:space="preserve"> can avoid overburdening consumers</w:t>
      </w:r>
      <w:r w:rsidR="00206DCC" w:rsidRPr="00C64BF5">
        <w:rPr>
          <w:lang w:val="en-US"/>
        </w:rPr>
        <w:t xml:space="preserve"> with ever m</w:t>
      </w:r>
      <w:r w:rsidR="00576EBB" w:rsidRPr="00C64BF5">
        <w:rPr>
          <w:lang w:val="en-US"/>
        </w:rPr>
        <w:t>ore taxation whilst</w:t>
      </w:r>
      <w:r w:rsidR="00206DCC" w:rsidRPr="00C64BF5">
        <w:rPr>
          <w:lang w:val="en-US"/>
        </w:rPr>
        <w:t xml:space="preserve"> ensuring revenue neutrality.</w:t>
      </w:r>
      <w:r w:rsidR="00C013DD" w:rsidRPr="00C64BF5">
        <w:rPr>
          <w:lang w:val="en-US"/>
        </w:rPr>
        <w:t xml:space="preserve"> </w:t>
      </w:r>
      <w:r w:rsidR="00206DCC" w:rsidRPr="00C64BF5">
        <w:rPr>
          <w:lang w:val="en-US"/>
        </w:rPr>
        <w:t xml:space="preserve">Highly </w:t>
      </w:r>
      <w:r w:rsidR="00BF09FB" w:rsidRPr="00C64BF5">
        <w:rPr>
          <w:lang w:val="en-US"/>
        </w:rPr>
        <w:t xml:space="preserve">graduated </w:t>
      </w:r>
      <w:r w:rsidR="00C00928" w:rsidRPr="00C64BF5">
        <w:rPr>
          <w:lang w:val="en-US"/>
        </w:rPr>
        <w:t xml:space="preserve">road taxes (or </w:t>
      </w:r>
      <w:r w:rsidR="00BF09FB" w:rsidRPr="00C64BF5">
        <w:rPr>
          <w:lang w:val="en-US"/>
        </w:rPr>
        <w:t>VED</w:t>
      </w:r>
      <w:r w:rsidR="00C00928" w:rsidRPr="00C64BF5">
        <w:rPr>
          <w:lang w:val="en-US"/>
        </w:rPr>
        <w:t>)</w:t>
      </w:r>
      <w:r w:rsidR="00206DCC" w:rsidRPr="00C64BF5">
        <w:rPr>
          <w:lang w:val="en-US"/>
        </w:rPr>
        <w:t xml:space="preserve"> can also be successful in reducing emissions; but while they can </w:t>
      </w:r>
      <w:r w:rsidR="00BF09FB" w:rsidRPr="00C64BF5">
        <w:rPr>
          <w:lang w:val="en-US"/>
        </w:rPr>
        <w:t>provide handy revenue streams to governments that could be recycled in accompanying low carbon measures</w:t>
      </w:r>
      <w:r w:rsidR="00206DCC" w:rsidRPr="00C64BF5">
        <w:rPr>
          <w:lang w:val="en-US"/>
        </w:rPr>
        <w:t xml:space="preserve"> they are </w:t>
      </w:r>
      <w:r w:rsidR="00206DCC" w:rsidRPr="00C64BF5">
        <w:rPr>
          <w:lang w:val="en-US"/>
        </w:rPr>
        <w:lastRenderedPageBreak/>
        <w:t xml:space="preserve">likely to face </w:t>
      </w:r>
      <w:r w:rsidR="00576EBB" w:rsidRPr="00C64BF5">
        <w:rPr>
          <w:lang w:val="en-US"/>
        </w:rPr>
        <w:t xml:space="preserve">opposition by the driving population </w:t>
      </w:r>
      <w:r w:rsidR="00925F5D">
        <w:rPr>
          <w:lang w:val="en-US"/>
        </w:rPr>
        <w:t xml:space="preserve">and car </w:t>
      </w:r>
      <w:r w:rsidR="00576EBB" w:rsidRPr="00C64BF5">
        <w:rPr>
          <w:lang w:val="en-US"/>
        </w:rPr>
        <w:t>lobby groups</w:t>
      </w:r>
      <w:r w:rsidR="00206DCC" w:rsidRPr="00C64BF5">
        <w:rPr>
          <w:lang w:val="en-US"/>
        </w:rPr>
        <w:t>.</w:t>
      </w:r>
      <w:r w:rsidR="00BF09FB" w:rsidRPr="00C64BF5">
        <w:rPr>
          <w:lang w:val="en-US"/>
        </w:rPr>
        <w:t xml:space="preserve"> Scrappage schemes are found to save little carbon and may even increase emissions on a life cycle basis.</w:t>
      </w:r>
      <w:bookmarkStart w:id="0" w:name="_GoBack"/>
      <w:bookmarkEnd w:id="0"/>
    </w:p>
    <w:p w14:paraId="0540B220" w14:textId="77777777" w:rsidR="00D67197" w:rsidRDefault="00D67197" w:rsidP="0098753B">
      <w:pPr>
        <w:rPr>
          <w:lang w:val="en-US"/>
        </w:rPr>
      </w:pPr>
    </w:p>
    <w:p w14:paraId="455AE9B3" w14:textId="2BA8C956" w:rsidR="00783FA7" w:rsidRPr="00C64BF5" w:rsidRDefault="00783FA7" w:rsidP="0098753B">
      <w:pPr>
        <w:rPr>
          <w:lang w:val="en-US"/>
        </w:rPr>
      </w:pPr>
      <w:r w:rsidRPr="00C64BF5">
        <w:rPr>
          <w:lang w:val="en-US"/>
        </w:rPr>
        <w:t xml:space="preserve">The main policy implication of this work is that </w:t>
      </w:r>
      <w:r w:rsidR="0031222F" w:rsidRPr="00C64BF5">
        <w:rPr>
          <w:lang w:val="en-US"/>
        </w:rPr>
        <w:t xml:space="preserve">in order to reduce both direct and indirect greenhouse gas emissions from transport </w:t>
      </w:r>
      <w:r w:rsidRPr="00C64BF5">
        <w:rPr>
          <w:lang w:val="en-US"/>
        </w:rPr>
        <w:t xml:space="preserve">governments should focus on designing incentive schemes with strong up-front price signals that reward ‘low carbon’ and </w:t>
      </w:r>
      <w:r w:rsidR="00C64BF5" w:rsidRPr="00C64BF5">
        <w:rPr>
          <w:lang w:val="en-US"/>
        </w:rPr>
        <w:t>penalize</w:t>
      </w:r>
      <w:r w:rsidRPr="00C64BF5">
        <w:rPr>
          <w:lang w:val="en-US"/>
        </w:rPr>
        <w:t xml:space="preserve"> ‘high carbon’</w:t>
      </w:r>
      <w:r w:rsidR="0031222F" w:rsidRPr="00C64BF5">
        <w:rPr>
          <w:lang w:val="en-US"/>
        </w:rPr>
        <w:t>. Policy instruments should also be subject to early scrutiny of the longer term impacts on government revenue</w:t>
      </w:r>
      <w:r w:rsidR="005D27FC" w:rsidRPr="00C64BF5">
        <w:rPr>
          <w:lang w:val="en-US"/>
        </w:rPr>
        <w:t xml:space="preserve"> and pay attention to the need for flanking policies to </w:t>
      </w:r>
      <w:r w:rsidR="0031222F" w:rsidRPr="00C64BF5">
        <w:rPr>
          <w:lang w:val="en-US"/>
        </w:rPr>
        <w:t xml:space="preserve">boost these revenues and </w:t>
      </w:r>
      <w:r w:rsidR="005D27FC" w:rsidRPr="00C64BF5">
        <w:rPr>
          <w:lang w:val="en-US"/>
        </w:rPr>
        <w:t>maintain the marginal cost of driving</w:t>
      </w:r>
      <w:r w:rsidRPr="00C64BF5">
        <w:rPr>
          <w:lang w:val="en-US"/>
        </w:rPr>
        <w:t>.</w:t>
      </w:r>
    </w:p>
    <w:p w14:paraId="4BC45ADB" w14:textId="77777777" w:rsidR="0098753B" w:rsidRPr="00C64BF5" w:rsidRDefault="0098753B" w:rsidP="0098753B">
      <w:pPr>
        <w:rPr>
          <w:lang w:val="en-US"/>
        </w:rPr>
      </w:pPr>
    </w:p>
    <w:p w14:paraId="46DE73CD" w14:textId="77777777" w:rsidR="0098753B" w:rsidRPr="00C64BF5" w:rsidRDefault="0098753B" w:rsidP="00A6498C">
      <w:pPr>
        <w:pStyle w:val="Heading1"/>
        <w:rPr>
          <w:lang w:val="en-US"/>
        </w:rPr>
      </w:pPr>
      <w:r w:rsidRPr="00C64BF5">
        <w:rPr>
          <w:lang w:val="en-US"/>
        </w:rPr>
        <w:t>Keywords:</w:t>
      </w:r>
    </w:p>
    <w:p w14:paraId="5F0D5D0E" w14:textId="77777777" w:rsidR="0098753B" w:rsidRPr="00C64BF5" w:rsidRDefault="00321F3A" w:rsidP="00321F3A">
      <w:pPr>
        <w:rPr>
          <w:lang w:val="en-US"/>
        </w:rPr>
      </w:pPr>
      <w:proofErr w:type="gramStart"/>
      <w:r w:rsidRPr="00C64BF5">
        <w:rPr>
          <w:lang w:val="en-US"/>
        </w:rPr>
        <w:t>transport</w:t>
      </w:r>
      <w:proofErr w:type="gramEnd"/>
      <w:r w:rsidRPr="00C64BF5">
        <w:rPr>
          <w:lang w:val="en-US"/>
        </w:rPr>
        <w:t xml:space="preserve"> policy; </w:t>
      </w:r>
      <w:r w:rsidR="00C2662B">
        <w:rPr>
          <w:lang w:val="en-US"/>
        </w:rPr>
        <w:t xml:space="preserve">climate change mitigation; </w:t>
      </w:r>
      <w:r w:rsidRPr="00C64BF5">
        <w:rPr>
          <w:lang w:val="en-US"/>
        </w:rPr>
        <w:t xml:space="preserve">fiscal incentives; car purchasing; </w:t>
      </w:r>
      <w:r w:rsidR="00C64BF5" w:rsidRPr="00C64BF5">
        <w:rPr>
          <w:lang w:val="en-US"/>
        </w:rPr>
        <w:t>modeling</w:t>
      </w:r>
      <w:r w:rsidRPr="00C64BF5">
        <w:rPr>
          <w:lang w:val="en-US"/>
        </w:rPr>
        <w:t>; scenario analysis</w:t>
      </w:r>
    </w:p>
    <w:p w14:paraId="1EB7DD45" w14:textId="77777777" w:rsidR="00321F3A" w:rsidRPr="00C64BF5" w:rsidRDefault="00321F3A" w:rsidP="00321F3A">
      <w:pPr>
        <w:rPr>
          <w:lang w:val="en-US"/>
        </w:rPr>
      </w:pPr>
    </w:p>
    <w:p w14:paraId="0EB06B39" w14:textId="77777777" w:rsidR="0098753B" w:rsidRPr="00C64BF5" w:rsidRDefault="0098753B">
      <w:pPr>
        <w:spacing w:line="240" w:lineRule="auto"/>
        <w:rPr>
          <w:lang w:val="en-US"/>
        </w:rPr>
      </w:pPr>
      <w:r w:rsidRPr="00C64BF5">
        <w:rPr>
          <w:lang w:val="en-US"/>
        </w:rPr>
        <w:br w:type="page"/>
      </w:r>
    </w:p>
    <w:p w14:paraId="210E244E" w14:textId="77777777" w:rsidR="008A36A2" w:rsidRPr="00C64BF5" w:rsidRDefault="008A36A2" w:rsidP="0098753B">
      <w:pPr>
        <w:rPr>
          <w:lang w:val="en-US"/>
        </w:rPr>
      </w:pPr>
    </w:p>
    <w:p w14:paraId="36937976" w14:textId="77777777" w:rsidR="00D97D81" w:rsidRPr="00C64BF5" w:rsidRDefault="0098753B" w:rsidP="00A6498C">
      <w:pPr>
        <w:pStyle w:val="Heading1"/>
        <w:rPr>
          <w:lang w:val="en-US"/>
        </w:rPr>
      </w:pPr>
      <w:r w:rsidRPr="00C64BF5">
        <w:rPr>
          <w:lang w:val="en-US"/>
        </w:rPr>
        <w:t xml:space="preserve">1 </w:t>
      </w:r>
      <w:r w:rsidR="00A018D1" w:rsidRPr="00C64BF5">
        <w:rPr>
          <w:lang w:val="en-US"/>
        </w:rPr>
        <w:t>INTRODUCTION</w:t>
      </w:r>
    </w:p>
    <w:p w14:paraId="52A77563" w14:textId="77777777" w:rsidR="006C04F3" w:rsidRDefault="006C04F3" w:rsidP="006C04F3">
      <w:pPr>
        <w:pStyle w:val="Heading2"/>
        <w:rPr>
          <w:lang w:val="en-US"/>
        </w:rPr>
      </w:pPr>
      <w:r>
        <w:rPr>
          <w:lang w:val="en-US"/>
        </w:rPr>
        <w:t>1.1 Background</w:t>
      </w:r>
    </w:p>
    <w:p w14:paraId="7D4F48C7" w14:textId="3E8C7098" w:rsidR="00E77E6C" w:rsidRPr="00C64BF5" w:rsidRDefault="003472A9" w:rsidP="0098753B">
      <w:pPr>
        <w:rPr>
          <w:lang w:val="en-US"/>
        </w:rPr>
      </w:pPr>
      <w:r w:rsidRPr="00C64BF5">
        <w:rPr>
          <w:lang w:val="en-US"/>
        </w:rPr>
        <w:t>Transport is consistently deemed to be the most difficult and expensive sector in which to reduce energy demand and greenhouse gas (GHG)</w:t>
      </w:r>
      <w:r w:rsidR="00907602">
        <w:rPr>
          <w:rStyle w:val="FootnoteReference"/>
          <w:lang w:val="en-US"/>
        </w:rPr>
        <w:footnoteReference w:id="1"/>
      </w:r>
      <w:r w:rsidRPr="00C64BF5">
        <w:rPr>
          <w:lang w:val="en-US"/>
        </w:rPr>
        <w:t xml:space="preserve"> emissions</w:t>
      </w:r>
      <w:r w:rsidR="000B58F7" w:rsidRPr="00C64BF5">
        <w:rPr>
          <w:lang w:val="en-US"/>
        </w:rPr>
        <w:t xml:space="preserve"> </w:t>
      </w:r>
      <w:r w:rsidR="00880B2F" w:rsidRPr="000D65CF">
        <w:rPr>
          <w:lang w:val="en-US"/>
        </w:rPr>
        <w:fldChar w:fldCharType="begin"/>
      </w:r>
      <w:r w:rsidR="00C2662B">
        <w:rPr>
          <w:lang w:val="en-US"/>
        </w:rPr>
        <w:instrText xml:space="preserve"> ADDIN EN.CITE &lt;EndNote&gt;&lt;Cite&gt;&lt;Author&gt;HM Treasury&lt;/Author&gt;&lt;Year&gt;2006&lt;/Year&gt;&lt;RecNum&gt;745&lt;/RecNum&gt;&lt;DisplayText&gt;(HM Treasury, 2006; Kopp, 2007)&lt;/DisplayText&gt;&lt;record&gt;&lt;rec-number&gt;745&lt;/rec-number&gt;&lt;foreign-keys&gt;&lt;key app="EN" db-id="a0wpest2552swgezzsnxxwsnpp9axwswpaww"&gt;745&lt;/key&gt;&lt;/foreign-keys&gt;&lt;ref-type name="Report"&gt;27&lt;/ref-type&gt;&lt;contributors&gt;&lt;authors&gt;&lt;author&gt;HM Treasury,&lt;/author&gt;&lt;/authors&gt;&lt;/contributors&gt;&lt;titles&gt;&lt;title&gt;The Stern Review: The Economics of Climate Change&lt;/title&gt;&lt;/titles&gt;&lt;dates&gt;&lt;year&gt;2006&lt;/year&gt;&lt;/dates&gt;&lt;pub-location&gt;London&lt;/pub-location&gt;&lt;publisher&gt;The Stationary Office&lt;/publisher&gt;&lt;urls&gt;&lt;/urls&gt;&lt;/record&gt;&lt;/Cite&gt;&lt;Cite&gt;&lt;Author&gt;Kopp&lt;/Author&gt;&lt;Year&gt;2007&lt;/Year&gt;&lt;RecNum&gt;926&lt;/RecNum&gt;&lt;record&gt;&lt;rec-number&gt;926&lt;/rec-number&gt;&lt;foreign-keys&gt;&lt;key app="EN" db-id="a0wpest2552swgezzsnxxwsnpp9axwswpaww"&gt;926&lt;/key&gt;&lt;/foreign-keys&gt;&lt;ref-type name="Book Section"&gt;5&lt;/ref-type&gt;&lt;contributors&gt;&lt;authors&gt;&lt;author&gt;Kopp, R.J.&lt;/author&gt;&lt;/authors&gt;&lt;secondary-authors&gt;&lt;author&gt;Kopp, R.J.&lt;/author&gt;&lt;author&gt;Pizer, W.A.&lt;/author&gt;&lt;/secondary-authors&gt;&lt;/contributors&gt;&lt;titles&gt;&lt;title&gt;Policies to reduce CO2 emissions from the light-duty vehicle fleet&lt;/title&gt;&lt;secondary-title&gt;Assessing US Climate Policy Options&lt;/secondary-title&gt;&lt;/titles&gt;&lt;dates&gt;&lt;year&gt;2007&lt;/year&gt;&lt;/dates&gt;&lt;publisher&gt;Resources for the Future&lt;/publisher&gt;&lt;urls&gt;&lt;/urls&gt;&lt;/record&gt;&lt;/Cite&gt;&lt;/EndNote&gt;</w:instrText>
      </w:r>
      <w:r w:rsidR="00880B2F" w:rsidRPr="000D65CF">
        <w:rPr>
          <w:lang w:val="en-US"/>
        </w:rPr>
        <w:fldChar w:fldCharType="separate"/>
      </w:r>
      <w:r w:rsidR="00C2662B">
        <w:rPr>
          <w:noProof/>
          <w:lang w:val="en-US"/>
        </w:rPr>
        <w:t>(</w:t>
      </w:r>
      <w:hyperlink w:anchor="_ENREF_41" w:tooltip="HM Treasury, 2006 #745" w:history="1">
        <w:r w:rsidR="00D67197">
          <w:rPr>
            <w:noProof/>
            <w:lang w:val="en-US"/>
          </w:rPr>
          <w:t>HM Treasury, 2006</w:t>
        </w:r>
      </w:hyperlink>
      <w:r w:rsidR="00C2662B">
        <w:rPr>
          <w:noProof/>
          <w:lang w:val="en-US"/>
        </w:rPr>
        <w:t xml:space="preserve">; </w:t>
      </w:r>
      <w:hyperlink w:anchor="_ENREF_51" w:tooltip="Kopp, 2007 #926" w:history="1">
        <w:r w:rsidR="00D67197">
          <w:rPr>
            <w:noProof/>
            <w:lang w:val="en-US"/>
          </w:rPr>
          <w:t>Kopp, 2007</w:t>
        </w:r>
      </w:hyperlink>
      <w:r w:rsidR="00C2662B">
        <w:rPr>
          <w:noProof/>
          <w:lang w:val="en-US"/>
        </w:rPr>
        <w:t>)</w:t>
      </w:r>
      <w:r w:rsidR="00880B2F" w:rsidRPr="000D65CF">
        <w:rPr>
          <w:lang w:val="en-US"/>
        </w:rPr>
        <w:fldChar w:fldCharType="end"/>
      </w:r>
      <w:r w:rsidR="000D65CF" w:rsidRPr="000D65CF">
        <w:rPr>
          <w:lang w:val="en-US"/>
        </w:rPr>
        <w:t>. Typically, the diffusion of advanced vehicle technologies is perceived as</w:t>
      </w:r>
      <w:r w:rsidR="0076472C">
        <w:rPr>
          <w:lang w:val="en-US"/>
        </w:rPr>
        <w:t xml:space="preserve"> the central means to decarboniz</w:t>
      </w:r>
      <w:r w:rsidR="000D65CF" w:rsidRPr="000D65CF">
        <w:rPr>
          <w:lang w:val="en-US"/>
        </w:rPr>
        <w:t xml:space="preserve">e transport. Since many of these technologies </w:t>
      </w:r>
      <w:r w:rsidR="00FF51DB">
        <w:rPr>
          <w:lang w:val="en-US"/>
        </w:rPr>
        <w:t xml:space="preserve">are still relatively expensive, are perceived to perform poorly when compared to incumbent technologies, and </w:t>
      </w:r>
      <w:r w:rsidR="000D65CF" w:rsidRPr="000D65CF">
        <w:rPr>
          <w:lang w:val="en-US"/>
        </w:rPr>
        <w:t>require major infrastructure investment</w:t>
      </w:r>
      <w:r w:rsidR="00FF51DB">
        <w:rPr>
          <w:lang w:val="en-US"/>
        </w:rPr>
        <w:t xml:space="preserve">, </w:t>
      </w:r>
      <w:r w:rsidR="000D65CF" w:rsidRPr="000D65CF">
        <w:rPr>
          <w:lang w:val="en-US"/>
        </w:rPr>
        <w:t>this focus has reinforced the notion that the transport sector can only make a limited contribution to total carbon dioxide (CO</w:t>
      </w:r>
      <w:r w:rsidR="000D65CF" w:rsidRPr="000D65CF">
        <w:rPr>
          <w:vertAlign w:val="subscript"/>
          <w:lang w:val="en-US"/>
        </w:rPr>
        <w:t>2</w:t>
      </w:r>
      <w:r w:rsidR="000D65CF" w:rsidRPr="000D65CF">
        <w:rPr>
          <w:lang w:val="en-US"/>
        </w:rPr>
        <w:t xml:space="preserve">) emissions reduction, particularly in the short to medium term. Many policy instruments focus on providing incentives, in particular through economic instruments designed either to affect the prices of energy and carbon or to provide incentives for development and deployment of new low-carbon technologies </w:t>
      </w:r>
      <w:r w:rsidR="00880B2F" w:rsidRPr="000D65CF">
        <w:rPr>
          <w:lang w:val="en-US"/>
        </w:rPr>
        <w:fldChar w:fldCharType="begin">
          <w:fldData xml:space="preserve">PEVuZE5vdGU+PENpdGU+PEF1dGhvcj5NYW5kZWxsPC9BdXRob3I+PFllYXI+MjAwOTwvWWVhcj48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</w:fldData>
        </w:fldChar>
      </w:r>
      <w:r w:rsidR="00653C01">
        <w:rPr>
          <w:lang w:val="en-US"/>
        </w:rPr>
        <w:instrText xml:space="preserve"> ADDIN EN.CITE </w:instrText>
      </w:r>
      <w:r w:rsidR="00653C01">
        <w:rPr>
          <w:lang w:val="en-US"/>
        </w:rPr>
        <w:fldChar w:fldCharType="begin">
          <w:fldData xml:space="preserve">PEVuZE5vdGU+PENpdGU+PEF1dGhvcj5NYW5kZWxsPC9BdXRob3I+PFllYXI+MjAwOTwvWWVhcj48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</w:fldData>
        </w:fldChar>
      </w:r>
      <w:r w:rsidR="00653C01">
        <w:rPr>
          <w:lang w:val="en-US"/>
        </w:rPr>
        <w:instrText xml:space="preserve"> ADDIN EN.CITE.DATA </w:instrText>
      </w:r>
      <w:r w:rsidR="00653C01">
        <w:rPr>
          <w:lang w:val="en-US"/>
        </w:rPr>
      </w:r>
      <w:r w:rsidR="00653C01">
        <w:rPr>
          <w:lang w:val="en-US"/>
        </w:rPr>
        <w:fldChar w:fldCharType="end"/>
      </w:r>
      <w:r w:rsidR="00880B2F" w:rsidRPr="000D65CF">
        <w:rPr>
          <w:lang w:val="en-US"/>
        </w:rPr>
      </w:r>
      <w:r w:rsidR="00880B2F" w:rsidRPr="000D65CF">
        <w:rPr>
          <w:lang w:val="en-US"/>
        </w:rPr>
        <w:fldChar w:fldCharType="separate"/>
      </w:r>
      <w:r w:rsidR="00C2662B">
        <w:rPr>
          <w:noProof/>
          <w:lang w:val="en-US"/>
        </w:rPr>
        <w:t>(</w:t>
      </w:r>
      <w:hyperlink w:anchor="_ENREF_53" w:tooltip="Mandell, 2009 #886" w:history="1">
        <w:r w:rsidR="00D67197">
          <w:rPr>
            <w:noProof/>
            <w:lang w:val="en-US"/>
          </w:rPr>
          <w:t>Mandell, 2009</w:t>
        </w:r>
      </w:hyperlink>
      <w:r w:rsidR="00C2662B">
        <w:rPr>
          <w:noProof/>
          <w:lang w:val="en-US"/>
        </w:rPr>
        <w:t xml:space="preserve">; </w:t>
      </w:r>
      <w:hyperlink w:anchor="_ENREF_64" w:tooltip="Santos, 2010 #888" w:history="1">
        <w:r w:rsidR="00D67197">
          <w:rPr>
            <w:noProof/>
            <w:lang w:val="en-US"/>
          </w:rPr>
          <w:t>Santos et al., 2010</w:t>
        </w:r>
      </w:hyperlink>
      <w:r w:rsidR="00C2662B">
        <w:rPr>
          <w:noProof/>
          <w:lang w:val="en-US"/>
        </w:rPr>
        <w:t>)</w:t>
      </w:r>
      <w:r w:rsidR="00880B2F" w:rsidRPr="000D65CF">
        <w:rPr>
          <w:lang w:val="en-US"/>
        </w:rPr>
        <w:fldChar w:fldCharType="end"/>
      </w:r>
      <w:r w:rsidR="000D65CF" w:rsidRPr="000D65CF">
        <w:rPr>
          <w:lang w:val="en-US"/>
        </w:rPr>
        <w:t>.</w:t>
      </w:r>
    </w:p>
    <w:p w14:paraId="65A7F71F" w14:textId="77777777" w:rsidR="008005BB" w:rsidRPr="00C64BF5" w:rsidRDefault="008005BB" w:rsidP="0098753B">
      <w:pPr>
        <w:rPr>
          <w:lang w:val="en-US"/>
        </w:rPr>
      </w:pPr>
    </w:p>
    <w:p w14:paraId="61B01EB6" w14:textId="1040FCA4" w:rsidR="00546ABC" w:rsidRDefault="000D65CF" w:rsidP="00662CEA">
      <w:pPr>
        <w:rPr>
          <w:lang w:val="en-US"/>
        </w:rPr>
      </w:pPr>
      <w:r w:rsidRPr="000D65CF">
        <w:rPr>
          <w:lang w:val="en-US"/>
        </w:rPr>
        <w:t xml:space="preserve">Car use dominates surface passenger transport, is almost entirely dependent on fossil fuels and reducing it effectively is challenging </w:t>
      </w:r>
      <w:r w:rsidR="00880B2F" w:rsidRPr="000D65CF">
        <w:rPr>
          <w:lang w:val="en-US"/>
        </w:rPr>
        <w:fldChar w:fldCharType="begin">
          <w:fldData xml:space="preserve">PEVuZE5vdGU+PENpdGU+PEF1dGhvcj5HcmFoYW0tUm93ZTwvQXV0aG9yPjxZZWFyPjIwMTE8L1ll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</w:fldData>
        </w:fldChar>
      </w:r>
      <w:r w:rsidR="00546ABC">
        <w:rPr>
          <w:lang w:val="en-US"/>
        </w:rPr>
        <w:instrText xml:space="preserve"> ADDIN EN.CITE </w:instrText>
      </w:r>
      <w:r w:rsidR="00546ABC">
        <w:rPr>
          <w:lang w:val="en-US"/>
        </w:rPr>
        <w:fldChar w:fldCharType="begin">
          <w:fldData xml:space="preserve">PEVuZE5vdGU+PENpdGU+PEF1dGhvcj5HcmFoYW0tUm93ZTwvQXV0aG9yPjxZZWFyPjIwMTE8L1ll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</w:fldData>
        </w:fldChar>
      </w:r>
      <w:r w:rsidR="00546ABC">
        <w:rPr>
          <w:lang w:val="en-US"/>
        </w:rPr>
        <w:instrText xml:space="preserve"> ADDIN EN.CITE.DATA </w:instrText>
      </w:r>
      <w:r w:rsidR="00546ABC">
        <w:rPr>
          <w:lang w:val="en-US"/>
        </w:rPr>
      </w:r>
      <w:r w:rsidR="00546ABC">
        <w:rPr>
          <w:lang w:val="en-US"/>
        </w:rPr>
        <w:fldChar w:fldCharType="end"/>
      </w:r>
      <w:r w:rsidR="00880B2F" w:rsidRPr="000D65CF">
        <w:rPr>
          <w:lang w:val="en-US"/>
        </w:rPr>
      </w:r>
      <w:r w:rsidR="00880B2F" w:rsidRPr="000D65CF">
        <w:rPr>
          <w:lang w:val="en-US"/>
        </w:rPr>
        <w:fldChar w:fldCharType="separate"/>
      </w:r>
      <w:r w:rsidR="00C2662B">
        <w:rPr>
          <w:noProof/>
          <w:lang w:val="en-US"/>
        </w:rPr>
        <w:t>(</w:t>
      </w:r>
      <w:hyperlink w:anchor="_ENREF_35" w:tooltip="Graham-Rowe, 2011 #882" w:history="1">
        <w:r w:rsidR="00D67197">
          <w:rPr>
            <w:noProof/>
            <w:lang w:val="en-US"/>
          </w:rPr>
          <w:t>Graham-Rowe et al., 2011</w:t>
        </w:r>
      </w:hyperlink>
      <w:r w:rsidR="00C2662B">
        <w:rPr>
          <w:noProof/>
          <w:lang w:val="en-US"/>
        </w:rPr>
        <w:t xml:space="preserve">; </w:t>
      </w:r>
      <w:hyperlink w:anchor="_ENREF_60" w:tooltip="Poudenx, 2008 #883" w:history="1">
        <w:r w:rsidR="00D67197">
          <w:rPr>
            <w:noProof/>
            <w:lang w:val="en-US"/>
          </w:rPr>
          <w:t>Poudenx, 2008</w:t>
        </w:r>
      </w:hyperlink>
      <w:r w:rsidR="00C2662B">
        <w:rPr>
          <w:noProof/>
          <w:lang w:val="en-US"/>
        </w:rPr>
        <w:t>)</w:t>
      </w:r>
      <w:r w:rsidR="00880B2F" w:rsidRPr="000D65CF">
        <w:rPr>
          <w:lang w:val="en-US"/>
        </w:rPr>
        <w:fldChar w:fldCharType="end"/>
      </w:r>
      <w:r w:rsidRPr="000D65CF">
        <w:rPr>
          <w:lang w:val="en-US"/>
        </w:rPr>
        <w:t xml:space="preserve">. </w:t>
      </w:r>
      <w:r w:rsidR="00662CEA">
        <w:rPr>
          <w:lang w:val="en-US"/>
        </w:rPr>
        <w:t xml:space="preserve"> </w:t>
      </w:r>
      <w:r w:rsidR="00662CEA" w:rsidRPr="000D65CF">
        <w:rPr>
          <w:lang w:val="en-US"/>
        </w:rPr>
        <w:t xml:space="preserve">In the UK, total domestic GHG emissions were </w:t>
      </w:r>
      <w:r w:rsidR="00662CEA" w:rsidRPr="000D65CF">
        <w:rPr>
          <w:bCs/>
          <w:lang w:val="en-US"/>
        </w:rPr>
        <w:t>782</w:t>
      </w:r>
      <w:r w:rsidR="00662CEA">
        <w:rPr>
          <w:lang w:val="en-US"/>
        </w:rPr>
        <w:t xml:space="preserve"> Million ton</w:t>
      </w:r>
      <w:r w:rsidR="00662CEA" w:rsidRPr="000D65CF">
        <w:rPr>
          <w:lang w:val="en-US"/>
        </w:rPr>
        <w:t>s of CO</w:t>
      </w:r>
      <w:r w:rsidR="00662CEA" w:rsidRPr="000D65CF">
        <w:rPr>
          <w:vertAlign w:val="subscript"/>
          <w:lang w:val="en-US"/>
        </w:rPr>
        <w:t>2</w:t>
      </w:r>
      <w:r w:rsidR="00662CEA" w:rsidRPr="000D65CF">
        <w:rPr>
          <w:lang w:val="en-US"/>
        </w:rPr>
        <w:t xml:space="preserve"> equivalent (MtCO</w:t>
      </w:r>
      <w:r w:rsidR="00662CEA" w:rsidRPr="000D65CF">
        <w:rPr>
          <w:vertAlign w:val="subscript"/>
          <w:lang w:val="en-US"/>
        </w:rPr>
        <w:t>2</w:t>
      </w:r>
      <w:r w:rsidR="00662CEA" w:rsidRPr="000D65CF">
        <w:rPr>
          <w:lang w:val="en-US"/>
        </w:rPr>
        <w:t>e) in 1990</w:t>
      </w:r>
      <w:r w:rsidR="007B6814">
        <w:rPr>
          <w:lang w:val="en-US"/>
        </w:rPr>
        <w:t xml:space="preserve"> </w:t>
      </w:r>
      <w:r w:rsidR="007B6814">
        <w:rPr>
          <w:lang w:val="en-US"/>
        </w:rPr>
        <w:fldChar w:fldCharType="begin"/>
      </w:r>
      <w:r w:rsidR="007B6814">
        <w:rPr>
          <w:lang w:val="en-US"/>
        </w:rPr>
        <w:instrText xml:space="preserve"> ADDIN EN.CITE &lt;EndNote&gt;&lt;Cite&gt;&lt;Author&gt;DfT&lt;/Author&gt;&lt;Year&gt;2011&lt;/Year&gt;&lt;RecNum&gt;960&lt;/RecNum&gt;&lt;DisplayText&gt;(DfT, 2011)&lt;/DisplayText&gt;&lt;record&gt;&lt;rec-number&gt;960&lt;/rec-number&gt;&lt;foreign-keys&gt;&lt;key app="EN" db-id="a0wpest2552swgezzsnxxwsnpp9axwswpaww"&gt;960&lt;/key&gt;&lt;/foreign-keys&gt;&lt;ref-type name="Report"&gt;27&lt;/ref-type&gt;&lt;contributors&gt;&lt;authors&gt;&lt;author&gt;DfT&lt;/author&gt;&lt;/authors&gt;&lt;/contributors&gt;&lt;titles&gt;&lt;title&gt;Transport Statistics Great Britain: 2011 edition&lt;/title&gt;&lt;/titles&gt;&lt;dates&gt;&lt;year&gt;2011&lt;/year&gt;&lt;/dates&gt;&lt;pub-location&gt;London&lt;/pub-location&gt;&lt;publisher&gt;Department for Transport (DfT), The Stationary Office&lt;/publisher&gt;&lt;urls&gt;&lt;/urls&gt;&lt;/record&gt;&lt;/Cite&gt;&lt;/EndNote&gt;</w:instrText>
      </w:r>
      <w:r w:rsidR="007B6814">
        <w:rPr>
          <w:lang w:val="en-US"/>
        </w:rPr>
        <w:fldChar w:fldCharType="separate"/>
      </w:r>
      <w:r w:rsidR="007B6814">
        <w:rPr>
          <w:noProof/>
          <w:lang w:val="en-US"/>
        </w:rPr>
        <w:t>(</w:t>
      </w:r>
      <w:hyperlink w:anchor="_ENREF_20" w:tooltip="DfT, 2011 #960" w:history="1">
        <w:r w:rsidR="00D67197">
          <w:rPr>
            <w:noProof/>
            <w:lang w:val="en-US"/>
          </w:rPr>
          <w:t>DfT, 2011</w:t>
        </w:r>
      </w:hyperlink>
      <w:r w:rsidR="007B6814">
        <w:rPr>
          <w:noProof/>
          <w:lang w:val="en-US"/>
        </w:rPr>
        <w:t>)</w:t>
      </w:r>
      <w:r w:rsidR="007B6814">
        <w:rPr>
          <w:lang w:val="en-US"/>
        </w:rPr>
        <w:fldChar w:fldCharType="end"/>
      </w:r>
      <w:r w:rsidR="007B6814">
        <w:rPr>
          <w:lang w:val="en-US"/>
        </w:rPr>
        <w:t xml:space="preserve">.  Domestic transport made up </w:t>
      </w:r>
      <w:r w:rsidR="00662CEA" w:rsidRPr="000D65CF">
        <w:rPr>
          <w:lang w:val="en-US"/>
        </w:rPr>
        <w:t xml:space="preserve">16% </w:t>
      </w:r>
      <w:r w:rsidR="007B6814">
        <w:rPr>
          <w:lang w:val="en-US"/>
        </w:rPr>
        <w:t>of this total, and cars 9%</w:t>
      </w:r>
      <w:r w:rsidR="00546ABC">
        <w:rPr>
          <w:lang w:val="en-US"/>
        </w:rPr>
        <w:t xml:space="preserve">. </w:t>
      </w:r>
      <w:r w:rsidR="007B6814">
        <w:rPr>
          <w:lang w:val="en-US"/>
        </w:rPr>
        <w:t xml:space="preserve"> While </w:t>
      </w:r>
      <w:r w:rsidR="00662CEA" w:rsidRPr="000D65CF">
        <w:rPr>
          <w:lang w:val="en-US"/>
        </w:rPr>
        <w:t xml:space="preserve">total GHG emissions </w:t>
      </w:r>
      <w:r w:rsidR="007B6814">
        <w:rPr>
          <w:lang w:val="en-US"/>
        </w:rPr>
        <w:t xml:space="preserve">decreased by </w:t>
      </w:r>
      <w:r w:rsidR="00662CEA" w:rsidRPr="000D65CF">
        <w:rPr>
          <w:lang w:val="en-US"/>
        </w:rPr>
        <w:t>28%</w:t>
      </w:r>
      <w:r w:rsidR="007B6814">
        <w:rPr>
          <w:lang w:val="en-US"/>
        </w:rPr>
        <w:t xml:space="preserve"> between 1990 and 2009, domestic </w:t>
      </w:r>
      <w:r w:rsidR="00662CEA" w:rsidRPr="000D65CF">
        <w:rPr>
          <w:lang w:val="en-US"/>
        </w:rPr>
        <w:t xml:space="preserve">transport </w:t>
      </w:r>
      <w:r w:rsidR="007B6814">
        <w:rPr>
          <w:lang w:val="en-US"/>
        </w:rPr>
        <w:t>and car emissions have stayed roughly constant, increasing their shares to 22% and 13% respectively</w:t>
      </w:r>
      <w:r w:rsidR="00662CEA" w:rsidRPr="000D65CF">
        <w:rPr>
          <w:lang w:val="en-US"/>
        </w:rPr>
        <w:t xml:space="preserve">. </w:t>
      </w:r>
    </w:p>
    <w:p w14:paraId="0A396941" w14:textId="77777777" w:rsidR="00546ABC" w:rsidRDefault="00546ABC" w:rsidP="00000BE4">
      <w:pPr>
        <w:rPr>
          <w:lang w:val="en-US"/>
        </w:rPr>
      </w:pPr>
    </w:p>
    <w:p w14:paraId="40F812E3" w14:textId="48C56A1B" w:rsidR="00011E68" w:rsidRPr="00C64BF5" w:rsidRDefault="0076472C" w:rsidP="0098753B">
      <w:pPr>
        <w:rPr>
          <w:lang w:val="en-US"/>
        </w:rPr>
      </w:pPr>
      <w:proofErr w:type="spellStart"/>
      <w:r>
        <w:rPr>
          <w:lang w:val="en-US"/>
        </w:rPr>
        <w:t>Decarboniz</w:t>
      </w:r>
      <w:r w:rsidR="000D65CF" w:rsidRPr="000D65CF">
        <w:rPr>
          <w:lang w:val="en-US"/>
        </w:rPr>
        <w:t>ation</w:t>
      </w:r>
      <w:proofErr w:type="spellEnd"/>
      <w:r w:rsidR="000D65CF" w:rsidRPr="000D65CF">
        <w:rPr>
          <w:lang w:val="en-US"/>
        </w:rPr>
        <w:t xml:space="preserve"> and electrification of the passenger vehicle fleet is a key cornerstone of the UK’s climate change strategy and viewed as necessary to achieve the Government’s legislated 2050 target to cut CO</w:t>
      </w:r>
      <w:r w:rsidR="000D65CF" w:rsidRPr="000D65CF">
        <w:rPr>
          <w:vertAlign w:val="subscript"/>
          <w:lang w:val="en-US"/>
        </w:rPr>
        <w:t>2</w:t>
      </w:r>
      <w:r w:rsidR="000D65CF" w:rsidRPr="000D65CF">
        <w:rPr>
          <w:lang w:val="en-US"/>
        </w:rPr>
        <w:t xml:space="preserve"> equivalent emissions by 80% from 1990 levels </w:t>
      </w:r>
      <w:r w:rsidR="00880B2F" w:rsidRPr="000D65CF">
        <w:rPr>
          <w:lang w:val="en-US"/>
        </w:rPr>
        <w:fldChar w:fldCharType="begin"/>
      </w:r>
      <w:r w:rsidR="00C2662B">
        <w:rPr>
          <w:lang w:val="en-US"/>
        </w:rPr>
        <w:instrText xml:space="preserve"> ADDIN EN.CITE &lt;EndNote&gt;&lt;Cite&gt;&lt;Author&gt;Ekins&lt;/Author&gt;&lt;Year&gt;2009&lt;/Year&gt;&lt;RecNum&gt;747&lt;/RecNum&gt;&lt;DisplayText&gt;(Ekins et al., 2009; UK Committee on Climate Change, 2009)&lt;/DisplayText&gt;&lt;record&gt;&lt;rec-number&gt;747&lt;/rec-number&gt;&lt;foreign-keys&gt;&lt;key app="EN" db-id="a0wpest2552swgezzsnxxwsnpp9axwswpaww"&gt;747&lt;/key&gt;&lt;/foreign-keys&gt;&lt;ref-type name="Book Section"&gt;5&lt;/ref-type&gt;&lt;contributors&gt;&lt;authors&gt;&lt;author&gt;Ekins, P.&lt;/author&gt;&lt;author&gt;Anandarajah, G.&lt;/author&gt;&lt;author&gt;Hughes, N.&lt;/author&gt;&lt;author&gt;Kannan, R.&lt;/author&gt;&lt;author&gt;Strachan, N.&lt;/author&gt;&lt;/authors&gt;&lt;secondary-authors&gt;&lt;author&gt;Ekins, P.&lt;/author&gt;&lt;author&gt;Skea, J.&lt;/author&gt;&lt;/secondary-authors&gt;&lt;/contributors&gt;&lt;titles&gt;&lt;title&gt;Chapter 2&lt;/title&gt;&lt;secondary-title&gt;Making the transition to a secure and low-carbon energy system: synthesis report&lt;/secondary-title&gt;&lt;/titles&gt;&lt;dates&gt;&lt;year&gt;2009&lt;/year&gt;&lt;/dates&gt;&lt;pub-location&gt;London&lt;/pub-location&gt;&lt;publisher&gt;UK Energy Research Centre&lt;/publisher&gt;&lt;urls&gt;&lt;/urls&gt;&lt;/record&gt;&lt;/Cite&gt;&lt;Cite&gt;&lt;Author&gt;UK Committee on Climate Change&lt;/Author&gt;&lt;Year&gt;2009&lt;/Year&gt;&lt;RecNum&gt;741&lt;/RecNum&gt;&lt;record&gt;&lt;rec-number&gt;741&lt;/rec-number&gt;&lt;foreign-keys&gt;&lt;key app="EN" db-id="a0wpest2552swgezzsnxxwsnpp9axwswpaww"&gt;741&lt;/key&gt;&lt;/foreign-keys&gt;&lt;ref-type name="Report"&gt;27&lt;/ref-type&gt;&lt;contributors&gt;&lt;authors&gt;&lt;author&gt;UK Committee on Climate Change,&lt;/author&gt;&lt;/authors&gt;&lt;/contributors&gt;&lt;titles&gt;&lt;title&gt;Meeting carbon budgets – the need for a step change. Progress report to Parliament&lt;/title&gt;&lt;/titles&gt;&lt;dates&gt;&lt;year&gt;2009&lt;/year&gt;&lt;/dates&gt;&lt;pub-location&gt;London&lt;/pub-location&gt;&lt;publisher&gt;Committee on Climate Change&lt;/publisher&gt;&lt;urls&gt;&lt;/urls&gt;&lt;/record&gt;&lt;/Cite&gt;&lt;/EndNote&gt;</w:instrText>
      </w:r>
      <w:r w:rsidR="00880B2F" w:rsidRPr="000D65CF">
        <w:rPr>
          <w:lang w:val="en-US"/>
        </w:rPr>
        <w:fldChar w:fldCharType="separate"/>
      </w:r>
      <w:r w:rsidR="00C2662B">
        <w:rPr>
          <w:noProof/>
          <w:lang w:val="en-US"/>
        </w:rPr>
        <w:t>(</w:t>
      </w:r>
      <w:hyperlink w:anchor="_ENREF_24" w:tooltip="Ekins, 2009 #747" w:history="1">
        <w:r w:rsidR="00D67197">
          <w:rPr>
            <w:noProof/>
            <w:lang w:val="en-US"/>
          </w:rPr>
          <w:t>Ekins et al., 2009</w:t>
        </w:r>
      </w:hyperlink>
      <w:r w:rsidR="00C2662B">
        <w:rPr>
          <w:noProof/>
          <w:lang w:val="en-US"/>
        </w:rPr>
        <w:t xml:space="preserve">; </w:t>
      </w:r>
      <w:hyperlink w:anchor="_ENREF_77" w:tooltip="UK Committee on Climate Change, 2009 #741" w:history="1">
        <w:r w:rsidR="00D67197">
          <w:rPr>
            <w:noProof/>
            <w:lang w:val="en-US"/>
          </w:rPr>
          <w:t>UK Committee on Climate Change, 2009</w:t>
        </w:r>
      </w:hyperlink>
      <w:r w:rsidR="00C2662B">
        <w:rPr>
          <w:noProof/>
          <w:lang w:val="en-US"/>
        </w:rPr>
        <w:t>)</w:t>
      </w:r>
      <w:r w:rsidR="00880B2F" w:rsidRPr="000D65CF">
        <w:rPr>
          <w:lang w:val="en-US"/>
        </w:rPr>
        <w:fldChar w:fldCharType="end"/>
      </w:r>
      <w:r w:rsidR="000D65CF" w:rsidRPr="000D65CF">
        <w:rPr>
          <w:lang w:val="en-US"/>
        </w:rPr>
        <w:t xml:space="preserve">. Some analysts say that, to meet the now legislated 2030 mid-term target of 60%, the UK will have to </w:t>
      </w:r>
      <w:r w:rsidR="000D65CF" w:rsidRPr="000D65CF">
        <w:rPr>
          <w:i/>
          <w:lang w:val="en-US"/>
        </w:rPr>
        <w:t>“generate 97 per cent of electricity from low carbon sources like nuclear or wind, insulate 3.5 million homes and ensure 60 per cent of new cars run on electricity”</w:t>
      </w:r>
      <w:r w:rsidR="000D65CF" w:rsidRPr="000D65CF">
        <w:rPr>
          <w:lang w:val="en-US"/>
        </w:rPr>
        <w:t xml:space="preserve"> </w:t>
      </w:r>
      <w:r w:rsidR="00880B2F" w:rsidRPr="000D65CF">
        <w:rPr>
          <w:lang w:val="en-US"/>
        </w:rPr>
        <w:fldChar w:fldCharType="begin"/>
      </w:r>
      <w:r w:rsidR="00C2662B">
        <w:rPr>
          <w:lang w:val="en-US"/>
        </w:rPr>
        <w:instrText xml:space="preserve"> ADDIN EN.CITE &lt;EndNote&gt;&lt;Cite&gt;&lt;Author&gt;UK Committee on Climate Change&lt;/Author&gt;&lt;Year&gt;2011&lt;/Year&gt;&lt;RecNum&gt;881&lt;/RecNum&gt;&lt;DisplayText&gt;(UK Committee on Climate Change, 2011)&lt;/DisplayText&gt;&lt;record&gt;&lt;rec-number&gt;881&lt;/rec-number&gt;&lt;foreign-keys&gt;&lt;key app="EN" db-id="a0wpest2552swgezzsnxxwsnpp9axwswpaww"&gt;881&lt;/key&gt;&lt;/foreign-keys&gt;&lt;ref-type name="Report"&gt;27&lt;/ref-type&gt;&lt;contributors&gt;&lt;authors&gt;&lt;author&gt;UK Committee on Climate Change,&lt;/author&gt;&lt;/authors&gt;&lt;/contributors&gt;&lt;titles&gt;&lt;title&gt;Meeting Carbon Budgets - 3rd Progress Report to Parliament&lt;/title&gt;&lt;/titles&gt;&lt;dates&gt;&lt;year&gt;2011&lt;/year&gt;&lt;/dates&gt;&lt;pub-location&gt;London&lt;/pub-location&gt;&lt;publisher&gt;Committee on Climate Change&lt;/publisher&gt;&lt;urls&gt;&lt;/urls&gt;&lt;/record&gt;&lt;/Cite&gt;&lt;/EndNote&gt;</w:instrText>
      </w:r>
      <w:r w:rsidR="00880B2F" w:rsidRPr="000D65CF">
        <w:rPr>
          <w:lang w:val="en-US"/>
        </w:rPr>
        <w:fldChar w:fldCharType="separate"/>
      </w:r>
      <w:r w:rsidR="00C2662B">
        <w:rPr>
          <w:noProof/>
          <w:lang w:val="en-US"/>
        </w:rPr>
        <w:t>(</w:t>
      </w:r>
      <w:hyperlink w:anchor="_ENREF_78" w:tooltip="UK Committee on Climate Change, 2011 #881" w:history="1">
        <w:r w:rsidR="00D67197">
          <w:rPr>
            <w:noProof/>
            <w:lang w:val="en-US"/>
          </w:rPr>
          <w:t>UK Committee on Climate Change, 2011</w:t>
        </w:r>
      </w:hyperlink>
      <w:r w:rsidR="00C2662B">
        <w:rPr>
          <w:noProof/>
          <w:lang w:val="en-US"/>
        </w:rPr>
        <w:t>)</w:t>
      </w:r>
      <w:r w:rsidR="00880B2F" w:rsidRPr="000D65CF">
        <w:rPr>
          <w:lang w:val="en-US"/>
        </w:rPr>
        <w:fldChar w:fldCharType="end"/>
      </w:r>
      <w:r w:rsidR="000D65CF" w:rsidRPr="000D65CF">
        <w:rPr>
          <w:lang w:val="en-US"/>
        </w:rPr>
        <w:t>. While the new car market has visibly shifted towards lower carbon cars particularly in the last 5 - 10 years (</w:t>
      </w:r>
      <w:r w:rsidR="00880B2F" w:rsidRPr="000D65CF">
        <w:rPr>
          <w:lang w:val="en-US"/>
        </w:rPr>
        <w:fldChar w:fldCharType="begin"/>
      </w:r>
      <w:r w:rsidR="000D65CF" w:rsidRPr="000D65CF">
        <w:rPr>
          <w:lang w:val="en-US"/>
        </w:rPr>
        <w:instrText xml:space="preserve"> REF _Ref299360957 \h </w:instrText>
      </w:r>
      <w:r w:rsidR="00880B2F" w:rsidRPr="000D65CF">
        <w:rPr>
          <w:lang w:val="en-US"/>
        </w:rPr>
      </w:r>
      <w:r w:rsidR="00880B2F" w:rsidRPr="000D65CF">
        <w:rPr>
          <w:lang w:val="en-US"/>
        </w:rPr>
        <w:fldChar w:fldCharType="separate"/>
      </w:r>
      <w:r w:rsidR="000D65CF" w:rsidRPr="000D65CF">
        <w:rPr>
          <w:lang w:val="en-US"/>
        </w:rPr>
        <w:t xml:space="preserve">Figure </w:t>
      </w:r>
      <w:r w:rsidR="000D65CF" w:rsidRPr="000D65CF">
        <w:rPr>
          <w:noProof/>
          <w:lang w:val="en-US"/>
        </w:rPr>
        <w:t>1</w:t>
      </w:r>
      <w:r w:rsidR="00880B2F" w:rsidRPr="000D65CF">
        <w:rPr>
          <w:lang w:val="en-US"/>
        </w:rPr>
        <w:fldChar w:fldCharType="end"/>
      </w:r>
      <w:r w:rsidR="000D65CF" w:rsidRPr="000D65CF">
        <w:rPr>
          <w:lang w:val="en-US"/>
        </w:rPr>
        <w:t xml:space="preserve">), just 167 pure electric and 22,148 hybrid vehicles were newly registered in 2010 – representing only 1.1% of total UK new car registrations </w:t>
      </w:r>
      <w:r w:rsidR="00880B2F" w:rsidRPr="000D65CF">
        <w:rPr>
          <w:lang w:val="en-US"/>
        </w:rPr>
        <w:fldChar w:fldCharType="begin"/>
      </w:r>
      <w:r w:rsidR="00C2662B">
        <w:rPr>
          <w:lang w:val="en-US"/>
        </w:rPr>
        <w:instrText xml:space="preserve"> ADDIN EN.CITE &lt;EndNote&gt;&lt;Cite&gt;&lt;Author&gt;SMMT&lt;/Author&gt;&lt;Year&gt;2011&lt;/Year&gt;&lt;RecNum&gt;896&lt;/RecNum&gt;&lt;DisplayText&gt;(SMMT, 2011)&lt;/DisplayText&gt;&lt;record&gt;&lt;rec-number&gt;896&lt;/rec-number&gt;&lt;foreign-keys&gt;&lt;key app="EN" db-id="a0wpest2552swgezzsnxxwsnpp9axwswpaww"&gt;896&lt;/key&gt;&lt;/foreign-keys&gt;&lt;ref-type name="Report"&gt;27&lt;/ref-type&gt;&lt;contributors&gt;&lt;authors&gt;&lt;author&gt;SMMT&lt;/author&gt;&lt;/authors&gt;&lt;/contributors&gt;&lt;titles&gt;&lt;title&gt;New Car CO2 Report 2011: The 10th report&lt;/title&gt;&lt;/titles&gt;&lt;dates&gt;&lt;year&gt;2011&lt;/year&gt;&lt;/dates&gt;&lt;pub-location&gt;London&lt;/pub-location&gt;&lt;publisher&gt;The Society of Motor Manufacturers and Traders (SMMT)&lt;/publisher&gt;&lt;urls&gt;&lt;related-urls&gt;&lt;url&gt;www.smmt.co.uk&lt;/url&gt;&lt;/related-urls&gt;&lt;/urls&gt;&lt;/record&gt;&lt;/Cite&gt;&lt;/EndNote&gt;</w:instrText>
      </w:r>
      <w:r w:rsidR="00880B2F" w:rsidRPr="000D65CF">
        <w:rPr>
          <w:lang w:val="en-US"/>
        </w:rPr>
        <w:fldChar w:fldCharType="separate"/>
      </w:r>
      <w:r w:rsidR="00C2662B">
        <w:rPr>
          <w:noProof/>
          <w:lang w:val="en-US"/>
        </w:rPr>
        <w:t>(</w:t>
      </w:r>
      <w:hyperlink w:anchor="_ENREF_70" w:tooltip="SMMT, 2011 #896" w:history="1">
        <w:r w:rsidR="00D67197">
          <w:rPr>
            <w:noProof/>
            <w:lang w:val="en-US"/>
          </w:rPr>
          <w:t>SMMT, 2011</w:t>
        </w:r>
      </w:hyperlink>
      <w:r w:rsidR="00C2662B">
        <w:rPr>
          <w:noProof/>
          <w:lang w:val="en-US"/>
        </w:rPr>
        <w:t>)</w:t>
      </w:r>
      <w:r w:rsidR="00880B2F" w:rsidRPr="000D65CF">
        <w:rPr>
          <w:lang w:val="en-US"/>
        </w:rPr>
        <w:fldChar w:fldCharType="end"/>
      </w:r>
      <w:r w:rsidR="000D65CF" w:rsidRPr="000D65CF">
        <w:rPr>
          <w:lang w:val="en-US"/>
        </w:rPr>
        <w:t xml:space="preserve">. The SMMT cite </w:t>
      </w:r>
      <w:r w:rsidR="000D65CF" w:rsidRPr="000D65CF">
        <w:rPr>
          <w:i/>
          <w:lang w:val="en-US"/>
        </w:rPr>
        <w:t>“poor range, high costs and disappointing performance”</w:t>
      </w:r>
      <w:r w:rsidR="000D65CF" w:rsidRPr="000D65CF">
        <w:rPr>
          <w:lang w:val="en-US"/>
        </w:rPr>
        <w:t xml:space="preserve"> (ibid) as the main reasons why drivers are reluctant to make the switch to EVs. </w:t>
      </w:r>
    </w:p>
    <w:p w14:paraId="07F96DED" w14:textId="77777777" w:rsidR="00000BE4" w:rsidRPr="00C64BF5" w:rsidRDefault="00000BE4" w:rsidP="0098753B">
      <w:pPr>
        <w:rPr>
          <w:lang w:val="en-US"/>
        </w:rPr>
      </w:pPr>
    </w:p>
    <w:p w14:paraId="06FAE050" w14:textId="7003822D" w:rsidR="001918BF" w:rsidRPr="00C64BF5" w:rsidRDefault="000D65CF" w:rsidP="001918BF">
      <w:pPr>
        <w:rPr>
          <w:lang w:val="en-US"/>
        </w:rPr>
      </w:pPr>
      <w:r w:rsidRPr="000D65CF">
        <w:rPr>
          <w:lang w:val="en-US"/>
        </w:rPr>
        <w:t xml:space="preserve">The UK policy focus on vehicle technology and supporting fiscal incentives reflects other global transport </w:t>
      </w:r>
      <w:r w:rsidR="0076472C" w:rsidRPr="000D65CF">
        <w:rPr>
          <w:lang w:val="en-US"/>
        </w:rPr>
        <w:t>modeling</w:t>
      </w:r>
      <w:r w:rsidRPr="000D65CF">
        <w:rPr>
          <w:lang w:val="en-US"/>
        </w:rPr>
        <w:t xml:space="preserve"> exercises that depend upon between 40% to 90% market penetrations of technologies such as plug-in hybrids and full battery electric </w:t>
      </w:r>
      <w:r w:rsidR="0076472C">
        <w:rPr>
          <w:lang w:val="en-US"/>
        </w:rPr>
        <w:t xml:space="preserve">light duty passenger </w:t>
      </w:r>
      <w:r w:rsidRPr="000D65CF">
        <w:rPr>
          <w:lang w:val="en-US"/>
        </w:rPr>
        <w:t xml:space="preserve">vehicles between 2030 and 2050 </w:t>
      </w:r>
      <w:r w:rsidR="00880B2F" w:rsidRPr="000D65CF">
        <w:rPr>
          <w:lang w:val="en-US"/>
        </w:rPr>
        <w:fldChar w:fldCharType="begin">
          <w:fldData xml:space="preserve">PEVuZE5vdGU+PENpdGU+PEF1dGhvcj5NY0tpbnNleSAmYW1wOyBDb21wYW55PC9BdXRob3I+PFll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</w:fldData>
        </w:fldChar>
      </w:r>
      <w:r w:rsidR="00250B49">
        <w:rPr>
          <w:lang w:val="en-US"/>
        </w:rPr>
        <w:instrText xml:space="preserve"> ADDIN EN.CITE </w:instrText>
      </w:r>
      <w:r w:rsidR="00250B49">
        <w:rPr>
          <w:lang w:val="en-US"/>
        </w:rPr>
        <w:fldChar w:fldCharType="begin">
          <w:fldData xml:space="preserve">PEVuZE5vdGU+PENpdGU+PEF1dGhvcj5NY0tpbnNleSAmYW1wOyBDb21wYW55PC9BdXRob3I+PFll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</w:fldData>
        </w:fldChar>
      </w:r>
      <w:r w:rsidR="00250B49">
        <w:rPr>
          <w:lang w:val="en-US"/>
        </w:rPr>
        <w:instrText xml:space="preserve"> ADDIN EN.CITE.DATA </w:instrText>
      </w:r>
      <w:r w:rsidR="00250B49">
        <w:rPr>
          <w:lang w:val="en-US"/>
        </w:rPr>
      </w:r>
      <w:r w:rsidR="00250B49">
        <w:rPr>
          <w:lang w:val="en-US"/>
        </w:rPr>
        <w:fldChar w:fldCharType="end"/>
      </w:r>
      <w:r w:rsidR="00880B2F" w:rsidRPr="000D65CF">
        <w:rPr>
          <w:lang w:val="en-US"/>
        </w:rPr>
      </w:r>
      <w:r w:rsidR="00880B2F" w:rsidRPr="000D65CF">
        <w:rPr>
          <w:lang w:val="en-US"/>
        </w:rPr>
        <w:fldChar w:fldCharType="separate"/>
      </w:r>
      <w:r w:rsidR="00250B49">
        <w:rPr>
          <w:noProof/>
          <w:lang w:val="en-US"/>
        </w:rPr>
        <w:t>(</w:t>
      </w:r>
      <w:hyperlink w:anchor="_ENREF_45" w:tooltip="IEA, 2011 #976" w:history="1">
        <w:r w:rsidR="00D67197">
          <w:rPr>
            <w:noProof/>
            <w:lang w:val="en-US"/>
          </w:rPr>
          <w:t>IEA, 2011</w:t>
        </w:r>
      </w:hyperlink>
      <w:r w:rsidR="00250B49">
        <w:rPr>
          <w:noProof/>
          <w:lang w:val="en-US"/>
        </w:rPr>
        <w:t xml:space="preserve">; </w:t>
      </w:r>
      <w:hyperlink w:anchor="_ENREF_54" w:tooltip="McKinsey &amp; Company, 2009 #748" w:history="1">
        <w:r w:rsidR="00D67197">
          <w:rPr>
            <w:noProof/>
            <w:lang w:val="en-US"/>
          </w:rPr>
          <w:t>McKinsey &amp; Company, 2009</w:t>
        </w:r>
      </w:hyperlink>
      <w:r w:rsidR="00250B49">
        <w:rPr>
          <w:noProof/>
          <w:lang w:val="en-US"/>
        </w:rPr>
        <w:t xml:space="preserve">; </w:t>
      </w:r>
      <w:hyperlink w:anchor="_ENREF_85" w:tooltip="WBCSD, 2004 #749" w:history="1">
        <w:r w:rsidR="00D67197">
          <w:rPr>
            <w:noProof/>
            <w:lang w:val="en-US"/>
          </w:rPr>
          <w:t>WBCSD, 2004</w:t>
        </w:r>
      </w:hyperlink>
      <w:r w:rsidR="00250B49">
        <w:rPr>
          <w:noProof/>
          <w:lang w:val="en-US"/>
        </w:rPr>
        <w:t xml:space="preserve">; </w:t>
      </w:r>
      <w:hyperlink w:anchor="_ENREF_86" w:tooltip="WEC, 2007 #750" w:history="1">
        <w:r w:rsidR="00D67197">
          <w:rPr>
            <w:noProof/>
            <w:lang w:val="en-US"/>
          </w:rPr>
          <w:t>WEC, 2007</w:t>
        </w:r>
      </w:hyperlink>
      <w:r w:rsidR="00250B49">
        <w:rPr>
          <w:noProof/>
          <w:lang w:val="en-US"/>
        </w:rPr>
        <w:t>)</w:t>
      </w:r>
      <w:r w:rsidR="00880B2F" w:rsidRPr="000D65CF">
        <w:rPr>
          <w:lang w:val="en-US"/>
        </w:rPr>
        <w:fldChar w:fldCharType="end"/>
      </w:r>
      <w:r w:rsidRPr="000D65CF">
        <w:rPr>
          <w:lang w:val="en-US"/>
        </w:rPr>
        <w:t>.</w:t>
      </w:r>
      <w:r w:rsidR="00250B49">
        <w:rPr>
          <w:lang w:val="en-US"/>
        </w:rPr>
        <w:t xml:space="preserve"> </w:t>
      </w:r>
      <w:r w:rsidRPr="000D65CF">
        <w:rPr>
          <w:lang w:val="en-US"/>
        </w:rPr>
        <w:t xml:space="preserve"> Despite this focus and the need to meet legislated short and medium targets, there is a gap in understanding the carbon emission reduction effects of individual </w:t>
      </w:r>
      <w:r w:rsidR="00340467">
        <w:rPr>
          <w:lang w:val="en-US"/>
        </w:rPr>
        <w:t>vehicle tax policies</w:t>
      </w:r>
      <w:r w:rsidRPr="000D65CF">
        <w:rPr>
          <w:lang w:val="en-US"/>
        </w:rPr>
        <w:t xml:space="preserve">. </w:t>
      </w:r>
      <w:r w:rsidR="00250B49">
        <w:rPr>
          <w:lang w:val="en-US"/>
        </w:rPr>
        <w:t xml:space="preserve"> </w:t>
      </w:r>
      <w:r w:rsidRPr="000D65CF">
        <w:rPr>
          <w:lang w:val="en-US"/>
        </w:rPr>
        <w:t xml:space="preserve">The evidence we have is mostly </w:t>
      </w:r>
      <w:r w:rsidRPr="000D65CF">
        <w:rPr>
          <w:i/>
          <w:lang w:val="en-US"/>
        </w:rPr>
        <w:t>ex-ante</w:t>
      </w:r>
      <w:r w:rsidRPr="000D65CF">
        <w:rPr>
          <w:lang w:val="en-US"/>
        </w:rPr>
        <w:t xml:space="preserve"> </w:t>
      </w:r>
      <w:r w:rsidR="00880B2F" w:rsidRPr="000D65CF">
        <w:rPr>
          <w:lang w:val="en-US"/>
        </w:rPr>
        <w:fldChar w:fldCharType="begin">
          <w:fldData xml:space="preserve">PEVuZE5vdGU+PENpdGU+PEF1dGhvcj5TcGl0emxleTwvQXV0aG9yPjxZZWFyPjIwMDU8L1llYXI+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</w:fldData>
        </w:fldChar>
      </w:r>
      <w:r w:rsidR="00867C8A">
        <w:rPr>
          <w:lang w:val="en-US"/>
        </w:rPr>
        <w:instrText xml:space="preserve"> ADDIN EN.CITE </w:instrText>
      </w:r>
      <w:r w:rsidR="00867C8A">
        <w:rPr>
          <w:lang w:val="en-US"/>
        </w:rPr>
        <w:fldChar w:fldCharType="begin">
          <w:fldData xml:space="preserve">PEVuZE5vdGU+PENpdGU+PEF1dGhvcj5TcGl0emxleTwvQXV0aG9yPjxZZWFyPjIwMDU8L1llYXI+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</w:fldData>
        </w:fldChar>
      </w:r>
      <w:r w:rsidR="00867C8A">
        <w:rPr>
          <w:lang w:val="en-US"/>
        </w:rPr>
        <w:instrText xml:space="preserve"> ADDIN EN.CITE.DATA </w:instrText>
      </w:r>
      <w:r w:rsidR="00867C8A">
        <w:rPr>
          <w:lang w:val="en-US"/>
        </w:rPr>
      </w:r>
      <w:r w:rsidR="00867C8A">
        <w:rPr>
          <w:lang w:val="en-US"/>
        </w:rPr>
        <w:fldChar w:fldCharType="end"/>
      </w:r>
      <w:r w:rsidR="00880B2F" w:rsidRPr="000D65CF">
        <w:rPr>
          <w:lang w:val="en-US"/>
        </w:rPr>
      </w:r>
      <w:r w:rsidR="00880B2F" w:rsidRPr="000D65CF">
        <w:rPr>
          <w:lang w:val="en-US"/>
        </w:rPr>
        <w:fldChar w:fldCharType="separate"/>
      </w:r>
      <w:r w:rsidR="00BB43B7">
        <w:rPr>
          <w:noProof/>
          <w:lang w:val="en-US"/>
        </w:rPr>
        <w:t>(</w:t>
      </w:r>
      <w:hyperlink w:anchor="_ENREF_5" w:tooltip="Bastani, 2012 #984" w:history="1">
        <w:r w:rsidR="00D67197">
          <w:rPr>
            <w:noProof/>
            <w:lang w:val="en-US"/>
          </w:rPr>
          <w:t>Bastani et al., 2012</w:t>
        </w:r>
      </w:hyperlink>
      <w:r w:rsidR="00BB43B7">
        <w:rPr>
          <w:noProof/>
          <w:lang w:val="en-US"/>
        </w:rPr>
        <w:t xml:space="preserve">; </w:t>
      </w:r>
      <w:hyperlink w:anchor="_ENREF_6" w:tooltip="BenDor, 2006 #889" w:history="1">
        <w:r w:rsidR="00D67197">
          <w:rPr>
            <w:noProof/>
            <w:lang w:val="en-US"/>
          </w:rPr>
          <w:t>BenDor and Ford, 2006</w:t>
        </w:r>
      </w:hyperlink>
      <w:r w:rsidR="00BB43B7">
        <w:rPr>
          <w:noProof/>
          <w:lang w:val="en-US"/>
        </w:rPr>
        <w:t xml:space="preserve">; </w:t>
      </w:r>
      <w:hyperlink w:anchor="_ENREF_36" w:tooltip="Greene, 2009 #864" w:history="1">
        <w:r w:rsidR="00D67197">
          <w:rPr>
            <w:noProof/>
            <w:lang w:val="en-US"/>
          </w:rPr>
          <w:t>Greene, 2009</w:t>
        </w:r>
      </w:hyperlink>
      <w:r w:rsidR="00BB43B7">
        <w:rPr>
          <w:noProof/>
          <w:lang w:val="en-US"/>
        </w:rPr>
        <w:t xml:space="preserve">; </w:t>
      </w:r>
      <w:hyperlink w:anchor="_ENREF_37" w:tooltip="Greene, 2005 #863" w:history="1">
        <w:r w:rsidR="00D67197">
          <w:rPr>
            <w:noProof/>
            <w:lang w:val="en-US"/>
          </w:rPr>
          <w:t>Greene et al., 2005</w:t>
        </w:r>
      </w:hyperlink>
      <w:r w:rsidR="00BB43B7">
        <w:rPr>
          <w:noProof/>
          <w:lang w:val="en-US"/>
        </w:rPr>
        <w:t xml:space="preserve">; </w:t>
      </w:r>
      <w:hyperlink w:anchor="_ENREF_39" w:tooltip="Haan, 2006 #893" w:history="1">
        <w:r w:rsidR="00D67197">
          <w:rPr>
            <w:noProof/>
            <w:lang w:val="en-US"/>
          </w:rPr>
          <w:t>Haan et al., 2006</w:t>
        </w:r>
      </w:hyperlink>
      <w:r w:rsidR="00BB43B7">
        <w:rPr>
          <w:noProof/>
          <w:lang w:val="en-US"/>
        </w:rPr>
        <w:t xml:space="preserve">; </w:t>
      </w:r>
      <w:hyperlink w:anchor="_ENREF_66" w:tooltip="Skippon, 2012 #983" w:history="1">
        <w:r w:rsidR="00D67197">
          <w:rPr>
            <w:noProof/>
            <w:lang w:val="en-US"/>
          </w:rPr>
          <w:t>Skippon et al., 2012</w:t>
        </w:r>
      </w:hyperlink>
      <w:r w:rsidR="00BB43B7">
        <w:rPr>
          <w:noProof/>
          <w:lang w:val="en-US"/>
        </w:rPr>
        <w:t xml:space="preserve">; </w:t>
      </w:r>
      <w:hyperlink w:anchor="_ENREF_71" w:tooltip="Spitzley, 2005 #928" w:history="1">
        <w:r w:rsidR="00D67197">
          <w:rPr>
            <w:noProof/>
            <w:lang w:val="en-US"/>
          </w:rPr>
          <w:t>Spitzley et al., 2005</w:t>
        </w:r>
      </w:hyperlink>
      <w:r w:rsidR="00BB43B7">
        <w:rPr>
          <w:noProof/>
          <w:lang w:val="en-US"/>
        </w:rPr>
        <w:t>)</w:t>
      </w:r>
      <w:r w:rsidR="00880B2F" w:rsidRPr="000D65CF">
        <w:rPr>
          <w:lang w:val="en-US"/>
        </w:rPr>
        <w:fldChar w:fldCharType="end"/>
      </w:r>
      <w:r w:rsidRPr="000D65CF">
        <w:rPr>
          <w:lang w:val="en-US"/>
        </w:rPr>
        <w:t xml:space="preserve">, with some notable attempts of </w:t>
      </w:r>
      <w:r w:rsidRPr="000D65CF">
        <w:rPr>
          <w:i/>
          <w:lang w:val="en-US"/>
        </w:rPr>
        <w:t>ex-post</w:t>
      </w:r>
      <w:r w:rsidRPr="000D65CF">
        <w:rPr>
          <w:lang w:val="en-US"/>
        </w:rPr>
        <w:t xml:space="preserve"> evaluation of </w:t>
      </w:r>
      <w:r w:rsidR="00250B49" w:rsidRPr="00250B49">
        <w:rPr>
          <w:lang w:val="en-US"/>
        </w:rPr>
        <w:t xml:space="preserve">fiscal policy instruments on passenger car sales </w:t>
      </w:r>
      <w:r w:rsidR="00250B49" w:rsidRPr="00250B49">
        <w:rPr>
          <w:lang w:val="en-US"/>
        </w:rPr>
        <w:lastRenderedPageBreak/>
        <w:t>and CO</w:t>
      </w:r>
      <w:r w:rsidR="00250B49" w:rsidRPr="00250B49">
        <w:rPr>
          <w:vertAlign w:val="subscript"/>
          <w:lang w:val="en-US"/>
        </w:rPr>
        <w:t>2</w:t>
      </w:r>
      <w:r w:rsidR="00250B49" w:rsidRPr="00250B49">
        <w:rPr>
          <w:lang w:val="en-US"/>
        </w:rPr>
        <w:t xml:space="preserve"> emissions </w:t>
      </w:r>
      <w:r w:rsidR="00250B49">
        <w:rPr>
          <w:lang w:val="en-US"/>
        </w:rPr>
        <w:fldChar w:fldCharType="begin"/>
      </w:r>
      <w:r w:rsidR="00250B49">
        <w:rPr>
          <w:lang w:val="en-US"/>
        </w:rPr>
        <w:instrText xml:space="preserve"> ADDIN EN.CITE &lt;EndNote&gt;&lt;Cite&gt;&lt;Author&gt;Ryan&lt;/Author&gt;&lt;Year&gt;2009&lt;/Year&gt;&lt;RecNum&gt;891&lt;/RecNum&gt;&lt;DisplayText&gt;(Ryan et al., 2009)&lt;/DisplayText&gt;&lt;record&gt;&lt;rec-number&gt;891&lt;/rec-number&gt;&lt;foreign-keys&gt;&lt;key app="EN" db-id="a0wpest2552swgezzsnxxwsnpp9axwswpaww"&gt;891&lt;/key&gt;&lt;/foreign-keys&gt;&lt;ref-type name="Journal Article"&gt;17&lt;/ref-type&gt;&lt;contributors&gt;&lt;authors&gt;&lt;author&gt;Ryan, Lisa&lt;/author&gt;&lt;author&gt;Ferreira, Susana&lt;/author&gt;&lt;author&gt;Convery, Frank&lt;/author&gt;&lt;/authors&gt;&lt;/contributors&gt;&lt;titles&gt;&lt;title&gt;The impact of fiscal and other measures on new passenger car sales and CO2 emissions intensity: Evidence from Europe&lt;/title&gt;&lt;secondary-title&gt;Energy Economics&lt;/secondary-title&gt;&lt;/titles&gt;&lt;periodical&gt;&lt;full-title&gt;Energy Economics&lt;/full-title&gt;&lt;abbr-1&gt;Energy Econ.&lt;/abbr-1&gt;&lt;/periodical&gt;&lt;pages&gt;365-374&lt;/pages&gt;&lt;volume&gt;31&lt;/volume&gt;&lt;number&gt;3&lt;/number&gt;&lt;keywords&gt;&lt;keyword&gt;transport policy&lt;/keyword&gt;&lt;keyword&gt;vehicle taxes&lt;/keyword&gt;&lt;keyword&gt;passenger car CO2 emissions&lt;/keyword&gt;&lt;keyword&gt;climate policy&lt;/keyword&gt;&lt;/keywords&gt;&lt;dates&gt;&lt;year&gt;2009&lt;/year&gt;&lt;/dates&gt;&lt;isbn&gt;0140-9883&lt;/isbn&gt;&lt;urls&gt;&lt;related-urls&gt;&lt;url&gt;http://www.sciencedirect.com/science/article/pii/S0140988308001850&lt;/url&gt;&lt;/related-urls&gt;&lt;/urls&gt;&lt;electronic-resource-num&gt;10.1016/j.eneco.2008.11.011&lt;/electronic-resource-num&gt;&lt;/record&gt;&lt;/Cite&gt;&lt;/EndNote&gt;</w:instrText>
      </w:r>
      <w:r w:rsidR="00250B49">
        <w:rPr>
          <w:lang w:val="en-US"/>
        </w:rPr>
        <w:fldChar w:fldCharType="separate"/>
      </w:r>
      <w:r w:rsidR="00250B49">
        <w:rPr>
          <w:noProof/>
          <w:lang w:val="en-US"/>
        </w:rPr>
        <w:t>(</w:t>
      </w:r>
      <w:hyperlink w:anchor="_ENREF_63" w:tooltip="Ryan, 2009 #891" w:history="1">
        <w:r w:rsidR="00D67197">
          <w:rPr>
            <w:noProof/>
            <w:lang w:val="en-US"/>
          </w:rPr>
          <w:t>Ryan et al., 2009</w:t>
        </w:r>
      </w:hyperlink>
      <w:r w:rsidR="00250B49">
        <w:rPr>
          <w:noProof/>
          <w:lang w:val="en-US"/>
        </w:rPr>
        <w:t>)</w:t>
      </w:r>
      <w:r w:rsidR="00250B49">
        <w:rPr>
          <w:lang w:val="en-US"/>
        </w:rPr>
        <w:fldChar w:fldCharType="end"/>
      </w:r>
      <w:r w:rsidR="00340467">
        <w:rPr>
          <w:lang w:val="en-US"/>
        </w:rPr>
        <w:t>,</w:t>
      </w:r>
      <w:r w:rsidR="00250B49">
        <w:rPr>
          <w:lang w:val="en-US"/>
        </w:rPr>
        <w:t xml:space="preserve"> </w:t>
      </w:r>
      <w:r w:rsidR="00250B49" w:rsidRPr="000D65CF">
        <w:rPr>
          <w:lang w:val="en-US"/>
        </w:rPr>
        <w:t>car taxation policy in</w:t>
      </w:r>
      <w:r w:rsidR="00250B49">
        <w:rPr>
          <w:lang w:val="en-US"/>
        </w:rPr>
        <w:t xml:space="preserve"> </w:t>
      </w:r>
      <w:r w:rsidRPr="000D65CF">
        <w:rPr>
          <w:lang w:val="en-US"/>
        </w:rPr>
        <w:t xml:space="preserve">Ireland </w:t>
      </w:r>
      <w:r w:rsidR="00880B2F" w:rsidRPr="000D65CF">
        <w:rPr>
          <w:lang w:val="en-US"/>
        </w:rPr>
        <w:fldChar w:fldCharType="begin"/>
      </w:r>
      <w:r w:rsidR="00546ABC">
        <w:rPr>
          <w:lang w:val="en-US"/>
        </w:rPr>
        <w:instrText xml:space="preserve"> ADDIN EN.CITE &lt;EndNote&gt;&lt;Cite&gt;&lt;Author&gt;Rogan&lt;/Author&gt;&lt;Year&gt;2011&lt;/Year&gt;&lt;RecNum&gt;885&lt;/RecNum&gt;&lt;DisplayText&gt;(Rogan et al., 2011)&lt;/DisplayText&gt;&lt;record&gt;&lt;rec-number&gt;885&lt;/rec-number&gt;&lt;foreign-keys&gt;&lt;key app="EN" db-id="a0wpest2552swgezzsnxxwsnpp9axwswpaww"&gt;885&lt;/key&gt;&lt;/foreign-keys&gt;&lt;ref-type name="Journal Article"&gt;17&lt;/ref-type&gt;&lt;contributors&gt;&lt;authors&gt;&lt;author&gt;Rogan, Fionn&lt;/author&gt;&lt;author&gt;Dennehy, Emer&lt;/author&gt;&lt;author&gt;Daly, Hannah&lt;/author&gt;&lt;author&gt;Howley, Martin&lt;/author&gt;&lt;author&gt;Ó Gallachóir, Brian P.&lt;/author&gt;&lt;/authors&gt;&lt;/contributors&gt;&lt;titles&gt;&lt;title&gt;Impacts of an emission based private car taxation policy - First year ex-post analysis&lt;/title&gt;&lt;secondary-title&gt;Transportation Research Part A: Policy and Practice&lt;/secondary-title&gt;&lt;/titles&gt;&lt;periodical&gt;&lt;full-title&gt;Transportation Research Part A: Policy and Practice&lt;/full-title&gt;&lt;abbr-1&gt;Transp. Res.: Part A: Pol. Practice&lt;/abbr-1&gt;&lt;/periodical&gt;&lt;pages&gt;583-597&lt;/pages&gt;&lt;volume&gt;45&lt;/volume&gt;&lt;number&gt;7&lt;/number&gt;&lt;keywords&gt;&lt;keyword&gt;Transport energy&lt;/keyword&gt;&lt;keyword&gt;Private car&lt;/keyword&gt;&lt;keyword&gt;CO2 emissions reduction&lt;/keyword&gt;&lt;keyword&gt;Climate change policy&lt;/keyword&gt;&lt;keyword&gt;Ex-post analysis&lt;/keyword&gt;&lt;keyword&gt;Ireland&lt;/keyword&gt;&lt;/keywords&gt;&lt;dates&gt;&lt;year&gt;2011&lt;/year&gt;&lt;/dates&gt;&lt;isbn&gt;0965-8564&lt;/isbn&gt;&lt;urls&gt;&lt;related-urls&gt;&lt;url&gt;http://www.sciencedirect.com/science/article/pii/S096585641100053X&lt;/url&gt;&lt;/related-urls&gt;&lt;/urls&gt;&lt;electronic-resource-num&gt;10.1016/j.tra.2011.03.007&lt;/electronic-resource-num&gt;&lt;/record&gt;&lt;/Cite&gt;&lt;/EndNote&gt;</w:instrText>
      </w:r>
      <w:r w:rsidR="00880B2F" w:rsidRPr="000D65CF">
        <w:rPr>
          <w:lang w:val="en-US"/>
        </w:rPr>
        <w:fldChar w:fldCharType="separate"/>
      </w:r>
      <w:r w:rsidR="00C2662B">
        <w:rPr>
          <w:noProof/>
          <w:lang w:val="en-US"/>
        </w:rPr>
        <w:t>(</w:t>
      </w:r>
      <w:hyperlink w:anchor="_ENREF_61" w:tooltip="Rogan, 2011 #885" w:history="1">
        <w:r w:rsidR="00D67197">
          <w:rPr>
            <w:noProof/>
            <w:lang w:val="en-US"/>
          </w:rPr>
          <w:t>Rogan et al., 2011</w:t>
        </w:r>
      </w:hyperlink>
      <w:r w:rsidR="00C2662B">
        <w:rPr>
          <w:noProof/>
          <w:lang w:val="en-US"/>
        </w:rPr>
        <w:t>)</w:t>
      </w:r>
      <w:r w:rsidR="00880B2F" w:rsidRPr="000D65CF">
        <w:rPr>
          <w:lang w:val="en-US"/>
        </w:rPr>
        <w:fldChar w:fldCharType="end"/>
      </w:r>
      <w:r w:rsidR="00340467">
        <w:rPr>
          <w:lang w:val="en-US"/>
        </w:rPr>
        <w:t xml:space="preserve"> and </w:t>
      </w:r>
      <w:r w:rsidR="006E5A4B">
        <w:rPr>
          <w:lang w:val="en-US"/>
        </w:rPr>
        <w:t xml:space="preserve">the </w:t>
      </w:r>
      <w:r w:rsidR="00340467" w:rsidRPr="00340467">
        <w:rPr>
          <w:lang w:val="en-US"/>
        </w:rPr>
        <w:t>car registration fee in the Czech Republic</w:t>
      </w:r>
      <w:r w:rsidR="00340467">
        <w:rPr>
          <w:lang w:val="en-US"/>
        </w:rPr>
        <w:t xml:space="preserve"> </w:t>
      </w:r>
      <w:r w:rsidR="00340467">
        <w:rPr>
          <w:lang w:val="en-US"/>
        </w:rPr>
        <w:fldChar w:fldCharType="begin"/>
      </w:r>
      <w:r w:rsidR="00340467">
        <w:rPr>
          <w:lang w:val="en-US"/>
        </w:rPr>
        <w:instrText xml:space="preserve"> ADDIN EN.CITE &lt;EndNote&gt;&lt;Cite&gt;&lt;Author&gt;Zimmermannova&lt;/Author&gt;&lt;Year&gt;2012&lt;/Year&gt;&lt;RecNum&gt;985&lt;/RecNum&gt;&lt;DisplayText&gt;(Zimmermannova, 2012)&lt;/DisplayText&gt;&lt;record&gt;&lt;rec-number&gt;985&lt;/rec-number&gt;&lt;foreign-keys&gt;&lt;key app="EN" db-id="a0wpest2552swgezzsnxxwsnpp9axwswpaww"&gt;985&lt;/key&gt;&lt;/foreign-keys&gt;&lt;ref-type name="Journal Article"&gt;17&lt;/ref-type&gt;&lt;contributors&gt;&lt;authors&gt;&lt;author&gt;Zimmermannova, Jarmila&lt;/author&gt;&lt;/authors&gt;&lt;/contributors&gt;&lt;titles&gt;&lt;title&gt;Ex-post analysis of impacts of the car registration fee in the Czech Republic&lt;/title&gt;&lt;secondary-title&gt;Transportation Research Part A: Policy and Practice&lt;/secondary-title&gt;&lt;/titles&gt;&lt;periodical&gt;&lt;full-title&gt;Transportation Research Part A: Policy and Practice&lt;/full-title&gt;&lt;abbr-1&gt;Transp. Res.: Part A: Pol. Practice&lt;/abbr-1&gt;&lt;/periodical&gt;&lt;pages&gt;1458-1464&lt;/pages&gt;&lt;volume&gt;46&lt;/volume&gt;&lt;number&gt;9&lt;/number&gt;&lt;keywords&gt;&lt;keyword&gt;Transport policy&lt;/keyword&gt;&lt;keyword&gt;Environmental taxation&lt;/keyword&gt;&lt;keyword&gt;Ex-post analysis&lt;/keyword&gt;&lt;keyword&gt;Car fleet structure&lt;/keyword&gt;&lt;keyword&gt;Passenger car registrations&lt;/keyword&gt;&lt;keyword&gt;Czech Republic&lt;/keyword&gt;&lt;/keywords&gt;&lt;dates&gt;&lt;year&gt;2012&lt;/year&gt;&lt;/dates&gt;&lt;isbn&gt;0965-8564&lt;/isbn&gt;&lt;urls&gt;&lt;related-urls&gt;&lt;url&gt;http://www.sciencedirect.com/science/article/pii/S0965856412001127&lt;/url&gt;&lt;/related-urls&gt;&lt;/urls&gt;&lt;electronic-resource-num&gt;10.1016/j.tra.2012.07.001&lt;/electronic-resource-num&gt;&lt;/record&gt;&lt;/Cite&gt;&lt;/EndNote&gt;</w:instrText>
      </w:r>
      <w:r w:rsidR="00340467">
        <w:rPr>
          <w:lang w:val="en-US"/>
        </w:rPr>
        <w:fldChar w:fldCharType="separate"/>
      </w:r>
      <w:r w:rsidR="00340467">
        <w:rPr>
          <w:noProof/>
          <w:lang w:val="en-US"/>
        </w:rPr>
        <w:t>(</w:t>
      </w:r>
      <w:hyperlink w:anchor="_ENREF_87" w:tooltip="Zimmermannova, 2012 #985" w:history="1">
        <w:r w:rsidR="00D67197">
          <w:rPr>
            <w:noProof/>
            <w:lang w:val="en-US"/>
          </w:rPr>
          <w:t>Zimmermannova, 2012</w:t>
        </w:r>
      </w:hyperlink>
      <w:r w:rsidR="00340467">
        <w:rPr>
          <w:noProof/>
          <w:lang w:val="en-US"/>
        </w:rPr>
        <w:t>)</w:t>
      </w:r>
      <w:r w:rsidR="00340467">
        <w:rPr>
          <w:lang w:val="en-US"/>
        </w:rPr>
        <w:fldChar w:fldCharType="end"/>
      </w:r>
      <w:r w:rsidRPr="000D65CF">
        <w:rPr>
          <w:lang w:val="en-US"/>
        </w:rPr>
        <w:t xml:space="preserve">. </w:t>
      </w:r>
      <w:r w:rsidR="00250B49">
        <w:rPr>
          <w:lang w:val="en-US"/>
        </w:rPr>
        <w:t xml:space="preserve"> </w:t>
      </w:r>
      <w:r w:rsidRPr="000D65CF">
        <w:rPr>
          <w:lang w:val="en-US"/>
        </w:rPr>
        <w:t xml:space="preserve">However, with the exception of </w:t>
      </w:r>
      <w:proofErr w:type="spellStart"/>
      <w:r w:rsidRPr="000D65CF">
        <w:rPr>
          <w:lang w:val="en-US"/>
        </w:rPr>
        <w:t>Spitzley</w:t>
      </w:r>
      <w:proofErr w:type="spellEnd"/>
      <w:r w:rsidRPr="000D65CF">
        <w:rPr>
          <w:lang w:val="en-US"/>
        </w:rPr>
        <w:t xml:space="preserve"> et al </w:t>
      </w:r>
      <w:r w:rsidR="00880B2F">
        <w:rPr>
          <w:lang w:val="en-US"/>
        </w:rPr>
        <w:fldChar w:fldCharType="begin"/>
      </w:r>
      <w:r w:rsidR="00546ABC">
        <w:rPr>
          <w:lang w:val="en-US"/>
        </w:rPr>
        <w:instrText xml:space="preserve"> ADDIN EN.CITE &lt;EndNote&gt;&lt;Cite ExcludeAuth="1"&gt;&lt;Author&gt;Spitzley&lt;/Author&gt;&lt;Year&gt;2005&lt;/Year&gt;&lt;RecNum&gt;928&lt;/RecNum&gt;&lt;DisplayText&gt;(2005)&lt;/DisplayText&gt;&lt;record&gt;&lt;rec-number&gt;928&lt;/rec-number&gt;&lt;foreign-keys&gt;&lt;key app="EN" db-id="a0wpest2552swgezzsnxxwsnpp9axwswpaww"&gt;928&lt;/key&gt;&lt;/foreign-keys&gt;&lt;ref-type name="Journal Article"&gt;17&lt;/ref-type&gt;&lt;contributors&gt;&lt;authors&gt;&lt;author&gt;Spitzley, D.V.&lt;/author&gt;&lt;author&gt;Grande, D.E.&lt;/author&gt;&lt;author&gt;Keoleian, G.A.&lt;/author&gt;&lt;author&gt;Kim, H.C.&lt;/author&gt;&lt;/authors&gt;&lt;/contributors&gt;&lt;titles&gt;&lt;title&gt;Life cycle optimization of ownership costs and emissions reduction in US vehicle retirement decisions&lt;/title&gt;&lt;secondary-title&gt;Transportation Research Part D: Transport and Environment&lt;/secondary-title&gt;&lt;/titles&gt;&lt;periodical&gt;&lt;full-title&gt;Transportation Research Part D: Transport and Environment&lt;/full-title&gt;&lt;abbr-1&gt;Transp. Res.: Part D: Transport Environ.&lt;/abbr-1&gt;&lt;/periodical&gt;&lt;pages&gt;161-175&lt;/pages&gt;&lt;volume&gt;10&lt;/volume&gt;&lt;number&gt;2&lt;/number&gt;&lt;dates&gt;&lt;year&gt;2005&lt;/year&gt;&lt;/dates&gt;&lt;urls&gt;&lt;/urls&gt;&lt;/record&gt;&lt;/Cite&gt;&lt;/EndNote&gt;</w:instrText>
      </w:r>
      <w:r w:rsidR="00880B2F">
        <w:rPr>
          <w:lang w:val="en-US"/>
        </w:rPr>
        <w:fldChar w:fldCharType="separate"/>
      </w:r>
      <w:r w:rsidR="00C71F54">
        <w:rPr>
          <w:noProof/>
          <w:lang w:val="en-US"/>
        </w:rPr>
        <w:t>(</w:t>
      </w:r>
      <w:hyperlink w:anchor="_ENREF_71" w:tooltip="Spitzley, 2005 #928" w:history="1">
        <w:r w:rsidR="00D67197">
          <w:rPr>
            <w:noProof/>
            <w:lang w:val="en-US"/>
          </w:rPr>
          <w:t>2005</w:t>
        </w:r>
      </w:hyperlink>
      <w:r w:rsidR="00C71F54">
        <w:rPr>
          <w:noProof/>
          <w:lang w:val="en-US"/>
        </w:rPr>
        <w:t>)</w:t>
      </w:r>
      <w:r w:rsidR="00880B2F">
        <w:rPr>
          <w:lang w:val="en-US"/>
        </w:rPr>
        <w:fldChar w:fldCharType="end"/>
      </w:r>
      <w:r w:rsidR="00BB43B7">
        <w:rPr>
          <w:lang w:val="en-US"/>
        </w:rPr>
        <w:t xml:space="preserve"> and </w:t>
      </w:r>
      <w:proofErr w:type="spellStart"/>
      <w:r w:rsidR="00BB43B7">
        <w:rPr>
          <w:lang w:val="en-US"/>
        </w:rPr>
        <w:t>Bastani</w:t>
      </w:r>
      <w:proofErr w:type="spellEnd"/>
      <w:r w:rsidR="00BB43B7">
        <w:rPr>
          <w:lang w:val="en-US"/>
        </w:rPr>
        <w:t xml:space="preserve"> et al. </w:t>
      </w:r>
      <w:r w:rsidR="00BB43B7">
        <w:rPr>
          <w:lang w:val="en-US"/>
        </w:rPr>
        <w:fldChar w:fldCharType="begin"/>
      </w:r>
      <w:r w:rsidR="00BB43B7">
        <w:rPr>
          <w:lang w:val="en-US"/>
        </w:rPr>
        <w:instrText xml:space="preserve"> ADDIN EN.CITE &lt;EndNote&gt;&lt;Cite ExcludeAuth="1"&gt;&lt;Author&gt;Bastani&lt;/Author&gt;&lt;Year&gt;2012&lt;/Year&gt;&lt;RecNum&gt;984&lt;/RecNum&gt;&lt;DisplayText&gt;(2012)&lt;/DisplayText&gt;&lt;record&gt;&lt;rec-number&gt;984&lt;/rec-number&gt;&lt;foreign-keys&gt;&lt;key app="EN" db-id="a0wpest2552swgezzsnxxwsnpp9axwswpaww"&gt;984&lt;/key&gt;&lt;/foreign-keys&gt;&lt;ref-type name="Journal Article"&gt;17&lt;/ref-type&gt;&lt;contributors&gt;&lt;authors&gt;&lt;author&gt;Bastani, Parisa&lt;/author&gt;&lt;author&gt;Heywood, John B.&lt;/author&gt;&lt;author&gt;Hope, Chris&lt;/author&gt;&lt;/authors&gt;&lt;/contributors&gt;&lt;titles&gt;&lt;title&gt;The effect of uncertainty on US transport-related GHG emissions and fuel consumption out to 2050&lt;/title&gt;&lt;secondary-title&gt;Transportation Research Part A: Policy and Practice&lt;/secondary-title&gt;&lt;/titles&gt;&lt;periodical&gt;&lt;full-title&gt;Transportation Research Part A: Policy and Practice&lt;/full-title&gt;&lt;abbr-1&gt;Transp. Res.: Part A: Pol. Practice&lt;/abbr-1&gt;&lt;/periodical&gt;&lt;pages&gt;517-548&lt;/pages&gt;&lt;volume&gt;46&lt;/volume&gt;&lt;number&gt;3&lt;/number&gt;&lt;keywords&gt;&lt;keyword&gt;Life-cycle GHG emissions&lt;/keyword&gt;&lt;keyword&gt;Fuel consumption&lt;/keyword&gt;&lt;keyword&gt;Light-duty vehicle fleet&lt;/keyword&gt;&lt;keyword&gt;Uncertainty&lt;/keyword&gt;&lt;keyword&gt;Stochastic policy model&lt;/keyword&gt;&lt;keyword&gt;STEP&lt;/keyword&gt;&lt;/keywords&gt;&lt;dates&gt;&lt;year&gt;2012&lt;/year&gt;&lt;/dates&gt;&lt;isbn&gt;0965-8564&lt;/isbn&gt;&lt;urls&gt;&lt;related-urls&gt;&lt;url&gt;http://www.sciencedirect.com/science/article/pii/S0965856411001807&lt;/url&gt;&lt;/related-urls&gt;&lt;/urls&gt;&lt;electronic-resource-num&gt;10.1016/j.tra.2011.11.011&lt;/electronic-resource-num&gt;&lt;/record&gt;&lt;/Cite&gt;&lt;/EndNote&gt;</w:instrText>
      </w:r>
      <w:r w:rsidR="00BB43B7">
        <w:rPr>
          <w:lang w:val="en-US"/>
        </w:rPr>
        <w:fldChar w:fldCharType="separate"/>
      </w:r>
      <w:r w:rsidR="00BB43B7">
        <w:rPr>
          <w:noProof/>
          <w:lang w:val="en-US"/>
        </w:rPr>
        <w:t>(</w:t>
      </w:r>
      <w:hyperlink w:anchor="_ENREF_5" w:tooltip="Bastani, 2012 #984" w:history="1">
        <w:r w:rsidR="00D67197">
          <w:rPr>
            <w:noProof/>
            <w:lang w:val="en-US"/>
          </w:rPr>
          <w:t>2012</w:t>
        </w:r>
      </w:hyperlink>
      <w:r w:rsidR="00BB43B7">
        <w:rPr>
          <w:noProof/>
          <w:lang w:val="en-US"/>
        </w:rPr>
        <w:t>)</w:t>
      </w:r>
      <w:r w:rsidR="00BB43B7">
        <w:rPr>
          <w:lang w:val="en-US"/>
        </w:rPr>
        <w:fldChar w:fldCharType="end"/>
      </w:r>
      <w:r w:rsidRPr="000D65CF">
        <w:rPr>
          <w:lang w:val="en-US"/>
        </w:rPr>
        <w:t xml:space="preserve">, none of these are on a life cycle </w:t>
      </w:r>
      <w:r w:rsidR="00907602">
        <w:rPr>
          <w:lang w:val="en-US"/>
        </w:rPr>
        <w:t xml:space="preserve">analysis </w:t>
      </w:r>
      <w:r w:rsidRPr="000D65CF">
        <w:rPr>
          <w:lang w:val="en-US"/>
        </w:rPr>
        <w:t xml:space="preserve">basis which </w:t>
      </w:r>
      <w:r w:rsidR="006472E4">
        <w:rPr>
          <w:lang w:val="en-US"/>
        </w:rPr>
        <w:t xml:space="preserve">not only looks at direct (or tailpipe, at source) GHG emissions but </w:t>
      </w:r>
      <w:r w:rsidRPr="000D65CF">
        <w:rPr>
          <w:lang w:val="en-US"/>
        </w:rPr>
        <w:t>also take</w:t>
      </w:r>
      <w:r w:rsidR="00C513FB">
        <w:rPr>
          <w:lang w:val="en-US"/>
        </w:rPr>
        <w:t>s</w:t>
      </w:r>
      <w:r w:rsidRPr="00C71F54">
        <w:rPr>
          <w:lang w:val="en-US"/>
        </w:rPr>
        <w:t xml:space="preserve"> into consideration indirect </w:t>
      </w:r>
      <w:r w:rsidR="00C513FB">
        <w:rPr>
          <w:lang w:val="en-US"/>
        </w:rPr>
        <w:t>GHG</w:t>
      </w:r>
      <w:r w:rsidRPr="00C71F54">
        <w:rPr>
          <w:lang w:val="en-US"/>
        </w:rPr>
        <w:t xml:space="preserve"> emissions</w:t>
      </w:r>
      <w:r w:rsidR="00C513FB">
        <w:rPr>
          <w:lang w:val="en-US"/>
        </w:rPr>
        <w:t xml:space="preserve"> </w:t>
      </w:r>
      <w:r w:rsidR="006472E4">
        <w:rPr>
          <w:lang w:val="en-US"/>
        </w:rPr>
        <w:t xml:space="preserve">from </w:t>
      </w:r>
      <w:r w:rsidR="00C513FB">
        <w:rPr>
          <w:lang w:val="en-US"/>
        </w:rPr>
        <w:t xml:space="preserve">fuel supply, vehicle production, maintenance and scrappage. Finally, there is also lack of exploring </w:t>
      </w:r>
      <w:r w:rsidRPr="00C71F54">
        <w:rPr>
          <w:lang w:val="en-US"/>
        </w:rPr>
        <w:t>cumulative total</w:t>
      </w:r>
      <w:r w:rsidR="00C513FB">
        <w:rPr>
          <w:lang w:val="en-US"/>
        </w:rPr>
        <w:t>s</w:t>
      </w:r>
      <w:r w:rsidRPr="00C71F54">
        <w:rPr>
          <w:lang w:val="en-US"/>
        </w:rPr>
        <w:t xml:space="preserve"> </w:t>
      </w:r>
      <w:r w:rsidR="006472E4">
        <w:rPr>
          <w:lang w:val="en-US"/>
        </w:rPr>
        <w:t xml:space="preserve">or budgets </w:t>
      </w:r>
      <w:r w:rsidR="00C513FB">
        <w:rPr>
          <w:lang w:val="en-US"/>
        </w:rPr>
        <w:t xml:space="preserve">of </w:t>
      </w:r>
      <w:r w:rsidR="006472E4">
        <w:rPr>
          <w:lang w:val="en-US"/>
        </w:rPr>
        <w:t xml:space="preserve">GHG </w:t>
      </w:r>
      <w:r w:rsidR="00C513FB">
        <w:rPr>
          <w:lang w:val="en-US"/>
        </w:rPr>
        <w:t xml:space="preserve">emissions </w:t>
      </w:r>
      <w:r w:rsidRPr="00C71F54">
        <w:rPr>
          <w:lang w:val="en-US"/>
        </w:rPr>
        <w:t>over given period</w:t>
      </w:r>
      <w:r w:rsidR="006472E4">
        <w:rPr>
          <w:lang w:val="en-US"/>
        </w:rPr>
        <w:t>s</w:t>
      </w:r>
      <w:r w:rsidR="005747A7">
        <w:rPr>
          <w:lang w:val="en-US"/>
        </w:rPr>
        <w:t xml:space="preserve"> </w:t>
      </w:r>
      <w:r w:rsidR="006472E4">
        <w:rPr>
          <w:lang w:val="en-US"/>
        </w:rPr>
        <w:t xml:space="preserve">as much of the focus has been on meeting annual </w:t>
      </w:r>
      <w:r w:rsidR="005747A7">
        <w:rPr>
          <w:lang w:val="en-US"/>
        </w:rPr>
        <w:t>targets (</w:t>
      </w:r>
      <w:r w:rsidR="006472E4">
        <w:rPr>
          <w:lang w:val="en-US"/>
        </w:rPr>
        <w:t xml:space="preserve">e.g. 2020, </w:t>
      </w:r>
      <w:r w:rsidR="005747A7">
        <w:rPr>
          <w:lang w:val="en-US"/>
        </w:rPr>
        <w:t>2050)</w:t>
      </w:r>
      <w:r w:rsidR="006472E4">
        <w:rPr>
          <w:lang w:val="en-US"/>
        </w:rPr>
        <w:t xml:space="preserve"> </w:t>
      </w:r>
      <w:r w:rsidR="006472E4">
        <w:rPr>
          <w:lang w:val="en-US"/>
        </w:rPr>
        <w:fldChar w:fldCharType="begin"/>
      </w:r>
      <w:r w:rsidR="006472E4">
        <w:rPr>
          <w:lang w:val="en-US"/>
        </w:rPr>
        <w:instrText xml:space="preserve"> ADDIN EN.CITE &lt;EndNote&gt;&lt;Cite&gt;&lt;Author&gt;Skippon&lt;/Author&gt;&lt;Year&gt;2012&lt;/Year&gt;&lt;RecNum&gt;983&lt;/RecNum&gt;&lt;DisplayText&gt;(Skippon et al., 2012)&lt;/DisplayText&gt;&lt;record&gt;&lt;rec-number&gt;983&lt;/rec-number&gt;&lt;foreign-keys&gt;&lt;key app="EN" db-id="a0wpest2552swgezzsnxxwsnpp9axwswpaww"&gt;983&lt;/key&gt;&lt;/foreign-keys&gt;&lt;ref-type name="Journal Article"&gt;17&lt;/ref-type&gt;&lt;contributors&gt;&lt;authors&gt;&lt;author&gt;Skippon, Stephen&lt;/author&gt;&lt;author&gt;Veeraraghavan, Shoba&lt;/author&gt;&lt;author&gt;Ma, Hongrui&lt;/author&gt;&lt;author&gt;Gadd, Paul&lt;/author&gt;&lt;author&gt;Tait, Nigel&lt;/author&gt;&lt;/authors&gt;&lt;/contributors&gt;&lt;titles&gt;&lt;title&gt;Combining technology development and behaviour change to meet CO2 cumulative emission budgets for road transport: Case studies for the USA and Europe&lt;/title&gt;&lt;secondary-title&gt;Transportation Research Part A: Policy and Practice&lt;/secondary-title&gt;&lt;/titles&gt;&lt;periodical&gt;&lt;full-title&gt;Transportation Research Part A: Policy and Practice&lt;/full-title&gt;&lt;abbr-1&gt;Transp. Res.: Part A: Pol. Practice&lt;/abbr-1&gt;&lt;/periodical&gt;&lt;pages&gt;1405-1423&lt;/pages&gt;&lt;volume&gt;46&lt;/volume&gt;&lt;number&gt;9&lt;/number&gt;&lt;keywords&gt;&lt;keyword&gt;CO2&lt;/keyword&gt;&lt;keyword&gt;Emissions&lt;/keyword&gt;&lt;keyword&gt;Cumulative&lt;/keyword&gt;&lt;keyword&gt;Budget&lt;/keyword&gt;&lt;keyword&gt;Climate change&lt;/keyword&gt;&lt;keyword&gt;Behaviour&lt;/keyword&gt;&lt;/keywords&gt;&lt;dates&gt;&lt;year&gt;2012&lt;/year&gt;&lt;/dates&gt;&lt;isbn&gt;0965-8564&lt;/isbn&gt;&lt;urls&gt;&lt;related-urls&gt;&lt;url&gt;http://www.sciencedirect.com/science/article/pii/S0965856412001103&lt;/url&gt;&lt;/related-urls&gt;&lt;/urls&gt;&lt;electronic-resource-num&gt;10.1016/j.tra.2012.05.021&lt;/electronic-resource-num&gt;&lt;/record&gt;&lt;/Cite&gt;&lt;/EndNote&gt;</w:instrText>
      </w:r>
      <w:r w:rsidR="006472E4">
        <w:rPr>
          <w:lang w:val="en-US"/>
        </w:rPr>
        <w:fldChar w:fldCharType="separate"/>
      </w:r>
      <w:r w:rsidR="006472E4">
        <w:rPr>
          <w:noProof/>
          <w:lang w:val="en-US"/>
        </w:rPr>
        <w:t>(</w:t>
      </w:r>
      <w:hyperlink w:anchor="_ENREF_66" w:tooltip="Skippon, 2012 #983" w:history="1">
        <w:r w:rsidR="00D67197">
          <w:rPr>
            <w:noProof/>
            <w:lang w:val="en-US"/>
          </w:rPr>
          <w:t>Skippon et al., 2012</w:t>
        </w:r>
      </w:hyperlink>
      <w:r w:rsidR="006472E4">
        <w:rPr>
          <w:noProof/>
          <w:lang w:val="en-US"/>
        </w:rPr>
        <w:t>)</w:t>
      </w:r>
      <w:r w:rsidR="006472E4">
        <w:rPr>
          <w:lang w:val="en-US"/>
        </w:rPr>
        <w:fldChar w:fldCharType="end"/>
      </w:r>
      <w:r w:rsidRPr="000D65CF">
        <w:rPr>
          <w:lang w:val="en-US"/>
        </w:rPr>
        <w:t>.</w:t>
      </w:r>
      <w:r w:rsidR="006472E4">
        <w:rPr>
          <w:lang w:val="en-US"/>
        </w:rPr>
        <w:t xml:space="preserve"> </w:t>
      </w:r>
    </w:p>
    <w:p w14:paraId="617C0DEA" w14:textId="77777777" w:rsidR="00011E68" w:rsidRPr="00C64BF5" w:rsidRDefault="00011E68" w:rsidP="0098753B">
      <w:pPr>
        <w:rPr>
          <w:lang w:val="en-US"/>
        </w:rPr>
      </w:pPr>
    </w:p>
    <w:p w14:paraId="6F2EB454" w14:textId="77777777" w:rsidR="00373740" w:rsidRPr="00C64BF5" w:rsidRDefault="00061FDF" w:rsidP="001918BF">
      <w:pPr>
        <w:keepNext/>
        <w:jc w:val="center"/>
        <w:rPr>
          <w:lang w:val="en-US"/>
        </w:rPr>
      </w:pPr>
      <w:r>
        <w:rPr>
          <w:noProof/>
          <w:lang w:val="en-GB" w:eastAsia="zh-CN"/>
        </w:rPr>
        <w:drawing>
          <wp:inline distT="0" distB="0" distL="0" distR="0" wp14:anchorId="519EB362" wp14:editId="50549D41">
            <wp:extent cx="5040000" cy="3150000"/>
            <wp:effectExtent l="0" t="0" r="0" b="0"/>
            <wp:docPr id="6" name="Chart 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6DC8F10D" w14:textId="77777777" w:rsidR="00373740" w:rsidRPr="00C64BF5" w:rsidRDefault="00373740" w:rsidP="008672D9">
      <w:pPr>
        <w:pStyle w:val="Caption"/>
      </w:pPr>
      <w:bookmarkStart w:id="1" w:name="_Ref299360957"/>
      <w:r w:rsidRPr="00C64BF5">
        <w:t xml:space="preserve">Figure </w:t>
      </w:r>
      <w:r w:rsidR="00880B2F">
        <w:fldChar w:fldCharType="begin"/>
      </w:r>
      <w:r w:rsidR="000A64E7">
        <w:instrText xml:space="preserve"> SEQ Figure \* ARABIC </w:instrText>
      </w:r>
      <w:r w:rsidR="00880B2F">
        <w:fldChar w:fldCharType="separate"/>
      </w:r>
      <w:r w:rsidR="003C4C97">
        <w:rPr>
          <w:noProof/>
        </w:rPr>
        <w:t>1</w:t>
      </w:r>
      <w:r w:rsidR="00880B2F">
        <w:rPr>
          <w:noProof/>
        </w:rPr>
        <w:fldChar w:fldCharType="end"/>
      </w:r>
      <w:bookmarkEnd w:id="1"/>
      <w:r w:rsidR="000D65CF" w:rsidRPr="000D65CF">
        <w:t>: New car market shares by CO</w:t>
      </w:r>
      <w:r w:rsidR="000D65CF" w:rsidRPr="000D65CF">
        <w:rPr>
          <w:vertAlign w:val="subscript"/>
        </w:rPr>
        <w:t>2</w:t>
      </w:r>
      <w:r w:rsidR="000D65CF" w:rsidRPr="000D65CF">
        <w:t xml:space="preserve"> rating in the UK, 2000-2010</w:t>
      </w:r>
    </w:p>
    <w:p w14:paraId="50D46759" w14:textId="59DC8660" w:rsidR="000F752E" w:rsidRDefault="00A02904" w:rsidP="000F752E">
      <w:pPr>
        <w:rPr>
          <w:lang w:val="en-US"/>
        </w:rPr>
      </w:pPr>
      <w:r>
        <w:rPr>
          <w:lang w:val="en-US"/>
        </w:rPr>
        <w:t xml:space="preserve">Source: SMMT </w:t>
      </w:r>
      <w:r w:rsidR="00880B2F">
        <w:rPr>
          <w:lang w:val="en-US"/>
        </w:rPr>
        <w:fldChar w:fldCharType="begin"/>
      </w:r>
      <w:r>
        <w:rPr>
          <w:lang w:val="en-US"/>
        </w:rPr>
        <w:instrText xml:space="preserve"> ADDIN EN.CITE &lt;EndNote&gt;&lt;Cite ExcludeAuth="1"&gt;&lt;Author&gt;SMMT&lt;/Author&gt;&lt;Year&gt;2011&lt;/Year&gt;&lt;RecNum&gt;896&lt;/RecNum&gt;&lt;DisplayText&gt;(2011)&lt;/DisplayText&gt;&lt;record&gt;&lt;rec-number&gt;896&lt;/rec-number&gt;&lt;foreign-keys&gt;&lt;key app="EN" db-id="a0wpest2552swgezzsnxxwsnpp9axwswpaww"&gt;896&lt;/key&gt;&lt;/foreign-keys&gt;&lt;ref-type name="Report"&gt;27&lt;/ref-type&gt;&lt;contributors&gt;&lt;authors&gt;&lt;author&gt;SMMT&lt;/author&gt;&lt;/authors&gt;&lt;/contributors&gt;&lt;titles&gt;&lt;title&gt;New Car CO2 Report 2011: The 10th report&lt;/title&gt;&lt;/titles&gt;&lt;dates&gt;&lt;year&gt;2011&lt;/year&gt;&lt;/dates&gt;&lt;pub-location&gt;London&lt;/pub-location&gt;&lt;publisher&gt;The Society of Motor Manufacturers and Traders (SMMT)&lt;/publisher&gt;&lt;urls&gt;&lt;related-urls&gt;&lt;url&gt;www.smmt.co.uk&lt;/url&gt;&lt;/related-urls&gt;&lt;/urls&gt;&lt;/record&gt;&lt;/Cite&gt;&lt;/EndNote&gt;</w:instrText>
      </w:r>
      <w:r w:rsidR="00880B2F">
        <w:rPr>
          <w:lang w:val="en-US"/>
        </w:rPr>
        <w:fldChar w:fldCharType="separate"/>
      </w:r>
      <w:r>
        <w:rPr>
          <w:noProof/>
          <w:lang w:val="en-US"/>
        </w:rPr>
        <w:t>(</w:t>
      </w:r>
      <w:hyperlink w:anchor="_ENREF_70" w:tooltip="SMMT, 2011 #896" w:history="1">
        <w:r w:rsidR="00D67197">
          <w:rPr>
            <w:noProof/>
            <w:lang w:val="en-US"/>
          </w:rPr>
          <w:t>2011</w:t>
        </w:r>
      </w:hyperlink>
      <w:r>
        <w:rPr>
          <w:noProof/>
          <w:lang w:val="en-US"/>
        </w:rPr>
        <w:t>)</w:t>
      </w:r>
      <w:r w:rsidR="00880B2F">
        <w:rPr>
          <w:lang w:val="en-US"/>
        </w:rPr>
        <w:fldChar w:fldCharType="end"/>
      </w:r>
    </w:p>
    <w:p w14:paraId="7F8DA342" w14:textId="77777777" w:rsidR="00A02904" w:rsidRPr="00C64BF5" w:rsidRDefault="00A02904" w:rsidP="000F752E">
      <w:pPr>
        <w:rPr>
          <w:lang w:val="en-US"/>
        </w:rPr>
      </w:pPr>
    </w:p>
    <w:p w14:paraId="77BD2AB0" w14:textId="1E4D485F" w:rsidR="000F752E" w:rsidRPr="00C64BF5" w:rsidRDefault="000D65CF" w:rsidP="0098753B">
      <w:pPr>
        <w:rPr>
          <w:lang w:val="en-US"/>
        </w:rPr>
      </w:pPr>
      <w:r w:rsidRPr="000D65CF">
        <w:rPr>
          <w:lang w:val="en-US"/>
        </w:rPr>
        <w:t>Total CO</w:t>
      </w:r>
      <w:r w:rsidRPr="00A02904">
        <w:rPr>
          <w:vertAlign w:val="subscript"/>
          <w:lang w:val="en-US"/>
        </w:rPr>
        <w:t>2</w:t>
      </w:r>
      <w:r w:rsidRPr="000D65CF">
        <w:rPr>
          <w:lang w:val="en-US"/>
        </w:rPr>
        <w:t xml:space="preserve"> from passenger cars is of course not only a function of its efficiency, but also of how much a car is used. Although newer cars emit less CO</w:t>
      </w:r>
      <w:r w:rsidRPr="00C71F54">
        <w:rPr>
          <w:vertAlign w:val="subscript"/>
          <w:lang w:val="en-US"/>
        </w:rPr>
        <w:t>2</w:t>
      </w:r>
      <w:r w:rsidRPr="000D65CF">
        <w:rPr>
          <w:lang w:val="en-US"/>
        </w:rPr>
        <w:t xml:space="preserve"> per </w:t>
      </w:r>
      <w:r w:rsidR="00C71F54">
        <w:rPr>
          <w:lang w:val="en-US"/>
        </w:rPr>
        <w:t>kilometer</w:t>
      </w:r>
      <w:r w:rsidRPr="000D65CF">
        <w:rPr>
          <w:lang w:val="en-US"/>
        </w:rPr>
        <w:t>, drivers may use their new cars more and drive further, offsetting (and potentially eliminating) any emissions gain. There are a variety of reasons that could lead to new vehicles being driven more miles than older ones and, therefore, usage needs to be taken into account in the evaluation of taxation schemes, particularly those which accelerate the uptake of new vehicles such as scrappage schemes. Firstly, the classic ‘rebound effect’ maintains that, given the increase in fuel efficiency of a new car, the marginal cost of driving is lower</w:t>
      </w:r>
      <w:r w:rsidR="00A02904">
        <w:rPr>
          <w:lang w:val="en-US"/>
        </w:rPr>
        <w:t xml:space="preserve"> </w:t>
      </w:r>
      <w:r w:rsidR="00880B2F">
        <w:rPr>
          <w:lang w:val="en-US"/>
        </w:rPr>
        <w:fldChar w:fldCharType="begin"/>
      </w:r>
      <w:r w:rsidR="00546ABC">
        <w:rPr>
          <w:lang w:val="en-US"/>
        </w:rPr>
        <w:instrText xml:space="preserve"> ADDIN EN.CITE &lt;EndNote&gt;&lt;Cite&gt;&lt;Author&gt;Small&lt;/Author&gt;&lt;Year&gt;2007&lt;/Year&gt;&lt;RecNum&gt;929&lt;/RecNum&gt;&lt;DisplayText&gt;(Small and Van Dender, 2007)&lt;/DisplayText&gt;&lt;record&gt;&lt;rec-number&gt;929&lt;/rec-number&gt;&lt;foreign-keys&gt;&lt;key app="EN" db-id="a0wpest2552swgezzsnxxwsnpp9axwswpaww"&gt;929&lt;/key&gt;&lt;/foreign-keys&gt;&lt;ref-type name="Journal Article"&gt;17&lt;/ref-type&gt;&lt;contributors&gt;&lt;authors&gt;&lt;author&gt;Small, K.&lt;/author&gt;&lt;author&gt;Van Dender, K.&lt;/author&gt;&lt;/authors&gt;&lt;/contributors&gt;&lt;titles&gt;&lt;title&gt;Fuel efficiency and motor vehicle travel: the declining rebound effect&lt;/title&gt;&lt;secondary-title&gt;Energy J.&lt;/secondary-title&gt;&lt;/titles&gt;&lt;periodical&gt;&lt;full-title&gt;Energy Journal&lt;/full-title&gt;&lt;abbr-1&gt;Energy J.&lt;/abbr-1&gt;&lt;/periodical&gt;&lt;pages&gt;25–51&lt;/pages&gt;&lt;volume&gt;28&lt;/volume&gt;&lt;dates&gt;&lt;year&gt;2007&lt;/year&gt;&lt;/dates&gt;&lt;urls&gt;&lt;/urls&gt;&lt;/record&gt;&lt;/Cite&gt;&lt;/EndNote&gt;</w:instrText>
      </w:r>
      <w:r w:rsidR="00880B2F">
        <w:rPr>
          <w:lang w:val="en-US"/>
        </w:rPr>
        <w:fldChar w:fldCharType="separate"/>
      </w:r>
      <w:r w:rsidR="00C2662B">
        <w:rPr>
          <w:noProof/>
          <w:lang w:val="en-US"/>
        </w:rPr>
        <w:t>(</w:t>
      </w:r>
      <w:hyperlink w:anchor="_ENREF_67" w:tooltip="Small, 2007 #929" w:history="1">
        <w:r w:rsidR="00D67197">
          <w:rPr>
            <w:noProof/>
            <w:lang w:val="en-US"/>
          </w:rPr>
          <w:t>Small and Van Dender, 2007</w:t>
        </w:r>
      </w:hyperlink>
      <w:r w:rsidR="00C2662B">
        <w:rPr>
          <w:noProof/>
          <w:lang w:val="en-US"/>
        </w:rPr>
        <w:t>)</w:t>
      </w:r>
      <w:r w:rsidR="00880B2F">
        <w:rPr>
          <w:lang w:val="en-US"/>
        </w:rPr>
        <w:fldChar w:fldCharType="end"/>
      </w:r>
      <w:r w:rsidRPr="000D65CF">
        <w:rPr>
          <w:lang w:val="en-US"/>
        </w:rPr>
        <w:t>. Secondly, newer vehicles are likely to be more comfortable which also reduces the marginal ‘costs’ of driving. This is borne out in UK travel statistics where the drivers of cars over 10 years old drive on average 10,600km/year and those driving new cars drive around 2,500km/year further</w:t>
      </w:r>
      <w:r w:rsidR="006C04F3">
        <w:rPr>
          <w:lang w:val="en-US"/>
        </w:rPr>
        <w:t xml:space="preserve"> </w:t>
      </w:r>
      <w:r w:rsidR="00880B2F">
        <w:rPr>
          <w:lang w:val="en-US"/>
        </w:rPr>
        <w:fldChar w:fldCharType="begin"/>
      </w:r>
      <w:r w:rsidR="00C2662B">
        <w:rPr>
          <w:lang w:val="en-US"/>
        </w:rPr>
        <w:instrText xml:space="preserve"> ADDIN EN.CITE &lt;EndNote&gt;&lt;Cite&gt;&lt;Author&gt;ONS&lt;/Author&gt;&lt;Year&gt;2007&lt;/Year&gt;&lt;RecNum&gt;627&lt;/RecNum&gt;&lt;DisplayText&gt;(ONS, 2007)&lt;/DisplayText&gt;&lt;record&gt;&lt;rec-number&gt;627&lt;/rec-number&gt;&lt;foreign-keys&gt;&lt;key app="EN" db-id="a0wpest2552swgezzsnxxwsnpp9axwswpaww"&gt;627&lt;/key&gt;&lt;/foreign-keys&gt;&lt;ref-type name="Report"&gt;27&lt;/ref-type&gt;&lt;contributors&gt;&lt;authors&gt;&lt;author&gt;ONS&lt;/author&gt;&lt;/authors&gt;&lt;/contributors&gt;&lt;titles&gt;&lt;title&gt;Transport Statistics Bulletin: National Travel Survey 2006&lt;/title&gt;&lt;/titles&gt;&lt;dates&gt;&lt;year&gt;2007&lt;/year&gt;&lt;/dates&gt;&lt;pub-location&gt;London&lt;/pub-location&gt;&lt;publisher&gt;Office of National Statistics, Department for Transport&lt;/publisher&gt;&lt;urls&gt;&lt;/urls&gt;&lt;/record&gt;&lt;/Cite&gt;&lt;/EndNote&gt;</w:instrText>
      </w:r>
      <w:r w:rsidR="00880B2F">
        <w:rPr>
          <w:lang w:val="en-US"/>
        </w:rPr>
        <w:fldChar w:fldCharType="separate"/>
      </w:r>
      <w:r w:rsidR="00C2662B">
        <w:rPr>
          <w:noProof/>
          <w:lang w:val="en-US"/>
        </w:rPr>
        <w:t>(</w:t>
      </w:r>
      <w:hyperlink w:anchor="_ENREF_58" w:tooltip="ONS, 2007 #627" w:history="1">
        <w:r w:rsidR="00D67197">
          <w:rPr>
            <w:noProof/>
            <w:lang w:val="en-US"/>
          </w:rPr>
          <w:t>ONS, 2007</w:t>
        </w:r>
      </w:hyperlink>
      <w:r w:rsidR="00C2662B">
        <w:rPr>
          <w:noProof/>
          <w:lang w:val="en-US"/>
        </w:rPr>
        <w:t>)</w:t>
      </w:r>
      <w:r w:rsidR="00880B2F">
        <w:rPr>
          <w:lang w:val="en-US"/>
        </w:rPr>
        <w:fldChar w:fldCharType="end"/>
      </w:r>
      <w:r w:rsidRPr="000D65CF">
        <w:rPr>
          <w:lang w:val="en-US"/>
        </w:rPr>
        <w:t>.</w:t>
      </w:r>
    </w:p>
    <w:p w14:paraId="2F1B8AC3" w14:textId="77777777" w:rsidR="000F752E" w:rsidRPr="00C64BF5" w:rsidRDefault="000F752E" w:rsidP="0098753B">
      <w:pPr>
        <w:rPr>
          <w:lang w:val="en-US"/>
        </w:rPr>
      </w:pPr>
    </w:p>
    <w:p w14:paraId="4EA7392D" w14:textId="68148968" w:rsidR="008E4E88" w:rsidRPr="00C64BF5" w:rsidRDefault="000D65CF" w:rsidP="0098753B">
      <w:pPr>
        <w:rPr>
          <w:lang w:val="en-US"/>
        </w:rPr>
      </w:pPr>
      <w:r w:rsidRPr="000D65CF">
        <w:rPr>
          <w:lang w:val="en-US"/>
        </w:rPr>
        <w:t xml:space="preserve">In addition to life cycle impacts and possible impacts on car use with respect to </w:t>
      </w:r>
      <w:r w:rsidR="006C04F3">
        <w:rPr>
          <w:lang w:val="en-US"/>
        </w:rPr>
        <w:t>GHG</w:t>
      </w:r>
      <w:r w:rsidRPr="000D65CF">
        <w:rPr>
          <w:lang w:val="en-US"/>
        </w:rPr>
        <w:t xml:space="preserve"> emissions, much analysis of motoring taxation and changes to the car market fails to examine the impact on Government revenue</w:t>
      </w:r>
      <w:r w:rsidR="00052713">
        <w:rPr>
          <w:lang w:val="en-US"/>
        </w:rPr>
        <w:t xml:space="preserve"> </w:t>
      </w:r>
      <w:r w:rsidR="00052713">
        <w:rPr>
          <w:lang w:val="en-US"/>
        </w:rPr>
        <w:fldChar w:fldCharType="begin"/>
      </w:r>
      <w:r w:rsidR="00052713">
        <w:rPr>
          <w:lang w:val="en-US"/>
        </w:rPr>
        <w:instrText xml:space="preserve"> ADDIN EN.CITE &lt;EndNote&gt;&lt;Cite&gt;&lt;Author&gt;Rogan&lt;/Author&gt;&lt;Year&gt;2011&lt;/Year&gt;&lt;RecNum&gt;885&lt;/RecNum&gt;&lt;Prefix&gt;a notable exception is &lt;/Prefix&gt;&lt;DisplayText&gt;(a notable exception is Rogan et al., 2011)&lt;/DisplayText&gt;&lt;record&gt;&lt;rec-number&gt;885&lt;/rec-number&gt;&lt;foreign-keys&gt;&lt;key app="EN" db-id="a0wpest2552swgezzsnxxwsnpp9axwswpaww"&gt;885&lt;/key&gt;&lt;/foreign-keys&gt;&lt;ref-type name="Journal Article"&gt;17&lt;/ref-type&gt;&lt;contributors&gt;&lt;authors&gt;&lt;author&gt;Rogan, Fionn&lt;/author&gt;&lt;author&gt;Dennehy, Emer&lt;/author&gt;&lt;author&gt;Daly, Hannah&lt;/author&gt;&lt;author&gt;Howley, Martin&lt;/author&gt;&lt;author&gt;Ó Gallachóir, Brian P.&lt;/author&gt;&lt;/authors&gt;&lt;/contributors&gt;&lt;titles&gt;&lt;title&gt;Impacts of an emission based private car taxation policy - First year ex-post analysis&lt;/title&gt;&lt;secondary-title&gt;Transportation Research Part A: Policy and Practice&lt;/secondary-title&gt;&lt;/titles&gt;&lt;periodical&gt;&lt;full-title&gt;Transportation Research Part A: Policy and Practice&lt;/full-title&gt;&lt;abbr-1&gt;Transp. Res.: Part A: Pol. Practice&lt;/abbr-1&gt;&lt;/periodical&gt;&lt;pages&gt;583-597&lt;/pages&gt;&lt;volume&gt;45&lt;/volume&gt;&lt;number&gt;7&lt;/number&gt;&lt;keywords&gt;&lt;keyword&gt;Transport energy&lt;/keyword&gt;&lt;keyword&gt;Private car&lt;/keyword&gt;&lt;keyword&gt;CO2 emissions reduction&lt;/keyword&gt;&lt;keyword&gt;Climate change policy&lt;/keyword&gt;&lt;keyword&gt;Ex-post analysis&lt;/keyword&gt;&lt;keyword&gt;Ireland&lt;/keyword&gt;&lt;/keywords&gt;&lt;dates&gt;&lt;year&gt;2011&lt;/year&gt;&lt;/dates&gt;&lt;isbn&gt;0965-8564&lt;/isbn&gt;&lt;urls&gt;&lt;related-urls&gt;&lt;url&gt;http://www.sciencedirect.com/science/article/pii/S096585641100053X&lt;/url&gt;&lt;/related-urls&gt;&lt;/urls&gt;&lt;electronic-resource-num&gt;10.1016/j.tra.2011.03.007&lt;/electronic-resource-num&gt;&lt;/record&gt;&lt;/Cite&gt;&lt;/EndNote&gt;</w:instrText>
      </w:r>
      <w:r w:rsidR="00052713">
        <w:rPr>
          <w:lang w:val="en-US"/>
        </w:rPr>
        <w:fldChar w:fldCharType="separate"/>
      </w:r>
      <w:r w:rsidR="00052713">
        <w:rPr>
          <w:noProof/>
          <w:lang w:val="en-US"/>
        </w:rPr>
        <w:t>(</w:t>
      </w:r>
      <w:hyperlink w:anchor="_ENREF_61" w:tooltip="Rogan, 2011 #885" w:history="1">
        <w:r w:rsidR="00D67197">
          <w:rPr>
            <w:noProof/>
            <w:lang w:val="en-US"/>
          </w:rPr>
          <w:t>a notable exception is Rogan et al., 2011</w:t>
        </w:r>
      </w:hyperlink>
      <w:r w:rsidR="00052713">
        <w:rPr>
          <w:noProof/>
          <w:lang w:val="en-US"/>
        </w:rPr>
        <w:t>)</w:t>
      </w:r>
      <w:r w:rsidR="00052713">
        <w:rPr>
          <w:lang w:val="en-US"/>
        </w:rPr>
        <w:fldChar w:fldCharType="end"/>
      </w:r>
      <w:r w:rsidRPr="000D65CF">
        <w:rPr>
          <w:lang w:val="en-US"/>
        </w:rPr>
        <w:t xml:space="preserve">. Although not necessarily originally introduced with an environmental purpose, revenue raised from all forms of motoring taxes including fuel taxes and taxes on car ownership comprise by far the most significant </w:t>
      </w:r>
      <w:r w:rsidRPr="000D65CF">
        <w:rPr>
          <w:lang w:val="en-US"/>
        </w:rPr>
        <w:lastRenderedPageBreak/>
        <w:t>environmental taxes in the UK and many other countries</w:t>
      </w:r>
      <w:r w:rsidR="001E1112">
        <w:rPr>
          <w:lang w:val="en-US"/>
        </w:rPr>
        <w:t xml:space="preserve"> </w:t>
      </w:r>
      <w:r w:rsidR="00880B2F">
        <w:rPr>
          <w:lang w:val="en-US"/>
        </w:rPr>
        <w:fldChar w:fldCharType="begin">
          <w:fldData xml:space="preserve">PEVuZE5vdGU+PENpdGU+PEF1dGhvcj5NaXJybGVlczwvQXV0aG9yPjxZZWFyPjIwMTE8L1llYXI+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</w:fldData>
        </w:fldChar>
      </w:r>
      <w:r w:rsidR="00052713">
        <w:rPr>
          <w:lang w:val="en-US"/>
        </w:rPr>
        <w:instrText xml:space="preserve"> ADDIN EN.CITE </w:instrText>
      </w:r>
      <w:r w:rsidR="00052713">
        <w:rPr>
          <w:lang w:val="en-US"/>
        </w:rPr>
        <w:fldChar w:fldCharType="begin">
          <w:fldData xml:space="preserve">PEVuZE5vdGU+PENpdGU+PEF1dGhvcj5NaXJybGVlczwvQXV0aG9yPjxZZWFyPjIwMTE8L1llYXI+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</w:fldData>
        </w:fldChar>
      </w:r>
      <w:r w:rsidR="00052713">
        <w:rPr>
          <w:lang w:val="en-US"/>
        </w:rPr>
        <w:instrText xml:space="preserve"> ADDIN EN.CITE.DATA </w:instrText>
      </w:r>
      <w:r w:rsidR="00052713">
        <w:rPr>
          <w:lang w:val="en-US"/>
        </w:rPr>
      </w:r>
      <w:r w:rsidR="00052713">
        <w:rPr>
          <w:lang w:val="en-US"/>
        </w:rPr>
        <w:fldChar w:fldCharType="end"/>
      </w:r>
      <w:r w:rsidR="00880B2F">
        <w:rPr>
          <w:lang w:val="en-US"/>
        </w:rPr>
      </w:r>
      <w:r w:rsidR="00880B2F">
        <w:rPr>
          <w:lang w:val="en-US"/>
        </w:rPr>
        <w:fldChar w:fldCharType="separate"/>
      </w:r>
      <w:r w:rsidR="00052713">
        <w:rPr>
          <w:noProof/>
          <w:lang w:val="en-US"/>
        </w:rPr>
        <w:t>(</w:t>
      </w:r>
      <w:hyperlink w:anchor="_ENREF_55" w:tooltip="Mirrlees, 2011 #930" w:history="1">
        <w:r w:rsidR="00D67197">
          <w:rPr>
            <w:noProof/>
            <w:lang w:val="en-US"/>
          </w:rPr>
          <w:t>Mirrlees et al., 2011</w:t>
        </w:r>
      </w:hyperlink>
      <w:r w:rsidR="00052713">
        <w:rPr>
          <w:noProof/>
          <w:lang w:val="en-US"/>
        </w:rPr>
        <w:t xml:space="preserve">; </w:t>
      </w:r>
      <w:hyperlink w:anchor="_ENREF_63" w:tooltip="Ryan, 2009 #891" w:history="1">
        <w:r w:rsidR="00D67197">
          <w:rPr>
            <w:noProof/>
            <w:lang w:val="en-US"/>
          </w:rPr>
          <w:t>Ryan et al., 2009</w:t>
        </w:r>
      </w:hyperlink>
      <w:r w:rsidR="00052713">
        <w:rPr>
          <w:noProof/>
          <w:lang w:val="en-US"/>
        </w:rPr>
        <w:t>)</w:t>
      </w:r>
      <w:r w:rsidR="00880B2F">
        <w:rPr>
          <w:lang w:val="en-US"/>
        </w:rPr>
        <w:fldChar w:fldCharType="end"/>
      </w:r>
      <w:r w:rsidR="001E1112">
        <w:rPr>
          <w:lang w:val="en-US"/>
        </w:rPr>
        <w:t xml:space="preserve">. </w:t>
      </w:r>
      <w:r w:rsidRPr="000D65CF">
        <w:rPr>
          <w:lang w:val="en-US"/>
        </w:rPr>
        <w:t>As increasing fuel efficiency and the penetration of alternatively fuelled veh</w:t>
      </w:r>
      <w:r w:rsidR="001E1112">
        <w:rPr>
          <w:lang w:val="en-US"/>
        </w:rPr>
        <w:t>icles begin</w:t>
      </w:r>
      <w:r w:rsidRPr="000D65CF">
        <w:rPr>
          <w:lang w:val="en-US"/>
        </w:rPr>
        <w:t xml:space="preserve"> to reduce taxation revenue, Governments are likely to need to replace that revenue with other forms of taxation. </w:t>
      </w:r>
      <w:proofErr w:type="gramStart"/>
      <w:r w:rsidRPr="000D65CF">
        <w:rPr>
          <w:lang w:val="en-US"/>
        </w:rPr>
        <w:t>Whether or not this takes the form of further taxes on motoring including electricity use within this sector remains to be seen.</w:t>
      </w:r>
      <w:proofErr w:type="gramEnd"/>
      <w:r w:rsidRPr="000D65CF">
        <w:rPr>
          <w:lang w:val="en-US"/>
        </w:rPr>
        <w:t xml:space="preserve"> </w:t>
      </w:r>
    </w:p>
    <w:p w14:paraId="00494121" w14:textId="77777777" w:rsidR="008E4E88" w:rsidRPr="00C64BF5" w:rsidRDefault="008E4E88" w:rsidP="0098753B">
      <w:pPr>
        <w:rPr>
          <w:lang w:val="en-US"/>
        </w:rPr>
      </w:pPr>
    </w:p>
    <w:p w14:paraId="155430EF" w14:textId="77777777" w:rsidR="001E1112" w:rsidRDefault="001E1112" w:rsidP="001E1112">
      <w:pPr>
        <w:pStyle w:val="Heading2"/>
        <w:rPr>
          <w:lang w:val="en-US"/>
        </w:rPr>
      </w:pPr>
      <w:r>
        <w:rPr>
          <w:lang w:val="en-US"/>
        </w:rPr>
        <w:t>1.2 Aims and objectives</w:t>
      </w:r>
    </w:p>
    <w:p w14:paraId="59E5FF2A" w14:textId="12200D81" w:rsidR="00E77E6C" w:rsidRPr="00C64BF5" w:rsidRDefault="000D65CF" w:rsidP="0098753B">
      <w:pPr>
        <w:rPr>
          <w:lang w:val="en-US"/>
        </w:rPr>
      </w:pPr>
      <w:r w:rsidRPr="000D65CF">
        <w:rPr>
          <w:lang w:val="en-US"/>
        </w:rPr>
        <w:t xml:space="preserve">Using the context of light duty passenger vehicles in the UK, </w:t>
      </w:r>
      <w:r w:rsidR="00BB43B7">
        <w:rPr>
          <w:lang w:val="en-US"/>
        </w:rPr>
        <w:t>this paper</w:t>
      </w:r>
      <w:r w:rsidRPr="000D65CF">
        <w:rPr>
          <w:lang w:val="en-US"/>
        </w:rPr>
        <w:t xml:space="preserve"> </w:t>
      </w:r>
      <w:r w:rsidR="00C109D4">
        <w:rPr>
          <w:lang w:val="en-US"/>
        </w:rPr>
        <w:t xml:space="preserve">first examines the </w:t>
      </w:r>
      <w:r w:rsidR="002F70EB">
        <w:rPr>
          <w:lang w:val="en-US"/>
        </w:rPr>
        <w:t xml:space="preserve">historical </w:t>
      </w:r>
      <w:r w:rsidR="00C109D4">
        <w:rPr>
          <w:lang w:val="en-US"/>
        </w:rPr>
        <w:t xml:space="preserve">evidence and then </w:t>
      </w:r>
      <w:r w:rsidRPr="000D65CF">
        <w:rPr>
          <w:lang w:val="en-US"/>
        </w:rPr>
        <w:t xml:space="preserve">explores the </w:t>
      </w:r>
      <w:r w:rsidR="002F70EB">
        <w:rPr>
          <w:lang w:val="en-US"/>
        </w:rPr>
        <w:t xml:space="preserve">long term </w:t>
      </w:r>
      <w:r w:rsidRPr="000D65CF">
        <w:rPr>
          <w:lang w:val="en-US"/>
        </w:rPr>
        <w:t>life cycle</w:t>
      </w:r>
      <w:r w:rsidR="00907602">
        <w:rPr>
          <w:rStyle w:val="FootnoteReference"/>
          <w:lang w:val="en-US"/>
        </w:rPr>
        <w:footnoteReference w:id="2"/>
      </w:r>
      <w:r w:rsidRPr="000D65CF">
        <w:rPr>
          <w:lang w:val="en-US"/>
        </w:rPr>
        <w:t xml:space="preserve"> carbon effects of three fiscal incentives and a number of variants developed within a systematic scenario </w:t>
      </w:r>
      <w:r w:rsidR="001E1112" w:rsidRPr="000D65CF">
        <w:rPr>
          <w:lang w:val="en-US"/>
        </w:rPr>
        <w:t>modeling</w:t>
      </w:r>
      <w:r w:rsidRPr="000D65CF">
        <w:rPr>
          <w:lang w:val="en-US"/>
        </w:rPr>
        <w:t xml:space="preserve"> framework, using real life data and assumptions. </w:t>
      </w:r>
      <w:r w:rsidRPr="001E1112">
        <w:rPr>
          <w:lang w:val="en-US"/>
        </w:rPr>
        <w:t>By doing so it aims to assess which type</w:t>
      </w:r>
      <w:r w:rsidR="00754CCA">
        <w:rPr>
          <w:lang w:val="en-US"/>
        </w:rPr>
        <w:t>s</w:t>
      </w:r>
      <w:r w:rsidRPr="001E1112">
        <w:rPr>
          <w:lang w:val="en-US"/>
        </w:rPr>
        <w:t xml:space="preserve"> </w:t>
      </w:r>
      <w:r w:rsidR="00754CCA">
        <w:rPr>
          <w:lang w:val="en-US"/>
        </w:rPr>
        <w:t xml:space="preserve">and levels of policy ambition </w:t>
      </w:r>
      <w:r w:rsidRPr="001E1112">
        <w:rPr>
          <w:lang w:val="en-US"/>
        </w:rPr>
        <w:t xml:space="preserve">of taxation on low carbon passenger vehicles accelerates fuel, technology and purchasing </w:t>
      </w:r>
      <w:r w:rsidR="001E1112" w:rsidRPr="001E1112">
        <w:rPr>
          <w:lang w:val="en-US"/>
        </w:rPr>
        <w:t>behavioral</w:t>
      </w:r>
      <w:r w:rsidRPr="001E1112">
        <w:rPr>
          <w:lang w:val="en-US"/>
        </w:rPr>
        <w:t xml:space="preserve"> transitions the fastest with (</w:t>
      </w:r>
      <w:proofErr w:type="spellStart"/>
      <w:r w:rsidRPr="001E1112">
        <w:rPr>
          <w:lang w:val="en-US"/>
        </w:rPr>
        <w:t>i</w:t>
      </w:r>
      <w:proofErr w:type="spellEnd"/>
      <w:r w:rsidRPr="001E1112">
        <w:rPr>
          <w:lang w:val="en-US"/>
        </w:rPr>
        <w:t xml:space="preserve">) most life cycle </w:t>
      </w:r>
      <w:r w:rsidR="00D6337E">
        <w:rPr>
          <w:lang w:val="en-US"/>
        </w:rPr>
        <w:t xml:space="preserve">GHG </w:t>
      </w:r>
      <w:r w:rsidRPr="001E1112">
        <w:rPr>
          <w:lang w:val="en-US"/>
        </w:rPr>
        <w:t xml:space="preserve">emissions savings, (ii) </w:t>
      </w:r>
      <w:r w:rsidR="00D6337E">
        <w:rPr>
          <w:lang w:val="en-US"/>
        </w:rPr>
        <w:t xml:space="preserve">potential </w:t>
      </w:r>
      <w:r w:rsidRPr="001E1112">
        <w:rPr>
          <w:lang w:val="en-US"/>
        </w:rPr>
        <w:t xml:space="preserve">revenue </w:t>
      </w:r>
      <w:r w:rsidR="00D6337E">
        <w:rPr>
          <w:lang w:val="en-US"/>
        </w:rPr>
        <w:t xml:space="preserve">neutrality </w:t>
      </w:r>
      <w:r w:rsidRPr="001E1112">
        <w:rPr>
          <w:lang w:val="en-US"/>
        </w:rPr>
        <w:t>and (iii)</w:t>
      </w:r>
      <w:r w:rsidR="00E86717">
        <w:rPr>
          <w:lang w:val="en-US"/>
        </w:rPr>
        <w:t xml:space="preserve"> no adverse effects on car use</w:t>
      </w:r>
      <w:r w:rsidRPr="001E1112">
        <w:rPr>
          <w:lang w:val="en-US"/>
        </w:rPr>
        <w:t>.</w:t>
      </w:r>
      <w:r w:rsidRPr="000D65CF">
        <w:rPr>
          <w:lang w:val="en-US"/>
        </w:rPr>
        <w:t xml:space="preserve"> Whereas implications for policy choice, design and timing are discussed, issues of the wider political acceptability and issues of equity are outside the scope of this paper.</w:t>
      </w:r>
    </w:p>
    <w:p w14:paraId="677ADB42" w14:textId="77777777" w:rsidR="008005BB" w:rsidRPr="00C64BF5" w:rsidRDefault="008005BB" w:rsidP="0098753B">
      <w:pPr>
        <w:rPr>
          <w:lang w:val="en-US"/>
        </w:rPr>
      </w:pPr>
    </w:p>
    <w:p w14:paraId="0456FAFA" w14:textId="316C8234" w:rsidR="00653C01" w:rsidRPr="00D4393B" w:rsidRDefault="000D65CF" w:rsidP="0098753B">
      <w:pPr>
        <w:rPr>
          <w:rFonts w:eastAsia="Cambria"/>
          <w:lang w:val="en-US"/>
        </w:rPr>
      </w:pPr>
      <w:r w:rsidRPr="000D65CF">
        <w:rPr>
          <w:lang w:val="en-US"/>
        </w:rPr>
        <w:t xml:space="preserve">Fiscal incentives for passenger vehicles can broadly be split into policies that </w:t>
      </w:r>
      <w:r w:rsidRPr="00275050">
        <w:rPr>
          <w:i/>
          <w:lang w:val="en-US"/>
        </w:rPr>
        <w:t>primarily</w:t>
      </w:r>
      <w:r w:rsidRPr="000D65CF">
        <w:rPr>
          <w:lang w:val="en-US"/>
        </w:rPr>
        <w:t xml:space="preserve"> affect vehicle ownership (either upfront or during the lifetime of the vehicle e.g. purchase taxes, feebates, scrappage schemes </w:t>
      </w:r>
      <w:proofErr w:type="gramStart"/>
      <w:r w:rsidRPr="000D65CF">
        <w:rPr>
          <w:lang w:val="en-US"/>
        </w:rPr>
        <w:t>and</w:t>
      </w:r>
      <w:proofErr w:type="gramEnd"/>
      <w:r w:rsidRPr="000D65CF">
        <w:rPr>
          <w:lang w:val="en-US"/>
        </w:rPr>
        <w:t xml:space="preserve"> vehicle circulation taxes) or vehicle use (e.g. distance based charges, fuel taxation</w:t>
      </w:r>
      <w:r w:rsidR="00907602">
        <w:rPr>
          <w:lang w:val="en-US"/>
        </w:rPr>
        <w:t>, carbon taxation</w:t>
      </w:r>
      <w:r w:rsidRPr="000D65CF">
        <w:rPr>
          <w:lang w:val="en-US"/>
        </w:rPr>
        <w:t xml:space="preserve">). </w:t>
      </w:r>
      <w:r w:rsidR="00907602">
        <w:rPr>
          <w:lang w:val="en-US"/>
        </w:rPr>
        <w:t xml:space="preserve"> </w:t>
      </w:r>
      <w:r w:rsidR="00C657CF" w:rsidRPr="00C657CF">
        <w:rPr>
          <w:lang w:val="en-US"/>
        </w:rPr>
        <w:t>In th</w:t>
      </w:r>
      <w:r w:rsidR="00D4393B">
        <w:rPr>
          <w:lang w:val="en-US"/>
        </w:rPr>
        <w:t xml:space="preserve">is paper we focus on the former, namely (1) </w:t>
      </w:r>
      <w:r w:rsidR="00D4393B" w:rsidRPr="000D65CF">
        <w:rPr>
          <w:rFonts w:eastAsia="Cambria"/>
          <w:lang w:val="en-US"/>
        </w:rPr>
        <w:t xml:space="preserve">vehicle purchase taxes or ‘feebates’, </w:t>
      </w:r>
      <w:r w:rsidR="00D4393B">
        <w:rPr>
          <w:rFonts w:eastAsia="Cambria"/>
          <w:lang w:val="en-US"/>
        </w:rPr>
        <w:t xml:space="preserve">(2) </w:t>
      </w:r>
      <w:r w:rsidR="00D4393B" w:rsidRPr="000D65CF">
        <w:rPr>
          <w:rFonts w:eastAsia="Cambria"/>
          <w:lang w:val="en-US"/>
        </w:rPr>
        <w:t xml:space="preserve">graduated vehicle road taxes and </w:t>
      </w:r>
      <w:r w:rsidR="00D4393B">
        <w:rPr>
          <w:rFonts w:eastAsia="Cambria"/>
          <w:lang w:val="en-US"/>
        </w:rPr>
        <w:t xml:space="preserve">(3) </w:t>
      </w:r>
      <w:r w:rsidR="00D4393B" w:rsidRPr="000D65CF">
        <w:rPr>
          <w:rFonts w:eastAsia="Cambria"/>
          <w:lang w:val="en-US"/>
        </w:rPr>
        <w:t>vehicle scrappage schemes.</w:t>
      </w:r>
      <w:r w:rsidR="00D4393B">
        <w:rPr>
          <w:rFonts w:eastAsia="Cambria"/>
          <w:lang w:val="en-US"/>
        </w:rPr>
        <w:t xml:space="preserve">  Fuel pricing and taxation has been excluded for mainly three reasons.</w:t>
      </w:r>
      <w:r w:rsidR="00C657CF" w:rsidRPr="00C657CF">
        <w:rPr>
          <w:lang w:val="en-US"/>
        </w:rPr>
        <w:t xml:space="preserve"> First, </w:t>
      </w:r>
      <w:r w:rsidR="002F70EB" w:rsidRPr="00E86DB6">
        <w:rPr>
          <w:lang w:val="en-US"/>
        </w:rPr>
        <w:t>the literature on the effects of graded CO</w:t>
      </w:r>
      <w:r w:rsidR="002F70EB" w:rsidRPr="00E86DB6">
        <w:rPr>
          <w:vertAlign w:val="subscript"/>
          <w:lang w:val="en-US"/>
        </w:rPr>
        <w:t>2</w:t>
      </w:r>
      <w:r w:rsidR="002F70EB" w:rsidRPr="00E86DB6">
        <w:rPr>
          <w:lang w:val="en-US"/>
        </w:rPr>
        <w:t xml:space="preserve"> vehicle taxes that directly affect the up-front costs as well as future annual payments for ownership of a vehicle is less developed</w:t>
      </w:r>
      <w:r w:rsidR="002F70EB">
        <w:rPr>
          <w:lang w:val="en-US"/>
        </w:rPr>
        <w:t xml:space="preserve"> than for fuel pricing/taxation</w:t>
      </w:r>
      <w:r w:rsidR="00A62F53">
        <w:rPr>
          <w:lang w:val="en-US"/>
        </w:rPr>
        <w:t xml:space="preserve"> </w:t>
      </w:r>
      <w:r w:rsidR="00A62F53">
        <w:rPr>
          <w:lang w:val="en-US"/>
        </w:rPr>
        <w:fldChar w:fldCharType="begin"/>
      </w:r>
      <w:r w:rsidR="00A62F53">
        <w:rPr>
          <w:lang w:val="en-US"/>
        </w:rPr>
        <w:instrText xml:space="preserve"> ADDIN EN.CITE &lt;EndNote&gt;&lt;Cite&gt;&lt;Author&gt;Schipper&lt;/Author&gt;&lt;Year&gt;2011&lt;/Year&gt;&lt;RecNum&gt;932&lt;/RecNum&gt;&lt;Prefix&gt;which are covered well in e.g. &lt;/Prefix&gt;&lt;DisplayText&gt;(which are covered well in e.g. Goodwin et al., 2004; Schipper et al., 2011)&lt;/DisplayText&gt;&lt;record&gt;&lt;rec-number&gt;932&lt;/rec-number&gt;&lt;foreign-keys&gt;&lt;key app="EN" db-id="a0wpest2552swgezzsnxxwsnpp9axwswpaww"&gt;932&lt;/key&gt;&lt;/foreign-keys&gt;&lt;ref-type name="Journal Article"&gt;17&lt;/ref-type&gt;&lt;contributors&gt;&lt;authors&gt;&lt;author&gt;Schipper, L.&lt;/author&gt;&lt;author&gt;Saenger, C.&lt;/author&gt;&lt;author&gt;Sudardshan, A.&lt;/author&gt;&lt;/authors&gt;&lt;/contributors&gt;&lt;titles&gt;&lt;title&gt;Transport and carbon emissions in the United States: The long view&lt;/title&gt;&lt;secondary-title&gt;Energies&lt;/secondary-title&gt;&lt;/titles&gt;&lt;pages&gt;563-581&lt;/pages&gt;&lt;volume&gt;4&lt;/volume&gt;&lt;number&gt;4&lt;/number&gt;&lt;dates&gt;&lt;year&gt;2011&lt;/year&gt;&lt;/dates&gt;&lt;urls&gt;&lt;/urls&gt;&lt;electronic-resource-num&gt;10.3390/en4040563&lt;/electronic-resource-num&gt;&lt;/record&gt;&lt;/Cite&gt;&lt;Cite&gt;&lt;Author&gt;Goodwin&lt;/Author&gt;&lt;Year&gt;2004&lt;/Year&gt;&lt;RecNum&gt;682&lt;/RecNum&gt;&lt;record&gt;&lt;rec-number&gt;682&lt;/rec-number&gt;&lt;foreign-keys&gt;&lt;key app="EN" db-id="a0wpest2552swgezzsnxxwsnpp9axwswpaww"&gt;682&lt;/key&gt;&lt;/foreign-keys&gt;&lt;ref-type name="Journal Article"&gt;17&lt;/ref-type&gt;&lt;contributors&gt;&lt;authors&gt;&lt;author&gt;Goodwin, P.&lt;/author&gt;&lt;author&gt;Dargay, J.&lt;/author&gt;&lt;author&gt;Hanly, M.&lt;/author&gt;&lt;/authors&gt;&lt;/contributors&gt;&lt;titles&gt;&lt;title&gt;Elasticities of Road Traffic and Fuel Consumption with Respect to Price and Income: A Review&lt;/title&gt;&lt;secondary-title&gt;Transport Reviews&lt;/secondary-title&gt;&lt;/titles&gt;&lt;pages&gt;275-292&lt;/pages&gt;&lt;volume&gt;24&lt;/volume&gt;&lt;number&gt;3&lt;/number&gt;&lt;dates&gt;&lt;year&gt;2004&lt;/year&gt;&lt;/dates&gt;&lt;urls&gt;&lt;/urls&gt;&lt;/record&gt;&lt;/Cite&gt;&lt;/EndNote&gt;</w:instrText>
      </w:r>
      <w:r w:rsidR="00A62F53">
        <w:rPr>
          <w:lang w:val="en-US"/>
        </w:rPr>
        <w:fldChar w:fldCharType="separate"/>
      </w:r>
      <w:r w:rsidR="00A62F53">
        <w:rPr>
          <w:noProof/>
          <w:lang w:val="en-US"/>
        </w:rPr>
        <w:t xml:space="preserve">(which are covered well in e.g. </w:t>
      </w:r>
      <w:hyperlink w:anchor="_ENREF_34" w:tooltip="Goodwin, 2004 #682" w:history="1">
        <w:r w:rsidR="00D67197">
          <w:rPr>
            <w:noProof/>
            <w:lang w:val="en-US"/>
          </w:rPr>
          <w:t>Goodwin et al., 2004</w:t>
        </w:r>
      </w:hyperlink>
      <w:r w:rsidR="00A62F53">
        <w:rPr>
          <w:noProof/>
          <w:lang w:val="en-US"/>
        </w:rPr>
        <w:t xml:space="preserve">; </w:t>
      </w:r>
      <w:hyperlink w:anchor="_ENREF_65" w:tooltip="Schipper, 2011 #932" w:history="1">
        <w:r w:rsidR="00D67197">
          <w:rPr>
            <w:noProof/>
            <w:lang w:val="en-US"/>
          </w:rPr>
          <w:t>Schipper et al., 2011</w:t>
        </w:r>
      </w:hyperlink>
      <w:r w:rsidR="00A62F53">
        <w:rPr>
          <w:noProof/>
          <w:lang w:val="en-US"/>
        </w:rPr>
        <w:t>)</w:t>
      </w:r>
      <w:r w:rsidR="00A62F53">
        <w:rPr>
          <w:lang w:val="en-US"/>
        </w:rPr>
        <w:fldChar w:fldCharType="end"/>
      </w:r>
      <w:r w:rsidR="002F70EB">
        <w:rPr>
          <w:lang w:val="en-US"/>
        </w:rPr>
        <w:t xml:space="preserve">. Second, </w:t>
      </w:r>
      <w:r w:rsidR="002967B5">
        <w:rPr>
          <w:lang w:val="en-US"/>
        </w:rPr>
        <w:t xml:space="preserve">recent empirical </w:t>
      </w:r>
      <w:r w:rsidR="00C657CF" w:rsidRPr="00C657CF">
        <w:rPr>
          <w:lang w:val="en-US"/>
        </w:rPr>
        <w:t>evidence</w:t>
      </w:r>
      <w:r w:rsidR="002967B5">
        <w:rPr>
          <w:lang w:val="en-US"/>
        </w:rPr>
        <w:t xml:space="preserve"> </w:t>
      </w:r>
      <w:r w:rsidR="00653C01">
        <w:rPr>
          <w:lang w:val="en-US"/>
        </w:rPr>
        <w:fldChar w:fldCharType="begin">
          <w:fldData xml:space="preserve">PEVuZE5vdGU+PENpdGU+PEF1dGhvcj5Cb3V0aW48L0F1dGhvcj48WWVhcj4yMDEwPC9ZZWFyPjxS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</w:fldData>
        </w:fldChar>
      </w:r>
      <w:r w:rsidR="002F70EB">
        <w:rPr>
          <w:lang w:val="en-US"/>
        </w:rPr>
        <w:instrText xml:space="preserve"> ADDIN EN.CITE </w:instrText>
      </w:r>
      <w:r w:rsidR="002F70EB">
        <w:rPr>
          <w:lang w:val="en-US"/>
        </w:rPr>
        <w:fldChar w:fldCharType="begin">
          <w:fldData xml:space="preserve">PEVuZE5vdGU+PENpdGU+PEF1dGhvcj5Cb3V0aW48L0F1dGhvcj48WWVhcj4yMDEwPC9ZZWFyPjxS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</w:fldData>
        </w:fldChar>
      </w:r>
      <w:r w:rsidR="002F70EB">
        <w:rPr>
          <w:lang w:val="en-US"/>
        </w:rPr>
        <w:instrText xml:space="preserve"> ADDIN EN.CITE.DATA </w:instrText>
      </w:r>
      <w:r w:rsidR="002F70EB">
        <w:rPr>
          <w:lang w:val="en-US"/>
        </w:rPr>
      </w:r>
      <w:r w:rsidR="002F70EB">
        <w:rPr>
          <w:lang w:val="en-US"/>
        </w:rPr>
        <w:fldChar w:fldCharType="end"/>
      </w:r>
      <w:r w:rsidR="00653C01">
        <w:rPr>
          <w:lang w:val="en-US"/>
        </w:rPr>
      </w:r>
      <w:r w:rsidR="00653C01">
        <w:rPr>
          <w:lang w:val="en-US"/>
        </w:rPr>
        <w:fldChar w:fldCharType="separate"/>
      </w:r>
      <w:r w:rsidR="002F70EB">
        <w:rPr>
          <w:noProof/>
          <w:lang w:val="en-US"/>
        </w:rPr>
        <w:t>(</w:t>
      </w:r>
      <w:hyperlink w:anchor="_ENREF_8" w:tooltip="Boutin, 2010 #978" w:history="1">
        <w:r w:rsidR="00D67197">
          <w:rPr>
            <w:noProof/>
            <w:lang w:val="en-US"/>
          </w:rPr>
          <w:t>Boutin et al., 2010</w:t>
        </w:r>
      </w:hyperlink>
      <w:r w:rsidR="002F70EB">
        <w:rPr>
          <w:noProof/>
          <w:lang w:val="en-US"/>
        </w:rPr>
        <w:t xml:space="preserve">; </w:t>
      </w:r>
      <w:hyperlink w:anchor="_ENREF_61" w:tooltip="Rogan, 2011 #885" w:history="1">
        <w:r w:rsidR="00D67197">
          <w:rPr>
            <w:noProof/>
            <w:lang w:val="en-US"/>
          </w:rPr>
          <w:t>Rogan et al., 2011</w:t>
        </w:r>
      </w:hyperlink>
      <w:r w:rsidR="002F70EB">
        <w:rPr>
          <w:noProof/>
          <w:lang w:val="en-US"/>
        </w:rPr>
        <w:t>)</w:t>
      </w:r>
      <w:r w:rsidR="00653C01">
        <w:rPr>
          <w:lang w:val="en-US"/>
        </w:rPr>
        <w:fldChar w:fldCharType="end"/>
      </w:r>
      <w:r w:rsidR="00C657CF">
        <w:rPr>
          <w:lang w:val="en-US"/>
        </w:rPr>
        <w:t xml:space="preserve"> </w:t>
      </w:r>
      <w:r w:rsidR="00C657CF" w:rsidRPr="00C657CF">
        <w:rPr>
          <w:lang w:val="en-US"/>
        </w:rPr>
        <w:t>suggests that ownership tax differentials and incentives can be successful in influencing purchasing decisions of alternative fuelled cars</w:t>
      </w:r>
      <w:r w:rsidR="00D4393B">
        <w:rPr>
          <w:lang w:val="en-US"/>
        </w:rPr>
        <w:t>, yet the rate and level of success need to be explored further and applied in futures studies</w:t>
      </w:r>
      <w:r w:rsidR="000401E0">
        <w:rPr>
          <w:lang w:val="en-US"/>
        </w:rPr>
        <w:t xml:space="preserve"> exploring the medium to long term effects of such policies</w:t>
      </w:r>
      <w:r w:rsidR="00C657CF" w:rsidRPr="00C657CF">
        <w:rPr>
          <w:lang w:val="en-US"/>
        </w:rPr>
        <w:t xml:space="preserve">. </w:t>
      </w:r>
      <w:r w:rsidR="00D4393B">
        <w:rPr>
          <w:lang w:val="en-US"/>
        </w:rPr>
        <w:t xml:space="preserve">Third, </w:t>
      </w:r>
      <w:r w:rsidR="002F70EB" w:rsidRPr="000D65CF">
        <w:rPr>
          <w:lang w:val="en-US"/>
        </w:rPr>
        <w:t xml:space="preserve">the current </w:t>
      </w:r>
      <w:r w:rsidR="00D4393B">
        <w:rPr>
          <w:lang w:val="en-US"/>
        </w:rPr>
        <w:t xml:space="preserve">UK </w:t>
      </w:r>
      <w:r w:rsidR="002F70EB">
        <w:rPr>
          <w:lang w:val="en-US"/>
        </w:rPr>
        <w:t xml:space="preserve">fuel duty </w:t>
      </w:r>
      <w:r w:rsidR="002F70EB" w:rsidRPr="000D65CF">
        <w:rPr>
          <w:lang w:val="en-US"/>
        </w:rPr>
        <w:t>rate</w:t>
      </w:r>
      <w:r w:rsidR="002F70EB">
        <w:rPr>
          <w:lang w:val="en-US"/>
        </w:rPr>
        <w:t>s</w:t>
      </w:r>
      <w:r w:rsidR="002F70EB" w:rsidRPr="000D65CF">
        <w:rPr>
          <w:lang w:val="en-US"/>
        </w:rPr>
        <w:t xml:space="preserve"> for liquid road fuels (gasoline, diesel, biodiesel, bioethanol) </w:t>
      </w:r>
      <w:r w:rsidR="002F70EB">
        <w:rPr>
          <w:lang w:val="en-US"/>
        </w:rPr>
        <w:t>are</w:t>
      </w:r>
      <w:r w:rsidR="002F70EB" w:rsidRPr="000D65CF">
        <w:rPr>
          <w:lang w:val="en-US"/>
        </w:rPr>
        <w:t xml:space="preserve"> already relatively high at GBP0.58/liter</w:t>
      </w:r>
      <w:r w:rsidR="002F70EB" w:rsidRPr="000D65CF">
        <w:rPr>
          <w:rStyle w:val="FootnoteReference"/>
          <w:lang w:val="en-US"/>
        </w:rPr>
        <w:footnoteReference w:id="3"/>
      </w:r>
      <w:r w:rsidR="002F70EB">
        <w:rPr>
          <w:lang w:val="en-US"/>
        </w:rPr>
        <w:t xml:space="preserve">, </w:t>
      </w:r>
      <w:r w:rsidR="002F70EB" w:rsidRPr="00E86DB6">
        <w:rPr>
          <w:lang w:val="en-US"/>
        </w:rPr>
        <w:t>with little room for maneuver in terms of political and public acceptance</w:t>
      </w:r>
      <w:r w:rsidR="002F70EB">
        <w:rPr>
          <w:lang w:val="en-US"/>
        </w:rPr>
        <w:t xml:space="preserve">. </w:t>
      </w:r>
    </w:p>
    <w:p w14:paraId="152FECDA" w14:textId="77777777" w:rsidR="00653C01" w:rsidRDefault="00653C01" w:rsidP="0098753B">
      <w:pPr>
        <w:rPr>
          <w:lang w:val="en-US"/>
        </w:rPr>
      </w:pPr>
    </w:p>
    <w:p w14:paraId="6F3A5FB2" w14:textId="04C3E5A5" w:rsidR="008A36A2" w:rsidRPr="00C657CF" w:rsidRDefault="000D65CF" w:rsidP="0098753B">
      <w:pPr>
        <w:rPr>
          <w:lang w:val="en-US"/>
        </w:rPr>
      </w:pPr>
      <w:r w:rsidRPr="000D65CF">
        <w:rPr>
          <w:rFonts w:eastAsia="Cambria"/>
          <w:lang w:val="en-US"/>
        </w:rPr>
        <w:t xml:space="preserve">The </w:t>
      </w:r>
      <w:r w:rsidR="00D4393B">
        <w:rPr>
          <w:rFonts w:eastAsia="Cambria"/>
          <w:lang w:val="en-US"/>
        </w:rPr>
        <w:t xml:space="preserve">three types of fiscal incentives </w:t>
      </w:r>
      <w:r w:rsidRPr="000D65CF">
        <w:rPr>
          <w:rFonts w:eastAsia="Cambria"/>
          <w:lang w:val="en-US"/>
        </w:rPr>
        <w:t xml:space="preserve">are briefly reviewed in the next section before going on to outline the methodology and scenarios used </w:t>
      </w:r>
      <w:r w:rsidR="00C109D4">
        <w:rPr>
          <w:rFonts w:eastAsia="Cambria"/>
          <w:lang w:val="en-US"/>
        </w:rPr>
        <w:t xml:space="preserve">in the modeling. </w:t>
      </w:r>
      <w:r w:rsidR="00275050">
        <w:rPr>
          <w:rFonts w:eastAsia="Cambria"/>
          <w:lang w:val="en-US"/>
        </w:rPr>
        <w:t xml:space="preserve"> </w:t>
      </w:r>
      <w:r w:rsidR="00C109D4">
        <w:rPr>
          <w:rFonts w:eastAsia="Cambria"/>
          <w:lang w:val="en-US"/>
        </w:rPr>
        <w:t>T</w:t>
      </w:r>
      <w:r w:rsidRPr="000D65CF">
        <w:rPr>
          <w:rFonts w:eastAsia="Cambria"/>
          <w:lang w:val="en-US"/>
        </w:rPr>
        <w:t xml:space="preserve">he </w:t>
      </w:r>
      <w:r w:rsidR="00C109D4">
        <w:rPr>
          <w:rFonts w:eastAsia="Cambria"/>
          <w:lang w:val="en-US"/>
        </w:rPr>
        <w:t>paper then presents and discusses the main results before concluding with the main implications for policy and practice.</w:t>
      </w:r>
    </w:p>
    <w:p w14:paraId="2D761F02" w14:textId="77777777" w:rsidR="00475653" w:rsidRPr="00C64BF5" w:rsidRDefault="00475653" w:rsidP="0098753B">
      <w:pPr>
        <w:rPr>
          <w:rFonts w:eastAsia="Cambria"/>
          <w:lang w:val="en-US"/>
        </w:rPr>
      </w:pPr>
    </w:p>
    <w:p w14:paraId="27906692" w14:textId="5E2FC8AD" w:rsidR="00475653" w:rsidRDefault="000D65CF" w:rsidP="00475653">
      <w:pPr>
        <w:pStyle w:val="Heading1"/>
        <w:rPr>
          <w:lang w:val="en-US"/>
        </w:rPr>
      </w:pPr>
      <w:r w:rsidRPr="000D65CF">
        <w:rPr>
          <w:lang w:val="en-US"/>
        </w:rPr>
        <w:t xml:space="preserve">2 </w:t>
      </w:r>
      <w:r w:rsidR="00CD4B0C">
        <w:rPr>
          <w:lang w:val="en-US"/>
        </w:rPr>
        <w:t>THE EVIDENCE BASE</w:t>
      </w:r>
    </w:p>
    <w:p w14:paraId="34AB5C2D" w14:textId="7DACC046" w:rsidR="00275050" w:rsidRDefault="00CD4B0C" w:rsidP="00275050">
      <w:pPr>
        <w:rPr>
          <w:lang w:val="en-US"/>
        </w:rPr>
      </w:pPr>
      <w:r>
        <w:rPr>
          <w:lang w:val="en-US"/>
        </w:rPr>
        <w:t>The main objective of the three f</w:t>
      </w:r>
      <w:r w:rsidRPr="00CD4B0C">
        <w:rPr>
          <w:lang w:val="en-US"/>
        </w:rPr>
        <w:t xml:space="preserve">iscal incentives </w:t>
      </w:r>
      <w:r>
        <w:rPr>
          <w:lang w:val="en-US"/>
        </w:rPr>
        <w:t xml:space="preserve">covered here </w:t>
      </w:r>
      <w:r w:rsidR="00AE729A">
        <w:rPr>
          <w:lang w:val="en-US"/>
        </w:rPr>
        <w:t xml:space="preserve">is </w:t>
      </w:r>
      <w:r w:rsidRPr="00CD4B0C">
        <w:rPr>
          <w:lang w:val="en-US"/>
        </w:rPr>
        <w:t>to send a price signal</w:t>
      </w:r>
      <w:r w:rsidR="00AE729A">
        <w:rPr>
          <w:lang w:val="en-US"/>
        </w:rPr>
        <w:t xml:space="preserve"> to</w:t>
      </w:r>
      <w:r>
        <w:rPr>
          <w:lang w:val="en-US"/>
        </w:rPr>
        <w:t xml:space="preserve"> private consumers and fleet operators</w:t>
      </w:r>
      <w:r w:rsidR="00AE729A">
        <w:rPr>
          <w:lang w:val="en-US"/>
        </w:rPr>
        <w:t xml:space="preserve"> designed to influence purchasing decisions</w:t>
      </w:r>
      <w:r>
        <w:rPr>
          <w:lang w:val="en-US"/>
        </w:rPr>
        <w:t xml:space="preserve"> </w:t>
      </w:r>
      <w:r w:rsidR="00AE729A">
        <w:rPr>
          <w:lang w:val="en-US"/>
        </w:rPr>
        <w:t xml:space="preserve">towards </w:t>
      </w:r>
      <w:r w:rsidR="00631B24">
        <w:rPr>
          <w:lang w:val="en-US"/>
        </w:rPr>
        <w:t xml:space="preserve">a number </w:t>
      </w:r>
      <w:r w:rsidR="00AE729A">
        <w:rPr>
          <w:lang w:val="en-US"/>
        </w:rPr>
        <w:t>policy goals, including environmental goals (</w:t>
      </w:r>
      <w:r>
        <w:rPr>
          <w:lang w:val="en-US"/>
        </w:rPr>
        <w:t xml:space="preserve">e.g. </w:t>
      </w:r>
      <w:r w:rsidR="00AE729A" w:rsidRPr="00CD4B0C">
        <w:rPr>
          <w:lang w:val="en-US"/>
        </w:rPr>
        <w:t>engine efficiency</w:t>
      </w:r>
      <w:r w:rsidR="00AE729A">
        <w:rPr>
          <w:lang w:val="en-US"/>
        </w:rPr>
        <w:t>, carbon emissions,</w:t>
      </w:r>
      <w:r>
        <w:rPr>
          <w:lang w:val="en-US"/>
        </w:rPr>
        <w:t xml:space="preserve"> local air </w:t>
      </w:r>
      <w:r>
        <w:rPr>
          <w:lang w:val="en-US"/>
        </w:rPr>
        <w:lastRenderedPageBreak/>
        <w:t xml:space="preserve">pollution) and economic </w:t>
      </w:r>
      <w:r w:rsidR="00AE729A">
        <w:rPr>
          <w:lang w:val="en-US"/>
        </w:rPr>
        <w:t xml:space="preserve">goals (e.g. </w:t>
      </w:r>
      <w:r w:rsidR="00F03B52">
        <w:rPr>
          <w:lang w:val="en-US"/>
        </w:rPr>
        <w:t xml:space="preserve">vehicle taxation revenues, </w:t>
      </w:r>
      <w:r w:rsidR="00AE729A" w:rsidRPr="00CD4B0C">
        <w:rPr>
          <w:lang w:val="en-US"/>
        </w:rPr>
        <w:t>vehicle ownership levels</w:t>
      </w:r>
      <w:r w:rsidR="00AE729A">
        <w:rPr>
          <w:lang w:val="en-US"/>
        </w:rPr>
        <w:t>)</w:t>
      </w:r>
      <w:r w:rsidR="00884BB1">
        <w:rPr>
          <w:lang w:val="en-US"/>
        </w:rPr>
        <w:t xml:space="preserve"> </w:t>
      </w:r>
      <w:r w:rsidR="00884BB1">
        <w:rPr>
          <w:lang w:val="en-US"/>
        </w:rPr>
        <w:fldChar w:fldCharType="begin">
          <w:fldData xml:space="preserve">PEVuZE5vdGU+PENpdGU+PEF1dGhvcj5kZSBIYWFuPC9BdXRob3I+PFllYXI+MjAwOTwvWWVhcj48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</w:fldData>
        </w:fldChar>
      </w:r>
      <w:r w:rsidR="0052682D">
        <w:rPr>
          <w:lang w:val="en-US"/>
        </w:rPr>
        <w:instrText xml:space="preserve"> ADDIN EN.CITE </w:instrText>
      </w:r>
      <w:r w:rsidR="0052682D">
        <w:rPr>
          <w:lang w:val="en-US"/>
        </w:rPr>
        <w:fldChar w:fldCharType="begin">
          <w:fldData xml:space="preserve">PEVuZE5vdGU+PENpdGU+PEF1dGhvcj5kZSBIYWFuPC9BdXRob3I+PFllYXI+MjAwOTwvWWVhcj48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</w:fldData>
        </w:fldChar>
      </w:r>
      <w:r w:rsidR="0052682D">
        <w:rPr>
          <w:lang w:val="en-US"/>
        </w:rPr>
        <w:instrText xml:space="preserve"> ADDIN EN.CITE.DATA </w:instrText>
      </w:r>
      <w:r w:rsidR="0052682D">
        <w:rPr>
          <w:lang w:val="en-US"/>
        </w:rPr>
      </w:r>
      <w:r w:rsidR="0052682D">
        <w:rPr>
          <w:lang w:val="en-US"/>
        </w:rPr>
        <w:fldChar w:fldCharType="end"/>
      </w:r>
      <w:r w:rsidR="00884BB1">
        <w:rPr>
          <w:lang w:val="en-US"/>
        </w:rPr>
      </w:r>
      <w:r w:rsidR="00884BB1">
        <w:rPr>
          <w:lang w:val="en-US"/>
        </w:rPr>
        <w:fldChar w:fldCharType="separate"/>
      </w:r>
      <w:r w:rsidR="0052682D">
        <w:rPr>
          <w:noProof/>
          <w:lang w:val="en-US"/>
        </w:rPr>
        <w:t>(</w:t>
      </w:r>
      <w:hyperlink w:anchor="_ENREF_1" w:tooltip="AEA Technology Environment, 2007 #841" w:history="1">
        <w:r w:rsidR="00D67197">
          <w:rPr>
            <w:noProof/>
            <w:lang w:val="en-US"/>
          </w:rPr>
          <w:t>AEA Technology Environment, 2007</w:t>
        </w:r>
      </w:hyperlink>
      <w:r w:rsidR="0052682D">
        <w:rPr>
          <w:noProof/>
          <w:lang w:val="en-US"/>
        </w:rPr>
        <w:t xml:space="preserve">; </w:t>
      </w:r>
      <w:hyperlink w:anchor="_ENREF_17" w:tooltip="de Haan, 2009 #867" w:history="1">
        <w:r w:rsidR="00D67197">
          <w:rPr>
            <w:noProof/>
            <w:lang w:val="en-US"/>
          </w:rPr>
          <w:t>de Haan et al., 2009</w:t>
        </w:r>
      </w:hyperlink>
      <w:r w:rsidR="0052682D">
        <w:rPr>
          <w:noProof/>
          <w:lang w:val="en-US"/>
        </w:rPr>
        <w:t xml:space="preserve">; </w:t>
      </w:r>
      <w:hyperlink w:anchor="_ENREF_57" w:tooltip="Newberry, 1995 #842" w:history="1">
        <w:r w:rsidR="00D67197">
          <w:rPr>
            <w:noProof/>
            <w:lang w:val="en-US"/>
          </w:rPr>
          <w:t>Newberry, 1995</w:t>
        </w:r>
      </w:hyperlink>
      <w:r w:rsidR="0052682D">
        <w:rPr>
          <w:noProof/>
          <w:lang w:val="en-US"/>
        </w:rPr>
        <w:t>)</w:t>
      </w:r>
      <w:r w:rsidR="00884BB1">
        <w:rPr>
          <w:lang w:val="en-US"/>
        </w:rPr>
        <w:fldChar w:fldCharType="end"/>
      </w:r>
      <w:r w:rsidR="00631B24">
        <w:rPr>
          <w:lang w:val="en-US"/>
        </w:rPr>
        <w:t xml:space="preserve">.  </w:t>
      </w:r>
      <w:r w:rsidR="00C657CF" w:rsidRPr="000D65CF">
        <w:rPr>
          <w:lang w:val="en-US"/>
        </w:rPr>
        <w:t xml:space="preserve">Depending on how they are designed, incentives that target vehicle ownership can </w:t>
      </w:r>
      <w:r w:rsidR="00C657CF" w:rsidRPr="000D65CF">
        <w:rPr>
          <w:rFonts w:eastAsia="Cambria"/>
          <w:lang w:val="en-US"/>
        </w:rPr>
        <w:t xml:space="preserve">be used to control overall vehicle ownership </w:t>
      </w:r>
      <w:r w:rsidR="00653C01">
        <w:rPr>
          <w:rFonts w:eastAsia="Cambria"/>
          <w:lang w:val="en-US"/>
        </w:rPr>
        <w:t xml:space="preserve">and </w:t>
      </w:r>
      <w:r w:rsidR="00C657CF" w:rsidRPr="000D65CF">
        <w:rPr>
          <w:rFonts w:eastAsia="Cambria"/>
          <w:lang w:val="en-US"/>
        </w:rPr>
        <w:t xml:space="preserve">size of the vehicle fleet, </w:t>
      </w:r>
      <w:r w:rsidR="00C657CF" w:rsidRPr="000D65CF">
        <w:rPr>
          <w:lang w:val="en-US"/>
        </w:rPr>
        <w:t xml:space="preserve">vehicle </w:t>
      </w:r>
      <w:r w:rsidR="00C657CF" w:rsidRPr="000D65CF">
        <w:rPr>
          <w:rFonts w:eastAsia="Cambria"/>
          <w:lang w:val="en-US"/>
        </w:rPr>
        <w:t>en</w:t>
      </w:r>
      <w:r w:rsidR="00C657CF" w:rsidRPr="000D65CF">
        <w:rPr>
          <w:lang w:val="en-US"/>
        </w:rPr>
        <w:t xml:space="preserve">gine efficiency </w:t>
      </w:r>
      <w:r w:rsidR="00C657CF" w:rsidRPr="000D65CF">
        <w:rPr>
          <w:rFonts w:eastAsia="Cambria"/>
          <w:lang w:val="en-US"/>
        </w:rPr>
        <w:t xml:space="preserve">and the development of new technology </w:t>
      </w:r>
      <w:r w:rsidR="00C657CF" w:rsidRPr="000D65CF">
        <w:rPr>
          <w:rFonts w:eastAsia="Cambria"/>
          <w:lang w:val="en-US"/>
        </w:rPr>
        <w:fldChar w:fldCharType="begin"/>
      </w:r>
      <w:r w:rsidR="00C657CF">
        <w:rPr>
          <w:rFonts w:eastAsia="Cambria"/>
          <w:lang w:val="en-US"/>
        </w:rPr>
        <w:instrText xml:space="preserve"> ADDIN EN.CITE &lt;EndNote&gt;&lt;Cite&gt;&lt;Author&gt;Jansen&lt;/Author&gt;&lt;Year&gt;1999&lt;/Year&gt;&lt;RecNum&gt;869&lt;/RecNum&gt;&lt;DisplayText&gt;(Jansen and Denis, 1999)&lt;/DisplayText&gt;&lt;record&gt;&lt;rec-number&gt;869&lt;/rec-number&gt;&lt;foreign-keys&gt;&lt;key app="EN" db-id="a0wpest2552swgezzsnxxwsnpp9axwswpaww"&gt;869&lt;/key&gt;&lt;/foreign-keys&gt;&lt;ref-type name="Journal Article"&gt;17&lt;/ref-type&gt;&lt;contributors&gt;&lt;authors&gt;&lt;author&gt;Jansen, Heinz&lt;/author&gt;&lt;author&gt;Denis, Cécile&lt;/author&gt;&lt;/authors&gt;&lt;/contributors&gt;&lt;titles&gt;&lt;title&gt;A welfare cost assessment of various policy measures to reduce pollutant emissions from passenger road vehicles&lt;/title&gt;&lt;secondary-title&gt;Transportation Research Part D: Transport and Environment&lt;/secondary-title&gt;&lt;/titles&gt;&lt;periodical&gt;&lt;full-title&gt;Transportation Research Part D: Transport and Environment&lt;/full-title&gt;&lt;abbr-1&gt;Transp. Res.: Part D: Transport Environ.&lt;/abbr-1&gt;&lt;/periodical&gt;&lt;pages&gt;379-396&lt;/pages&gt;&lt;volume&gt;4&lt;/volume&gt;&lt;number&gt;6&lt;/number&gt;&lt;dates&gt;&lt;year&gt;1999&lt;/year&gt;&lt;/dates&gt;&lt;isbn&gt;1361-9209&lt;/isbn&gt;&lt;urls&gt;&lt;related-urls&gt;&lt;url&gt;http://www.sciencedirect.com/science/article/B6VH8-3XFTFSH-2/2/94dff8c0fcf15856603b6db0662b10a6&lt;/url&gt;&lt;/related-urls&gt;&lt;/urls&gt;&lt;/record&gt;&lt;/Cite&gt;&lt;/EndNote&gt;</w:instrText>
      </w:r>
      <w:r w:rsidR="00C657CF" w:rsidRPr="000D65CF">
        <w:rPr>
          <w:rFonts w:eastAsia="Cambria"/>
          <w:lang w:val="en-US"/>
        </w:rPr>
        <w:fldChar w:fldCharType="separate"/>
      </w:r>
      <w:r w:rsidR="00C657CF">
        <w:rPr>
          <w:rFonts w:eastAsia="Cambria"/>
          <w:noProof/>
          <w:lang w:val="en-US"/>
        </w:rPr>
        <w:t>(</w:t>
      </w:r>
      <w:hyperlink w:anchor="_ENREF_48" w:tooltip="Jansen, 1999 #869" w:history="1">
        <w:r w:rsidR="00D67197">
          <w:rPr>
            <w:rFonts w:eastAsia="Cambria"/>
            <w:noProof/>
            <w:lang w:val="en-US"/>
          </w:rPr>
          <w:t>Jansen and Denis, 1999</w:t>
        </w:r>
      </w:hyperlink>
      <w:r w:rsidR="00C657CF">
        <w:rPr>
          <w:rFonts w:eastAsia="Cambria"/>
          <w:noProof/>
          <w:lang w:val="en-US"/>
        </w:rPr>
        <w:t>)</w:t>
      </w:r>
      <w:r w:rsidR="00C657CF" w:rsidRPr="000D65CF">
        <w:rPr>
          <w:rFonts w:eastAsia="Cambria"/>
          <w:lang w:val="en-US"/>
        </w:rPr>
        <w:fldChar w:fldCharType="end"/>
      </w:r>
      <w:r w:rsidR="00C657CF" w:rsidRPr="000D65CF">
        <w:rPr>
          <w:rFonts w:eastAsia="Cambria"/>
          <w:lang w:val="en-US"/>
        </w:rPr>
        <w:t xml:space="preserve">. </w:t>
      </w:r>
      <w:r w:rsidR="00AE729A">
        <w:rPr>
          <w:lang w:val="en-US"/>
        </w:rPr>
        <w:t xml:space="preserve"> </w:t>
      </w:r>
      <w:r>
        <w:rPr>
          <w:lang w:val="en-US"/>
        </w:rPr>
        <w:t>T</w:t>
      </w:r>
      <w:r w:rsidRPr="00CD4B0C">
        <w:rPr>
          <w:lang w:val="en-US"/>
        </w:rPr>
        <w:t>he level</w:t>
      </w:r>
      <w:r w:rsidR="00884BB1">
        <w:rPr>
          <w:lang w:val="en-US"/>
        </w:rPr>
        <w:t>,</w:t>
      </w:r>
      <w:r w:rsidRPr="00CD4B0C">
        <w:rPr>
          <w:lang w:val="en-US"/>
        </w:rPr>
        <w:t xml:space="preserve"> </w:t>
      </w:r>
      <w:r w:rsidR="00884BB1">
        <w:rPr>
          <w:lang w:val="en-US"/>
        </w:rPr>
        <w:t xml:space="preserve">structure and phasing </w:t>
      </w:r>
      <w:r w:rsidRPr="00CD4B0C">
        <w:rPr>
          <w:lang w:val="en-US"/>
        </w:rPr>
        <w:t xml:space="preserve">of </w:t>
      </w:r>
      <w:r w:rsidR="00884BB1">
        <w:rPr>
          <w:lang w:val="en-US"/>
        </w:rPr>
        <w:t xml:space="preserve">the </w:t>
      </w:r>
      <w:r w:rsidRPr="00CD4B0C">
        <w:rPr>
          <w:lang w:val="en-US"/>
        </w:rPr>
        <w:t>charge necessary</w:t>
      </w:r>
      <w:r>
        <w:rPr>
          <w:lang w:val="en-US"/>
        </w:rPr>
        <w:t xml:space="preserve"> </w:t>
      </w:r>
      <w:r w:rsidR="00AE729A">
        <w:rPr>
          <w:lang w:val="en-US"/>
        </w:rPr>
        <w:t xml:space="preserve">to achieve these goals </w:t>
      </w:r>
      <w:r>
        <w:rPr>
          <w:lang w:val="en-US"/>
        </w:rPr>
        <w:t xml:space="preserve">will depend on </w:t>
      </w:r>
      <w:r w:rsidR="00884BB1">
        <w:rPr>
          <w:lang w:val="en-US"/>
        </w:rPr>
        <w:t xml:space="preserve">the </w:t>
      </w:r>
      <w:r>
        <w:rPr>
          <w:lang w:val="en-US"/>
        </w:rPr>
        <w:t>instrument</w:t>
      </w:r>
      <w:r w:rsidR="00AE729A">
        <w:rPr>
          <w:lang w:val="en-US"/>
        </w:rPr>
        <w:t xml:space="preserve">, with </w:t>
      </w:r>
      <w:r w:rsidRPr="00CD4B0C">
        <w:rPr>
          <w:lang w:val="en-US"/>
        </w:rPr>
        <w:t xml:space="preserve">budget neutrality </w:t>
      </w:r>
      <w:r w:rsidR="00AE729A">
        <w:rPr>
          <w:lang w:val="en-US"/>
        </w:rPr>
        <w:t xml:space="preserve">an often desired but difficult to achieve </w:t>
      </w:r>
      <w:r w:rsidR="00884BB1">
        <w:rPr>
          <w:lang w:val="en-US"/>
        </w:rPr>
        <w:t>secondary objective</w:t>
      </w:r>
      <w:r w:rsidR="00AE729A">
        <w:rPr>
          <w:lang w:val="en-US"/>
        </w:rPr>
        <w:t xml:space="preserve">. </w:t>
      </w:r>
      <w:r w:rsidR="00AC6516">
        <w:rPr>
          <w:rFonts w:eastAsia="Cambria"/>
          <w:lang w:val="en-US"/>
        </w:rPr>
        <w:t>I</w:t>
      </w:r>
      <w:r w:rsidR="00AC6516" w:rsidRPr="00CA101F">
        <w:rPr>
          <w:rFonts w:eastAsia="Cambria"/>
          <w:lang w:val="en-US"/>
        </w:rPr>
        <w:t>n the EU there has been a shift over the last 10 years from basing vehicle taxes on engine power, volume and vehicle mass to fuel economy and CO</w:t>
      </w:r>
      <w:r w:rsidR="00AC6516" w:rsidRPr="00CA101F">
        <w:rPr>
          <w:rFonts w:eastAsia="Cambria"/>
          <w:vertAlign w:val="subscript"/>
          <w:lang w:val="en-US"/>
        </w:rPr>
        <w:t>2</w:t>
      </w:r>
      <w:r w:rsidR="00AC6516" w:rsidRPr="00CA101F">
        <w:rPr>
          <w:rFonts w:eastAsia="Cambria"/>
          <w:lang w:val="en-US"/>
        </w:rPr>
        <w:t xml:space="preserve"> emissions</w:t>
      </w:r>
      <w:r w:rsidR="00AC6516">
        <w:rPr>
          <w:rFonts w:eastAsia="Cambria"/>
          <w:lang w:val="en-US"/>
        </w:rPr>
        <w:t xml:space="preserve"> </w:t>
      </w:r>
      <w:r w:rsidR="00AC6516">
        <w:rPr>
          <w:rFonts w:eastAsia="Cambria"/>
          <w:lang w:val="en-US"/>
        </w:rPr>
        <w:fldChar w:fldCharType="begin">
          <w:fldData xml:space="preserve">PEVuZE5vdGU+PENpdGU+PEF1dGhvcj5Sb2dhbjwvQXV0aG9yPjxZZWFyPjIwMTE8L1llYXI+PFJl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</w:fldData>
        </w:fldChar>
      </w:r>
      <w:r w:rsidR="00AC6516">
        <w:rPr>
          <w:rFonts w:eastAsia="Cambria"/>
          <w:lang w:val="en-US"/>
        </w:rPr>
        <w:instrText xml:space="preserve"> ADDIN EN.CITE </w:instrText>
      </w:r>
      <w:r w:rsidR="00AC6516">
        <w:rPr>
          <w:rFonts w:eastAsia="Cambria"/>
          <w:lang w:val="en-US"/>
        </w:rPr>
        <w:fldChar w:fldCharType="begin">
          <w:fldData xml:space="preserve">PEVuZE5vdGU+PENpdGU+PEF1dGhvcj5Sb2dhbjwvQXV0aG9yPjxZZWFyPjIwMTE8L1llYXI+PFJl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</w:fldData>
        </w:fldChar>
      </w:r>
      <w:r w:rsidR="00AC6516">
        <w:rPr>
          <w:rFonts w:eastAsia="Cambria"/>
          <w:lang w:val="en-US"/>
        </w:rPr>
        <w:instrText xml:space="preserve"> ADDIN EN.CITE.DATA </w:instrText>
      </w:r>
      <w:r w:rsidR="00AC6516">
        <w:rPr>
          <w:rFonts w:eastAsia="Cambria"/>
          <w:lang w:val="en-US"/>
        </w:rPr>
      </w:r>
      <w:r w:rsidR="00AC6516">
        <w:rPr>
          <w:rFonts w:eastAsia="Cambria"/>
          <w:lang w:val="en-US"/>
        </w:rPr>
        <w:fldChar w:fldCharType="end"/>
      </w:r>
      <w:r w:rsidR="00AC6516">
        <w:rPr>
          <w:rFonts w:eastAsia="Cambria"/>
          <w:lang w:val="en-US"/>
        </w:rPr>
      </w:r>
      <w:r w:rsidR="00AC6516">
        <w:rPr>
          <w:rFonts w:eastAsia="Cambria"/>
          <w:lang w:val="en-US"/>
        </w:rPr>
        <w:fldChar w:fldCharType="separate"/>
      </w:r>
      <w:r w:rsidR="00AC6516">
        <w:rPr>
          <w:rFonts w:eastAsia="Cambria"/>
          <w:noProof/>
          <w:lang w:val="en-US"/>
        </w:rPr>
        <w:t>(</w:t>
      </w:r>
      <w:hyperlink w:anchor="_ENREF_61" w:tooltip="Rogan, 2011 #885" w:history="1">
        <w:r w:rsidR="00D67197">
          <w:rPr>
            <w:rFonts w:eastAsia="Cambria"/>
            <w:noProof/>
            <w:lang w:val="en-US"/>
          </w:rPr>
          <w:t>Rogan et al., 2011</w:t>
        </w:r>
      </w:hyperlink>
      <w:r w:rsidR="00AC6516">
        <w:rPr>
          <w:rFonts w:eastAsia="Cambria"/>
          <w:noProof/>
          <w:lang w:val="en-US"/>
        </w:rPr>
        <w:t xml:space="preserve">; </w:t>
      </w:r>
      <w:hyperlink w:anchor="_ENREF_63" w:tooltip="Ryan, 2009 #891" w:history="1">
        <w:r w:rsidR="00D67197">
          <w:rPr>
            <w:rFonts w:eastAsia="Cambria"/>
            <w:noProof/>
            <w:lang w:val="en-US"/>
          </w:rPr>
          <w:t>Ryan et al., 2009</w:t>
        </w:r>
      </w:hyperlink>
      <w:r w:rsidR="00AC6516">
        <w:rPr>
          <w:rFonts w:eastAsia="Cambria"/>
          <w:noProof/>
          <w:lang w:val="en-US"/>
        </w:rPr>
        <w:t>)</w:t>
      </w:r>
      <w:r w:rsidR="00AC6516">
        <w:rPr>
          <w:rFonts w:eastAsia="Cambria"/>
          <w:lang w:val="en-US"/>
        </w:rPr>
        <w:fldChar w:fldCharType="end"/>
      </w:r>
      <w:r w:rsidR="00AC6516">
        <w:rPr>
          <w:rFonts w:eastAsia="Cambria"/>
          <w:lang w:val="en-US"/>
        </w:rPr>
        <w:t xml:space="preserve">. </w:t>
      </w:r>
      <w:r w:rsidR="00AE729A">
        <w:rPr>
          <w:lang w:val="en-US"/>
        </w:rPr>
        <w:t>Th</w:t>
      </w:r>
      <w:r w:rsidR="00AC6516">
        <w:rPr>
          <w:lang w:val="en-US"/>
        </w:rPr>
        <w:t>e following</w:t>
      </w:r>
      <w:r w:rsidR="00AE729A">
        <w:rPr>
          <w:lang w:val="en-US"/>
        </w:rPr>
        <w:t xml:space="preserve"> </w:t>
      </w:r>
      <w:r w:rsidR="00AC6516">
        <w:rPr>
          <w:lang w:val="en-US"/>
        </w:rPr>
        <w:t>s</w:t>
      </w:r>
      <w:r w:rsidR="00AE729A">
        <w:rPr>
          <w:lang w:val="en-US"/>
        </w:rPr>
        <w:t>ection</w:t>
      </w:r>
      <w:r w:rsidR="00AC6516">
        <w:rPr>
          <w:lang w:val="en-US"/>
        </w:rPr>
        <w:t>s</w:t>
      </w:r>
      <w:r w:rsidR="00AE729A">
        <w:rPr>
          <w:lang w:val="en-US"/>
        </w:rPr>
        <w:t xml:space="preserve"> </w:t>
      </w:r>
      <w:r w:rsidR="00884BB1">
        <w:rPr>
          <w:lang w:val="en-US"/>
        </w:rPr>
        <w:t xml:space="preserve">review </w:t>
      </w:r>
      <w:r w:rsidR="00AC6516">
        <w:rPr>
          <w:lang w:val="en-US"/>
        </w:rPr>
        <w:t xml:space="preserve">the key </w:t>
      </w:r>
      <w:r w:rsidR="00884BB1">
        <w:rPr>
          <w:lang w:val="en-US"/>
        </w:rPr>
        <w:t>evidence.</w:t>
      </w:r>
      <w:r w:rsidR="00653C01">
        <w:rPr>
          <w:lang w:val="en-US"/>
        </w:rPr>
        <w:t xml:space="preserve"> </w:t>
      </w:r>
      <w:r w:rsidR="00C27B93">
        <w:rPr>
          <w:lang w:val="en-US"/>
        </w:rPr>
        <w:t>For the reasons given above</w:t>
      </w:r>
      <w:r w:rsidR="00653C01">
        <w:rPr>
          <w:lang w:val="en-US"/>
        </w:rPr>
        <w:t xml:space="preserve"> w</w:t>
      </w:r>
      <w:r w:rsidR="00C27B93">
        <w:rPr>
          <w:lang w:val="en-US"/>
        </w:rPr>
        <w:t xml:space="preserve">e have excluded fuel taxation from this review. </w:t>
      </w:r>
      <w:r w:rsidR="00C27B93">
        <w:rPr>
          <w:lang w:val="en-US"/>
        </w:rPr>
        <w:fldChar w:fldCharType="begin">
          <w:fldData xml:space="preserve">PEVuZE5vdGU+PENpdGU+PEF1dGhvcj5TdGVybmVyPC9BdXRob3I+PFllYXI+MjAwNzwvWWVhcj48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</w:fldData>
        </w:fldChar>
      </w:r>
      <w:r w:rsidR="00EB782A">
        <w:rPr>
          <w:lang w:val="en-US"/>
        </w:rPr>
        <w:instrText xml:space="preserve"> ADDIN EN.CITE </w:instrText>
      </w:r>
      <w:r w:rsidR="00EB782A">
        <w:rPr>
          <w:lang w:val="en-US"/>
        </w:rPr>
        <w:fldChar w:fldCharType="begin">
          <w:fldData xml:space="preserve">PEVuZE5vdGU+PENpdGU+PEF1dGhvcj5TdGVybmVyPC9BdXRob3I+PFllYXI+MjAwNzwvWWVhcj48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</w:fldData>
        </w:fldChar>
      </w:r>
      <w:r w:rsidR="00EB782A">
        <w:rPr>
          <w:lang w:val="en-US"/>
        </w:rPr>
        <w:instrText xml:space="preserve"> ADDIN EN.CITE.DATA </w:instrText>
      </w:r>
      <w:r w:rsidR="00EB782A">
        <w:rPr>
          <w:lang w:val="en-US"/>
        </w:rPr>
      </w:r>
      <w:r w:rsidR="00EB782A">
        <w:rPr>
          <w:lang w:val="en-US"/>
        </w:rPr>
        <w:fldChar w:fldCharType="end"/>
      </w:r>
      <w:r w:rsidR="00C27B93">
        <w:rPr>
          <w:lang w:val="en-US"/>
        </w:rPr>
      </w:r>
      <w:r w:rsidR="00C27B93">
        <w:rPr>
          <w:lang w:val="en-US"/>
        </w:rPr>
        <w:fldChar w:fldCharType="separate"/>
      </w:r>
      <w:r w:rsidR="001C3FA5">
        <w:rPr>
          <w:noProof/>
          <w:lang w:val="en-US"/>
        </w:rPr>
        <w:t xml:space="preserve">(For recent econometric and modelling studies on fuel pricing and other fiscal incentives see e.g. </w:t>
      </w:r>
      <w:hyperlink w:anchor="_ENREF_34" w:tooltip="Goodwin, 2004 #682" w:history="1">
        <w:r w:rsidR="00D67197">
          <w:rPr>
            <w:noProof/>
            <w:lang w:val="en-US"/>
          </w:rPr>
          <w:t>Goodwin et al., 2004</w:t>
        </w:r>
      </w:hyperlink>
      <w:r w:rsidR="001C3FA5">
        <w:rPr>
          <w:noProof/>
          <w:lang w:val="en-US"/>
        </w:rPr>
        <w:t xml:space="preserve">; </w:t>
      </w:r>
      <w:hyperlink w:anchor="_ENREF_62" w:tooltip="Ross Morrow, 2010 #977" w:history="1">
        <w:r w:rsidR="00D67197">
          <w:rPr>
            <w:noProof/>
            <w:lang w:val="en-US"/>
          </w:rPr>
          <w:t>Ross Morrow et al., 2010</w:t>
        </w:r>
      </w:hyperlink>
      <w:r w:rsidR="001C3FA5">
        <w:rPr>
          <w:noProof/>
          <w:lang w:val="en-US"/>
        </w:rPr>
        <w:t xml:space="preserve">; </w:t>
      </w:r>
      <w:hyperlink w:anchor="_ENREF_63" w:tooltip="Ryan, 2009 #891" w:history="1">
        <w:r w:rsidR="00D67197">
          <w:rPr>
            <w:noProof/>
            <w:lang w:val="en-US"/>
          </w:rPr>
          <w:t>Ryan et al., 2009</w:t>
        </w:r>
      </w:hyperlink>
      <w:r w:rsidR="001C3FA5">
        <w:rPr>
          <w:noProof/>
          <w:lang w:val="en-US"/>
        </w:rPr>
        <w:t xml:space="preserve">; </w:t>
      </w:r>
      <w:hyperlink w:anchor="_ENREF_72" w:tooltip="Sterner, 2007 #979" w:history="1">
        <w:r w:rsidR="00D67197">
          <w:rPr>
            <w:noProof/>
            <w:lang w:val="en-US"/>
          </w:rPr>
          <w:t>Sterner, 2007</w:t>
        </w:r>
      </w:hyperlink>
      <w:r w:rsidR="001C3FA5">
        <w:rPr>
          <w:noProof/>
          <w:lang w:val="en-US"/>
        </w:rPr>
        <w:t>)</w:t>
      </w:r>
      <w:r w:rsidR="00C27B93">
        <w:rPr>
          <w:lang w:val="en-US"/>
        </w:rPr>
        <w:fldChar w:fldCharType="end"/>
      </w:r>
      <w:r w:rsidR="00653C01" w:rsidRPr="00653C01">
        <w:rPr>
          <w:lang w:val="en-US"/>
        </w:rPr>
        <w:t>.</w:t>
      </w:r>
    </w:p>
    <w:p w14:paraId="47322B86" w14:textId="77777777" w:rsidR="00CD4B0C" w:rsidRPr="00275050" w:rsidRDefault="00CD4B0C" w:rsidP="00275050">
      <w:pPr>
        <w:rPr>
          <w:lang w:val="en-US"/>
        </w:rPr>
      </w:pPr>
    </w:p>
    <w:p w14:paraId="69BBB685" w14:textId="77777777" w:rsidR="008A36A2" w:rsidRPr="00C64BF5" w:rsidRDefault="000D65CF" w:rsidP="00636684">
      <w:pPr>
        <w:pStyle w:val="Heading2"/>
        <w:rPr>
          <w:lang w:val="en-US"/>
        </w:rPr>
      </w:pPr>
      <w:r w:rsidRPr="000D65CF">
        <w:rPr>
          <w:lang w:val="en-US"/>
        </w:rPr>
        <w:t>2.1 Vehicle Purchase Taxes and ‘Feebates’</w:t>
      </w:r>
    </w:p>
    <w:p w14:paraId="3B7679F3" w14:textId="61DCF900" w:rsidR="0064413B" w:rsidRDefault="000D65CF" w:rsidP="00D01C4B">
      <w:pPr>
        <w:rPr>
          <w:rFonts w:eastAsia="Cambria"/>
          <w:lang w:val="en-US"/>
        </w:rPr>
      </w:pPr>
      <w:r w:rsidRPr="000D65CF">
        <w:rPr>
          <w:rFonts w:eastAsia="Cambria"/>
          <w:lang w:val="en-US"/>
        </w:rPr>
        <w:t xml:space="preserve">Vehicle purchase tax or, registration tax, </w:t>
      </w:r>
      <w:r w:rsidRPr="000D65CF">
        <w:rPr>
          <w:lang w:val="en-US"/>
        </w:rPr>
        <w:t>is a one-</w:t>
      </w:r>
      <w:r w:rsidRPr="000D65CF">
        <w:rPr>
          <w:rFonts w:eastAsia="Cambria"/>
          <w:lang w:val="en-US"/>
        </w:rPr>
        <w:t>off</w:t>
      </w:r>
      <w:r w:rsidRPr="000D65CF">
        <w:rPr>
          <w:lang w:val="en-US"/>
        </w:rPr>
        <w:t xml:space="preserve"> charge when a vehicle is registered</w:t>
      </w:r>
      <w:r w:rsidRPr="000D65CF">
        <w:rPr>
          <w:rFonts w:eastAsia="Cambria"/>
          <w:lang w:val="en-US"/>
        </w:rPr>
        <w:t xml:space="preserve">. It is a levy at the point of purchase of a private vehicle, usually payable when a car is sold to its first buyer. </w:t>
      </w:r>
      <w:r w:rsidR="00CA101F">
        <w:rPr>
          <w:rFonts w:eastAsia="Cambria"/>
          <w:lang w:val="en-US"/>
        </w:rPr>
        <w:t xml:space="preserve"> </w:t>
      </w:r>
      <w:r w:rsidRPr="000D65CF">
        <w:rPr>
          <w:rFonts w:eastAsia="Cambria"/>
          <w:lang w:val="en-US"/>
        </w:rPr>
        <w:t xml:space="preserve">These taxes are differentiated by different factors, such as price, engine capacity, power or vehicle weight measures, fuel type, carbon emissions, fuel consumption or a </w:t>
      </w:r>
      <w:r w:rsidRPr="000D65CF">
        <w:rPr>
          <w:lang w:val="en-US"/>
        </w:rPr>
        <w:t xml:space="preserve">combination </w:t>
      </w:r>
      <w:r w:rsidRPr="000D65CF">
        <w:rPr>
          <w:rFonts w:eastAsia="Cambria"/>
          <w:lang w:val="en-US"/>
        </w:rPr>
        <w:t xml:space="preserve">of these factors </w:t>
      </w:r>
      <w:r w:rsidR="00880B2F" w:rsidRPr="000D65CF">
        <w:rPr>
          <w:rFonts w:eastAsia="Cambria"/>
          <w:lang w:val="en-US"/>
        </w:rPr>
        <w:fldChar w:fldCharType="begin"/>
      </w:r>
      <w:r w:rsidR="003843CD">
        <w:rPr>
          <w:rFonts w:eastAsia="Cambria"/>
          <w:lang w:val="en-US"/>
        </w:rPr>
        <w:instrText xml:space="preserve"> ADDIN EN.CITE &lt;EndNote&gt;&lt;Cite&gt;&lt;Author&gt;TNO&lt;/Author&gt;&lt;Year&gt;2006&lt;/Year&gt;&lt;RecNum&gt;837&lt;/RecNum&gt;&lt;DisplayText&gt;(Anable and Bristow, 2007; TNO, 2006)&lt;/DisplayText&gt;&lt;record&gt;&lt;rec-number&gt;837&lt;/rec-number&gt;&lt;foreign-keys&gt;&lt;key app="EN" db-id="a0wpest2552swgezzsnxxwsnpp9axwswpaww"&gt;837&lt;/key&gt;&lt;/foreign-keys&gt;&lt;ref-type name="Report"&gt;27&lt;/ref-type&gt;&lt;contributors&gt;&lt;authors&gt;&lt;author&gt;TNO&lt;/author&gt;&lt;/authors&gt;&lt;/contributors&gt;&lt;titles&gt;&lt;title&gt;Review and analysis of the reduction potential and costs of technological and other measures to reduce CO2-emissions from passenger cars, Retrieved at http://ec.europa.eu/enterprise/sectors/automotive/files/projects/report_co2_reduction_en.pdf on 10/02/11&lt;/title&gt;&lt;/titles&gt;&lt;dates&gt;&lt;year&gt;2006&lt;/year&gt;&lt;/dates&gt;&lt;pub-location&gt;Delft&lt;/pub-location&gt;&lt;publisher&gt;TNO Science and Industry business unit&lt;/publisher&gt;&lt;urls&gt;&lt;/urls&gt;&lt;/record&gt;&lt;/Cite&gt;&lt;Cite&gt;&lt;Author&gt;Anable&lt;/Author&gt;&lt;Year&gt;2007&lt;/Year&gt;&lt;RecNum&gt;836&lt;/RecNum&gt;&lt;record&gt;&lt;rec-number&gt;836&lt;/rec-number&gt;&lt;foreign-keys&gt;&lt;key app="EN" db-id="a0wpest2552swgezzsnxxwsnpp9axwswpaww"&gt;836&lt;/key&gt;&lt;/foreign-keys&gt;&lt;ref-type name="Book"&gt;6&lt;/ref-type&gt;&lt;contributors&gt;&lt;authors&gt;&lt;author&gt;Anable, Jillian&lt;/author&gt;&lt;author&gt;Bristow, Abigail&lt;/author&gt;&lt;/authors&gt;&lt;/contributors&gt;&lt;titles&gt;&lt;title&gt;Transport and Climate Change: Supporting document to the CfIT report, Report prepared for the Climate Change Working Group of the Commission for Integrated Transport (CfIT)&lt;/title&gt;&lt;/titles&gt;&lt;dates&gt;&lt;year&gt;2007&lt;/year&gt;&lt;/dates&gt;&lt;pub-location&gt;London&lt;/pub-location&gt;&lt;publisher&gt;CfIT&lt;/publisher&gt;&lt;urls&gt;&lt;/urls&gt;&lt;/record&gt;&lt;/Cite&gt;&lt;/EndNote&gt;</w:instrText>
      </w:r>
      <w:r w:rsidR="00880B2F" w:rsidRPr="000D65CF">
        <w:rPr>
          <w:rFonts w:eastAsia="Cambria"/>
          <w:lang w:val="en-US"/>
        </w:rPr>
        <w:fldChar w:fldCharType="separate"/>
      </w:r>
      <w:r w:rsidR="00C2662B">
        <w:rPr>
          <w:rFonts w:eastAsia="Cambria"/>
          <w:noProof/>
          <w:lang w:val="en-US"/>
        </w:rPr>
        <w:t>(</w:t>
      </w:r>
      <w:hyperlink w:anchor="_ENREF_4" w:tooltip="Anable, 2007 #836" w:history="1">
        <w:r w:rsidR="00D67197">
          <w:rPr>
            <w:rFonts w:eastAsia="Cambria"/>
            <w:noProof/>
            <w:lang w:val="en-US"/>
          </w:rPr>
          <w:t>Anable and Bristow, 2007</w:t>
        </w:r>
      </w:hyperlink>
      <w:r w:rsidR="00C2662B">
        <w:rPr>
          <w:rFonts w:eastAsia="Cambria"/>
          <w:noProof/>
          <w:lang w:val="en-US"/>
        </w:rPr>
        <w:t xml:space="preserve">; </w:t>
      </w:r>
      <w:hyperlink w:anchor="_ENREF_75" w:tooltip="TNO, 2006 #837" w:history="1">
        <w:r w:rsidR="00D67197">
          <w:rPr>
            <w:rFonts w:eastAsia="Cambria"/>
            <w:noProof/>
            <w:lang w:val="en-US"/>
          </w:rPr>
          <w:t>TNO, 2006</w:t>
        </w:r>
      </w:hyperlink>
      <w:r w:rsidR="00C2662B">
        <w:rPr>
          <w:rFonts w:eastAsia="Cambria"/>
          <w:noProof/>
          <w:lang w:val="en-US"/>
        </w:rPr>
        <w:t>)</w:t>
      </w:r>
      <w:r w:rsidR="00880B2F" w:rsidRPr="000D65CF">
        <w:rPr>
          <w:rFonts w:eastAsia="Cambria"/>
          <w:lang w:val="en-US"/>
        </w:rPr>
        <w:fldChar w:fldCharType="end"/>
      </w:r>
      <w:r w:rsidRPr="000D65CF">
        <w:rPr>
          <w:rFonts w:eastAsia="Cambria"/>
          <w:lang w:val="en-US"/>
        </w:rPr>
        <w:t xml:space="preserve">. </w:t>
      </w:r>
      <w:r w:rsidR="00CA101F">
        <w:rPr>
          <w:rFonts w:eastAsia="Cambria"/>
          <w:lang w:val="en-US"/>
        </w:rPr>
        <w:t xml:space="preserve"> </w:t>
      </w:r>
    </w:p>
    <w:p w14:paraId="3C2C5144" w14:textId="77777777" w:rsidR="0064413B" w:rsidRDefault="0064413B" w:rsidP="00D01C4B">
      <w:pPr>
        <w:rPr>
          <w:rFonts w:eastAsia="Cambria"/>
          <w:lang w:val="en-US"/>
        </w:rPr>
      </w:pPr>
    </w:p>
    <w:p w14:paraId="07CA213B" w14:textId="6699FFCF" w:rsidR="00D01C4B" w:rsidRPr="0064413B" w:rsidRDefault="000D65CF" w:rsidP="00D01C4B">
      <w:pPr>
        <w:rPr>
          <w:rFonts w:eastAsia="Cambria"/>
          <w:lang w:val="en-US"/>
        </w:rPr>
      </w:pPr>
      <w:r w:rsidRPr="000D65CF">
        <w:rPr>
          <w:lang w:val="en-US"/>
        </w:rPr>
        <w:t xml:space="preserve">A </w:t>
      </w:r>
      <w:proofErr w:type="spellStart"/>
      <w:r w:rsidRPr="000D65CF">
        <w:rPr>
          <w:lang w:val="en-US"/>
        </w:rPr>
        <w:t>feebate</w:t>
      </w:r>
      <w:proofErr w:type="spellEnd"/>
      <w:r w:rsidRPr="000D65CF">
        <w:rPr>
          <w:lang w:val="en-US"/>
        </w:rPr>
        <w:t xml:space="preserve"> is a combination of a </w:t>
      </w:r>
      <w:r w:rsidR="0064413B">
        <w:rPr>
          <w:lang w:val="en-US"/>
        </w:rPr>
        <w:t xml:space="preserve">vehicle </w:t>
      </w:r>
      <w:r w:rsidRPr="000D65CF">
        <w:rPr>
          <w:lang w:val="en-US"/>
        </w:rPr>
        <w:t>purchase tax/fee and a rebate/subsidy</w:t>
      </w:r>
      <w:r w:rsidR="009E5518">
        <w:rPr>
          <w:lang w:val="en-US"/>
        </w:rPr>
        <w:t xml:space="preserve"> </w:t>
      </w:r>
      <w:r w:rsidR="00880B2F">
        <w:rPr>
          <w:lang w:val="en-US"/>
        </w:rPr>
        <w:fldChar w:fldCharType="begin"/>
      </w:r>
      <w:r w:rsidR="00546ABC">
        <w:rPr>
          <w:lang w:val="en-US"/>
        </w:rPr>
        <w:instrText xml:space="preserve"> ADDIN EN.CITE &lt;EndNote&gt;&lt;Cite&gt;&lt;Author&gt;Gallagher&lt;/Author&gt;&lt;Year&gt;2011&lt;/Year&gt;&lt;RecNum&gt;931&lt;/RecNum&gt;&lt;DisplayText&gt;(Gallagher and Muehlegger, 2011)&lt;/DisplayText&gt;&lt;record&gt;&lt;rec-number&gt;931&lt;/rec-number&gt;&lt;foreign-keys&gt;&lt;key app="EN" db-id="a0wpest2552swgezzsnxxwsnpp9axwswpaww"&gt;931&lt;/key&gt;&lt;/foreign-keys&gt;&lt;ref-type name="Journal Article"&gt;17&lt;/ref-type&gt;&lt;contributors&gt;&lt;authors&gt;&lt;author&gt;Gallagher, K.S.&lt;/author&gt;&lt;author&gt;Muehlegger, E.&lt;/author&gt;&lt;/authors&gt;&lt;/contributors&gt;&lt;titles&gt;&lt;title&gt;Giving green to get green? Incentives and consumer adoption of hybrid vehicle technology&lt;/title&gt;&lt;secondary-title&gt;J. Environ. Econ. Manage.&lt;/secondary-title&gt;&lt;/titles&gt;&lt;periodical&gt;&lt;full-title&gt;Journal of Environmental Economics and Management&lt;/full-title&gt;&lt;abbr-1&gt;J. Environ. Econ. Manage.&lt;/abbr-1&gt;&lt;/periodical&gt;&lt;pages&gt;1-15&lt;/pages&gt;&lt;volume&gt;61&lt;/volume&gt;&lt;dates&gt;&lt;year&gt;2011&lt;/year&gt;&lt;/dates&gt;&lt;urls&gt;&lt;/urls&gt;&lt;/record&gt;&lt;/Cite&gt;&lt;/EndNote&gt;</w:instrText>
      </w:r>
      <w:r w:rsidR="00880B2F">
        <w:rPr>
          <w:lang w:val="en-US"/>
        </w:rPr>
        <w:fldChar w:fldCharType="separate"/>
      </w:r>
      <w:r w:rsidR="00C2662B">
        <w:rPr>
          <w:noProof/>
          <w:lang w:val="en-US"/>
        </w:rPr>
        <w:t>(</w:t>
      </w:r>
      <w:hyperlink w:anchor="_ENREF_32" w:tooltip="Gallagher, 2011 #931" w:history="1">
        <w:r w:rsidR="00D67197">
          <w:rPr>
            <w:noProof/>
            <w:lang w:val="en-US"/>
          </w:rPr>
          <w:t>Gallagher and Muehlegger, 2011</w:t>
        </w:r>
      </w:hyperlink>
      <w:r w:rsidR="00C2662B">
        <w:rPr>
          <w:noProof/>
          <w:lang w:val="en-US"/>
        </w:rPr>
        <w:t>)</w:t>
      </w:r>
      <w:r w:rsidR="00880B2F">
        <w:rPr>
          <w:lang w:val="en-US"/>
        </w:rPr>
        <w:fldChar w:fldCharType="end"/>
      </w:r>
      <w:r w:rsidRPr="000D65CF">
        <w:rPr>
          <w:lang w:val="en-US"/>
        </w:rPr>
        <w:t xml:space="preserve"> used to reward buyers of vehicles that are more fuel efficient than the average vehicle in that class and </w:t>
      </w:r>
      <w:r w:rsidR="009E5518" w:rsidRPr="000D65CF">
        <w:rPr>
          <w:lang w:val="en-US"/>
        </w:rPr>
        <w:t>penalize</w:t>
      </w:r>
      <w:r w:rsidRPr="000D65CF">
        <w:rPr>
          <w:lang w:val="en-US"/>
        </w:rPr>
        <w:t xml:space="preserve"> buyers of less fuel efficient vehicles.</w:t>
      </w:r>
      <w:r w:rsidRPr="000D65CF">
        <w:rPr>
          <w:szCs w:val="24"/>
          <w:lang w:val="en-US"/>
        </w:rPr>
        <w:t xml:space="preserve"> The set level can correspond to a sales-weighted standard or other value, and can be reduced over time. </w:t>
      </w:r>
      <w:r w:rsidR="007502FB">
        <w:rPr>
          <w:szCs w:val="24"/>
          <w:lang w:val="en-US"/>
        </w:rPr>
        <w:t>Some commentators</w:t>
      </w:r>
      <w:r w:rsidRPr="000D65CF">
        <w:rPr>
          <w:szCs w:val="24"/>
          <w:lang w:val="en-US"/>
        </w:rPr>
        <w:t xml:space="preserve"> suggest that feebates are more publically acceptable</w:t>
      </w:r>
      <w:r w:rsidR="0064413B">
        <w:rPr>
          <w:szCs w:val="24"/>
          <w:lang w:val="en-US"/>
        </w:rPr>
        <w:t xml:space="preserve"> than other fiscal and regulatory instruments</w:t>
      </w:r>
      <w:r w:rsidR="007502FB">
        <w:rPr>
          <w:szCs w:val="24"/>
          <w:lang w:val="en-US"/>
        </w:rPr>
        <w:t xml:space="preserve"> because of the reward element</w:t>
      </w:r>
      <w:r w:rsidRPr="000D65CF">
        <w:rPr>
          <w:szCs w:val="24"/>
          <w:lang w:val="en-US"/>
        </w:rPr>
        <w:t xml:space="preserve"> </w:t>
      </w:r>
      <w:r w:rsidR="00880B2F">
        <w:rPr>
          <w:szCs w:val="24"/>
          <w:lang w:val="en-US"/>
        </w:rPr>
        <w:fldChar w:fldCharType="begin"/>
      </w:r>
      <w:r w:rsidR="00546ABC">
        <w:rPr>
          <w:szCs w:val="24"/>
          <w:lang w:val="en-US"/>
        </w:rPr>
        <w:instrText xml:space="preserve"> ADDIN EN.CITE &lt;EndNote&gt;&lt;Cite&gt;&lt;Author&gt;Musti&lt;/Author&gt;&lt;Year&gt;2011&lt;/Year&gt;&lt;RecNum&gt;933&lt;/RecNum&gt;&lt;DisplayText&gt;(Musti and Kockelman, 2011)&lt;/DisplayText&gt;&lt;record&gt;&lt;rec-number&gt;933&lt;/rec-number&gt;&lt;foreign-keys&gt;&lt;key app="EN" db-id="a0wpest2552swgezzsnxxwsnpp9axwswpaww"&gt;933&lt;/key&gt;&lt;/foreign-keys&gt;&lt;ref-type name="Journal Article"&gt;17&lt;/ref-type&gt;&lt;contributors&gt;&lt;authors&gt;&lt;author&gt;Musti, S.&lt;/author&gt;&lt;author&gt;Kockelman, K. M.&lt;/author&gt;&lt;/authors&gt;&lt;/contributors&gt;&lt;titles&gt;&lt;title&gt;Evolution of the household vehicle fleet: Anticipating fleet composition, PHEV adoption and GHG emissions in Austin, Texas&lt;/title&gt;&lt;secondary-title&gt;Transportation Research Part A: Policy and Practice&lt;/secondary-title&gt;&lt;/titles&gt;&lt;periodical&gt;&lt;full-title&gt;Transportation Research Part A: Policy and Practice&lt;/full-title&gt;&lt;abbr-1&gt;Transp. Res.: Part A: Pol. Practice&lt;/abbr-1&gt;&lt;/periodical&gt;&lt;pages&gt;707-720&lt;/pages&gt;&lt;volume&gt;45&lt;/volume&gt;&lt;dates&gt;&lt;year&gt;2011&lt;/year&gt;&lt;/dates&gt;&lt;urls&gt;&lt;/urls&gt;&lt;/record&gt;&lt;/Cite&gt;&lt;/EndNote&gt;</w:instrText>
      </w:r>
      <w:r w:rsidR="00880B2F">
        <w:rPr>
          <w:szCs w:val="24"/>
          <w:lang w:val="en-US"/>
        </w:rPr>
        <w:fldChar w:fldCharType="separate"/>
      </w:r>
      <w:r w:rsidR="00C2662B">
        <w:rPr>
          <w:noProof/>
          <w:szCs w:val="24"/>
          <w:lang w:val="en-US"/>
        </w:rPr>
        <w:t>(</w:t>
      </w:r>
      <w:hyperlink w:anchor="_ENREF_56" w:tooltip="Musti, 2011 #933" w:history="1">
        <w:r w:rsidR="00D67197">
          <w:rPr>
            <w:noProof/>
            <w:szCs w:val="24"/>
            <w:lang w:val="en-US"/>
          </w:rPr>
          <w:t>Musti and Kockelman, 2011</w:t>
        </w:r>
      </w:hyperlink>
      <w:r w:rsidR="00C2662B">
        <w:rPr>
          <w:noProof/>
          <w:szCs w:val="24"/>
          <w:lang w:val="en-US"/>
        </w:rPr>
        <w:t>)</w:t>
      </w:r>
      <w:r w:rsidR="00880B2F">
        <w:rPr>
          <w:szCs w:val="24"/>
          <w:lang w:val="en-US"/>
        </w:rPr>
        <w:fldChar w:fldCharType="end"/>
      </w:r>
      <w:r w:rsidRPr="000D65CF">
        <w:rPr>
          <w:szCs w:val="24"/>
          <w:lang w:val="en-US"/>
        </w:rPr>
        <w:t xml:space="preserve">. </w:t>
      </w:r>
      <w:r w:rsidR="003B4884">
        <w:rPr>
          <w:szCs w:val="24"/>
          <w:lang w:val="en-US"/>
        </w:rPr>
        <w:t>While both purchase taxes and f</w:t>
      </w:r>
      <w:r w:rsidRPr="000D65CF">
        <w:rPr>
          <w:szCs w:val="24"/>
          <w:lang w:val="en-US"/>
        </w:rPr>
        <w:t xml:space="preserve">eebates can be matched up to specific vehicle types </w:t>
      </w:r>
      <w:r w:rsidR="00880B2F">
        <w:rPr>
          <w:szCs w:val="24"/>
          <w:lang w:val="en-US"/>
        </w:rPr>
        <w:fldChar w:fldCharType="begin"/>
      </w:r>
      <w:r w:rsidR="00653C01">
        <w:rPr>
          <w:szCs w:val="24"/>
          <w:lang w:val="en-US"/>
        </w:rPr>
        <w:instrText xml:space="preserve"> ADDIN EN.CITE &lt;EndNote&gt;&lt;Cite&gt;&lt;Author&gt;Johnson&lt;/Author&gt;&lt;Year&gt;2007&lt;/Year&gt;&lt;RecNum&gt;934&lt;/RecNum&gt;&lt;DisplayText&gt;(Greene et al., 2005; Johnson, 2007)&lt;/DisplayText&gt;&lt;record&gt;&lt;rec-number&gt;934&lt;/rec-number&gt;&lt;foreign-keys&gt;&lt;key app="EN" db-id="a0wpest2552swgezzsnxxwsnpp9axwswpaww"&gt;934&lt;/key&gt;&lt;/foreign-keys&gt;&lt;ref-type name="Journal Article"&gt;17&lt;/ref-type&gt;&lt;contributors&gt;&lt;authors&gt;&lt;author&gt;Johnson, K.C.&lt;/author&gt;&lt;/authors&gt;&lt;/contributors&gt;&lt;titles&gt;&lt;title&gt;Refunded emission taxes: a resolution to the cap-versus-tax dilemma for greenhouse gas regulation&lt;/title&gt;&lt;secondary-title&gt;Energy Policy&lt;/secondary-title&gt;&lt;/titles&gt;&lt;periodical&gt;&lt;full-title&gt;Energy Policy&lt;/full-title&gt;&lt;/periodical&gt;&lt;volume&gt;35&lt;/volume&gt;&lt;number&gt;3115-3118&lt;/number&gt;&lt;dates&gt;&lt;year&gt;2007&lt;/year&gt;&lt;/dates&gt;&lt;urls&gt;&lt;/urls&gt;&lt;/record&gt;&lt;/Cite&gt;&lt;Cite&gt;&lt;Author&gt;Greene&lt;/Author&gt;&lt;Year&gt;2005&lt;/Year&gt;&lt;RecNum&gt;863&lt;/RecNum&gt;&lt;record&gt;&lt;rec-number&gt;863&lt;/rec-number&gt;&lt;foreign-keys&gt;&lt;key app="EN" db-id="a0wpest2552swgezzsnxxwsnpp9axwswpaww"&gt;863&lt;/key&gt;&lt;/foreign-keys&gt;&lt;ref-type name="Journal Article"&gt;17&lt;/ref-type&gt;&lt;contributors&gt;&lt;authors&gt;&lt;author&gt;Greene, David L.&lt;/author&gt;&lt;author&gt;Patterson, Philip D.&lt;/author&gt;&lt;author&gt;Singh, Margaret&lt;/author&gt;&lt;author&gt;Li, Jia&lt;/author&gt;&lt;/authors&gt;&lt;/contributors&gt;&lt;titles&gt;&lt;title&gt;Feebates, rebates and gas-guzzler taxes: a study of incentives for increased fuel economy&lt;/title&gt;&lt;secondary-title&gt;Energy Policy&lt;/secondary-title&gt;&lt;/titles&gt;&lt;periodical&gt;&lt;full-title&gt;Energy Policy&lt;/full-title&gt;&lt;/periodical&gt;&lt;pages&gt;757-775&lt;/pages&gt;&lt;volume&gt;33&lt;/volume&gt;&lt;number&gt;6&lt;/number&gt;&lt;keywords&gt;&lt;keyword&gt;Feebates&lt;/keyword&gt;&lt;keyword&gt;Fuel economy&lt;/keyword&gt;&lt;keyword&gt;Automobile policy&lt;/keyword&gt;&lt;/keywords&gt;&lt;dates&gt;&lt;year&gt;2005&lt;/year&gt;&lt;/dates&gt;&lt;isbn&gt;0301-4215&lt;/isbn&gt;&lt;urls&gt;&lt;related-urls&gt;&lt;url&gt;http://www.sciencedirect.com/science/article/B6V2W-4B7N7D3-1/2/2aa7e7d5cef37bbe6fe37414a1321ec3&lt;/url&gt;&lt;/related-urls&gt;&lt;/urls&gt;&lt;/record&gt;&lt;/Cite&gt;&lt;/EndNote&gt;</w:instrText>
      </w:r>
      <w:r w:rsidR="00880B2F">
        <w:rPr>
          <w:szCs w:val="24"/>
          <w:lang w:val="en-US"/>
        </w:rPr>
        <w:fldChar w:fldCharType="separate"/>
      </w:r>
      <w:r w:rsidR="00C2662B">
        <w:rPr>
          <w:noProof/>
          <w:szCs w:val="24"/>
          <w:lang w:val="en-US"/>
        </w:rPr>
        <w:t>(</w:t>
      </w:r>
      <w:hyperlink w:anchor="_ENREF_37" w:tooltip="Greene, 2005 #863" w:history="1">
        <w:r w:rsidR="00D67197">
          <w:rPr>
            <w:noProof/>
            <w:szCs w:val="24"/>
            <w:lang w:val="en-US"/>
          </w:rPr>
          <w:t>Greene et al., 2005</w:t>
        </w:r>
      </w:hyperlink>
      <w:r w:rsidR="00C2662B">
        <w:rPr>
          <w:noProof/>
          <w:szCs w:val="24"/>
          <w:lang w:val="en-US"/>
        </w:rPr>
        <w:t xml:space="preserve">; </w:t>
      </w:r>
      <w:hyperlink w:anchor="_ENREF_49" w:tooltip="Johnson, 2007 #934" w:history="1">
        <w:r w:rsidR="00D67197">
          <w:rPr>
            <w:noProof/>
            <w:szCs w:val="24"/>
            <w:lang w:val="en-US"/>
          </w:rPr>
          <w:t>Johnson, 2007</w:t>
        </w:r>
      </w:hyperlink>
      <w:r w:rsidR="00C2662B">
        <w:rPr>
          <w:noProof/>
          <w:szCs w:val="24"/>
          <w:lang w:val="en-US"/>
        </w:rPr>
        <w:t>)</w:t>
      </w:r>
      <w:r w:rsidR="00880B2F">
        <w:rPr>
          <w:szCs w:val="24"/>
          <w:lang w:val="en-US"/>
        </w:rPr>
        <w:fldChar w:fldCharType="end"/>
      </w:r>
      <w:r w:rsidR="003B4884">
        <w:rPr>
          <w:szCs w:val="24"/>
          <w:lang w:val="en-US"/>
        </w:rPr>
        <w:t xml:space="preserve">, only feebates can be </w:t>
      </w:r>
      <w:r w:rsidRPr="000D65CF">
        <w:rPr>
          <w:szCs w:val="24"/>
          <w:lang w:val="en-US"/>
        </w:rPr>
        <w:t>designed to be revenue neutral</w:t>
      </w:r>
      <w:r w:rsidR="00A332EC">
        <w:rPr>
          <w:szCs w:val="24"/>
          <w:lang w:val="en-US"/>
        </w:rPr>
        <w:t xml:space="preserve"> </w:t>
      </w:r>
      <w:r w:rsidR="00880B2F">
        <w:rPr>
          <w:szCs w:val="24"/>
          <w:lang w:val="en-US"/>
        </w:rPr>
        <w:fldChar w:fldCharType="begin">
          <w:fldData xml:space="preserve">PEVuZE5vdGU+PENpdGU+PEF1dGhvcj5CZW5Eb3I8L0F1dGhvcj48WWVhcj4yMDA2PC9ZZWFyPjxS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</w:fldData>
        </w:fldChar>
      </w:r>
      <w:r w:rsidR="00867C8A">
        <w:rPr>
          <w:szCs w:val="24"/>
          <w:lang w:val="en-US"/>
        </w:rPr>
        <w:instrText xml:space="preserve"> ADDIN EN.CITE </w:instrText>
      </w:r>
      <w:r w:rsidR="00867C8A">
        <w:rPr>
          <w:szCs w:val="24"/>
          <w:lang w:val="en-US"/>
        </w:rPr>
        <w:fldChar w:fldCharType="begin">
          <w:fldData xml:space="preserve">PEVuZE5vdGU+PENpdGU+PEF1dGhvcj5CZW5Eb3I8L0F1dGhvcj48WWVhcj4yMDA2PC9ZZWFyPjxS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</w:fldData>
        </w:fldChar>
      </w:r>
      <w:r w:rsidR="00867C8A">
        <w:rPr>
          <w:szCs w:val="24"/>
          <w:lang w:val="en-US"/>
        </w:rPr>
        <w:instrText xml:space="preserve"> ADDIN EN.CITE.DATA </w:instrText>
      </w:r>
      <w:r w:rsidR="00867C8A">
        <w:rPr>
          <w:szCs w:val="24"/>
          <w:lang w:val="en-US"/>
        </w:rPr>
      </w:r>
      <w:r w:rsidR="00867C8A">
        <w:rPr>
          <w:szCs w:val="24"/>
          <w:lang w:val="en-US"/>
        </w:rPr>
        <w:fldChar w:fldCharType="end"/>
      </w:r>
      <w:r w:rsidR="00880B2F">
        <w:rPr>
          <w:szCs w:val="24"/>
          <w:lang w:val="en-US"/>
        </w:rPr>
      </w:r>
      <w:r w:rsidR="00880B2F">
        <w:rPr>
          <w:szCs w:val="24"/>
          <w:lang w:val="en-US"/>
        </w:rPr>
        <w:fldChar w:fldCharType="separate"/>
      </w:r>
      <w:r w:rsidR="00C2662B">
        <w:rPr>
          <w:noProof/>
          <w:szCs w:val="24"/>
          <w:lang w:val="en-US"/>
        </w:rPr>
        <w:t>(</w:t>
      </w:r>
      <w:hyperlink w:anchor="_ENREF_6" w:tooltip="BenDor, 2006 #889" w:history="1">
        <w:r w:rsidR="00D67197">
          <w:rPr>
            <w:noProof/>
            <w:szCs w:val="24"/>
            <w:lang w:val="en-US"/>
          </w:rPr>
          <w:t>BenDor and Ford, 2006</w:t>
        </w:r>
      </w:hyperlink>
      <w:r w:rsidR="00C2662B">
        <w:rPr>
          <w:noProof/>
          <w:szCs w:val="24"/>
          <w:lang w:val="en-US"/>
        </w:rPr>
        <w:t xml:space="preserve">; </w:t>
      </w:r>
      <w:hyperlink w:anchor="_ENREF_17" w:tooltip="de Haan, 2009 #867" w:history="1">
        <w:r w:rsidR="00D67197">
          <w:rPr>
            <w:noProof/>
            <w:szCs w:val="24"/>
            <w:lang w:val="en-US"/>
          </w:rPr>
          <w:t>de Haan et al., 2009</w:t>
        </w:r>
      </w:hyperlink>
      <w:r w:rsidR="00C2662B">
        <w:rPr>
          <w:noProof/>
          <w:szCs w:val="24"/>
          <w:lang w:val="en-US"/>
        </w:rPr>
        <w:t xml:space="preserve">; </w:t>
      </w:r>
      <w:hyperlink w:anchor="_ENREF_32" w:tooltip="Gallagher, 2011 #931" w:history="1">
        <w:r w:rsidR="00D67197">
          <w:rPr>
            <w:noProof/>
            <w:szCs w:val="24"/>
            <w:lang w:val="en-US"/>
          </w:rPr>
          <w:t>Gallagher and Muehlegger, 2011</w:t>
        </w:r>
      </w:hyperlink>
      <w:r w:rsidR="00C2662B">
        <w:rPr>
          <w:noProof/>
          <w:szCs w:val="24"/>
          <w:lang w:val="en-US"/>
        </w:rPr>
        <w:t>)</w:t>
      </w:r>
      <w:r w:rsidR="00880B2F">
        <w:rPr>
          <w:szCs w:val="24"/>
          <w:lang w:val="en-US"/>
        </w:rPr>
        <w:fldChar w:fldCharType="end"/>
      </w:r>
      <w:r w:rsidR="00FC5EAB">
        <w:rPr>
          <w:szCs w:val="24"/>
          <w:lang w:val="en-US"/>
        </w:rPr>
        <w:t xml:space="preserve">. However, it </w:t>
      </w:r>
      <w:r w:rsidR="00FC5EAB" w:rsidRPr="00FC5EAB">
        <w:rPr>
          <w:szCs w:val="24"/>
          <w:lang w:val="en-US"/>
        </w:rPr>
        <w:t xml:space="preserve">can be difficult to </w:t>
      </w:r>
      <w:r w:rsidR="00FC5EAB">
        <w:rPr>
          <w:szCs w:val="24"/>
          <w:lang w:val="en-US"/>
        </w:rPr>
        <w:t xml:space="preserve">ensure </w:t>
      </w:r>
      <w:r w:rsidR="00FC5EAB" w:rsidRPr="00FC5EAB">
        <w:rPr>
          <w:szCs w:val="24"/>
          <w:lang w:val="en-US"/>
        </w:rPr>
        <w:t>budget neutrality</w:t>
      </w:r>
      <w:r w:rsidR="00FC5EAB">
        <w:rPr>
          <w:szCs w:val="24"/>
          <w:lang w:val="en-US"/>
        </w:rPr>
        <w:t xml:space="preserve"> as consumer behavior is difficult to predict. For instance, the </w:t>
      </w:r>
      <w:r w:rsidR="00FC5EAB" w:rsidRPr="00FC5EAB">
        <w:rPr>
          <w:szCs w:val="24"/>
          <w:lang w:val="en-US"/>
        </w:rPr>
        <w:t>French experience with the bonus/</w:t>
      </w:r>
      <w:proofErr w:type="spellStart"/>
      <w:r w:rsidR="00FC5EAB" w:rsidRPr="00FC5EAB">
        <w:rPr>
          <w:szCs w:val="24"/>
          <w:lang w:val="en-US"/>
        </w:rPr>
        <w:t>malus</w:t>
      </w:r>
      <w:proofErr w:type="spellEnd"/>
      <w:r w:rsidR="00FC5EAB" w:rsidRPr="00FC5EAB">
        <w:rPr>
          <w:szCs w:val="24"/>
          <w:lang w:val="en-US"/>
        </w:rPr>
        <w:t xml:space="preserve"> scheme showed that vehicle purchasers reacted more </w:t>
      </w:r>
      <w:r w:rsidR="00FF5D19">
        <w:rPr>
          <w:szCs w:val="24"/>
          <w:lang w:val="en-US"/>
        </w:rPr>
        <w:t xml:space="preserve">positively </w:t>
      </w:r>
      <w:r w:rsidR="00FC5EAB" w:rsidRPr="00FC5EAB">
        <w:rPr>
          <w:szCs w:val="24"/>
          <w:lang w:val="en-US"/>
        </w:rPr>
        <w:t xml:space="preserve">to the </w:t>
      </w:r>
      <w:proofErr w:type="spellStart"/>
      <w:r w:rsidR="00FC5EAB" w:rsidRPr="00FC5EAB">
        <w:rPr>
          <w:szCs w:val="24"/>
          <w:lang w:val="en-US"/>
        </w:rPr>
        <w:t>feebate</w:t>
      </w:r>
      <w:proofErr w:type="spellEnd"/>
      <w:r w:rsidR="00FC5EAB" w:rsidRPr="00FC5EAB">
        <w:rPr>
          <w:szCs w:val="24"/>
          <w:lang w:val="en-US"/>
        </w:rPr>
        <w:t xml:space="preserve"> than expected with the result that the public budget was EUR 500milion in debt in 2010 as a result of the scheme</w:t>
      </w:r>
      <w:r w:rsidR="00FC5EAB">
        <w:rPr>
          <w:szCs w:val="24"/>
          <w:lang w:val="en-US"/>
        </w:rPr>
        <w:t>, prompting a readjustment</w:t>
      </w:r>
      <w:r w:rsidR="00FC5EAB" w:rsidRPr="00FC5EAB">
        <w:rPr>
          <w:szCs w:val="24"/>
          <w:lang w:val="en-US"/>
        </w:rPr>
        <w:t>.</w:t>
      </w:r>
      <w:r w:rsidR="00FC5EAB">
        <w:rPr>
          <w:szCs w:val="24"/>
          <w:lang w:val="en-US"/>
        </w:rPr>
        <w:t xml:space="preserve"> </w:t>
      </w:r>
      <w:r w:rsidR="006572F5">
        <w:rPr>
          <w:szCs w:val="24"/>
          <w:lang w:val="en-US"/>
        </w:rPr>
        <w:t xml:space="preserve">Nevertheless, </w:t>
      </w:r>
      <w:r w:rsidR="00FF5D19">
        <w:rPr>
          <w:szCs w:val="24"/>
          <w:lang w:val="en-US"/>
        </w:rPr>
        <w:t>p</w:t>
      </w:r>
      <w:r w:rsidR="006572F5" w:rsidRPr="000D65CF">
        <w:rPr>
          <w:szCs w:val="24"/>
          <w:lang w:val="en-US"/>
        </w:rPr>
        <w:t xml:space="preserve">reliminary results </w:t>
      </w:r>
      <w:r w:rsidR="006572F5">
        <w:rPr>
          <w:szCs w:val="24"/>
          <w:lang w:val="en-US"/>
        </w:rPr>
        <w:t xml:space="preserve">of the </w:t>
      </w:r>
      <w:r w:rsidR="00FF5D19">
        <w:rPr>
          <w:szCs w:val="24"/>
          <w:lang w:val="en-US"/>
        </w:rPr>
        <w:t xml:space="preserve">French </w:t>
      </w:r>
      <w:proofErr w:type="spellStart"/>
      <w:r w:rsidR="00FF5D19">
        <w:rPr>
          <w:szCs w:val="24"/>
          <w:lang w:val="en-US"/>
        </w:rPr>
        <w:t>f</w:t>
      </w:r>
      <w:r w:rsidR="006572F5">
        <w:rPr>
          <w:szCs w:val="24"/>
          <w:lang w:val="en-US"/>
        </w:rPr>
        <w:t>eebate</w:t>
      </w:r>
      <w:proofErr w:type="spellEnd"/>
      <w:r w:rsidR="006572F5">
        <w:rPr>
          <w:szCs w:val="24"/>
          <w:lang w:val="en-US"/>
        </w:rPr>
        <w:t xml:space="preserve"> program show that the average </w:t>
      </w:r>
      <w:r w:rsidR="006572F5" w:rsidRPr="000D65CF">
        <w:rPr>
          <w:szCs w:val="24"/>
          <w:lang w:val="en-US"/>
        </w:rPr>
        <w:t>new light duty vehicle CO</w:t>
      </w:r>
      <w:r w:rsidR="006572F5" w:rsidRPr="000D65CF">
        <w:rPr>
          <w:szCs w:val="24"/>
          <w:vertAlign w:val="subscript"/>
          <w:lang w:val="en-US"/>
        </w:rPr>
        <w:t>2</w:t>
      </w:r>
      <w:r w:rsidR="006572F5" w:rsidRPr="000D65CF">
        <w:rPr>
          <w:szCs w:val="24"/>
          <w:lang w:val="en-US"/>
        </w:rPr>
        <w:t>/km went from fourth lowest to the lowest (~133 g CO</w:t>
      </w:r>
      <w:r w:rsidR="006572F5" w:rsidRPr="000D65CF">
        <w:rPr>
          <w:szCs w:val="24"/>
          <w:vertAlign w:val="subscript"/>
          <w:lang w:val="en-US"/>
        </w:rPr>
        <w:t>2</w:t>
      </w:r>
      <w:r w:rsidR="006572F5" w:rsidRPr="000D65CF">
        <w:rPr>
          <w:szCs w:val="24"/>
          <w:lang w:val="en-US"/>
        </w:rPr>
        <w:t>/km in 2009) across the EU since the program started in 2007</w:t>
      </w:r>
      <w:r w:rsidR="006572F5">
        <w:rPr>
          <w:szCs w:val="24"/>
          <w:lang w:val="en-US"/>
        </w:rPr>
        <w:t xml:space="preserve"> </w:t>
      </w:r>
      <w:r w:rsidR="006572F5">
        <w:rPr>
          <w:szCs w:val="24"/>
          <w:lang w:val="en-US"/>
        </w:rPr>
        <w:fldChar w:fldCharType="begin"/>
      </w:r>
      <w:r w:rsidR="006572F5">
        <w:rPr>
          <w:szCs w:val="24"/>
          <w:lang w:val="en-US"/>
        </w:rPr>
        <w:instrText xml:space="preserve"> ADDIN EN.CITE &lt;EndNote&gt;&lt;Cite&gt;&lt;Author&gt;Boutin&lt;/Author&gt;&lt;Year&gt;2010&lt;/Year&gt;&lt;RecNum&gt;978&lt;/RecNum&gt;&lt;DisplayText&gt;(Boutin et al., 2010)&lt;/DisplayText&gt;&lt;record&gt;&lt;rec-number&gt;978&lt;/rec-number&gt;&lt;foreign-keys&gt;&lt;key app="EN" db-id="a0wpest2552swgezzsnxxwsnpp9axwswpaww"&gt;978&lt;/key&gt;&lt;/foreign-keys&gt;&lt;ref-type name="Conference Proceedings"&gt;10&lt;/ref-type&gt;&lt;contributors&gt;&lt;authors&gt;&lt;author&gt;Boutin, X.&lt;/author&gt;&lt;author&gt;Haultfoeuille, X.&lt;/author&gt;&lt;author&gt;Givord, P.&lt;/author&gt;&lt;/authors&gt;&lt;/contributors&gt;&lt;titles&gt;&lt;title&gt;The Environmental Effect of Green Taxation: The Case of the French Bonus-Malus&lt;/title&gt;&lt;secondary-title&gt;The 11th CEPR Conference on Applied Industrial Organization&lt;/secondary-title&gt;&lt;/titles&gt;&lt;dates&gt;&lt;year&gt;2010&lt;/year&gt;&lt;/dates&gt;&lt;pub-location&gt;Toulouse, France, 29 May 2010&lt;/pub-location&gt;&lt;urls&gt;&lt;/urls&gt;&lt;/record&gt;&lt;/Cite&gt;&lt;/EndNote&gt;</w:instrText>
      </w:r>
      <w:r w:rsidR="006572F5">
        <w:rPr>
          <w:szCs w:val="24"/>
          <w:lang w:val="en-US"/>
        </w:rPr>
        <w:fldChar w:fldCharType="separate"/>
      </w:r>
      <w:r w:rsidR="006572F5">
        <w:rPr>
          <w:noProof/>
          <w:szCs w:val="24"/>
          <w:lang w:val="en-US"/>
        </w:rPr>
        <w:t>(</w:t>
      </w:r>
      <w:hyperlink w:anchor="_ENREF_8" w:tooltip="Boutin, 2010 #978" w:history="1">
        <w:r w:rsidR="00D67197">
          <w:rPr>
            <w:noProof/>
            <w:szCs w:val="24"/>
            <w:lang w:val="en-US"/>
          </w:rPr>
          <w:t>Boutin et al., 2010</w:t>
        </w:r>
      </w:hyperlink>
      <w:r w:rsidR="006572F5">
        <w:rPr>
          <w:noProof/>
          <w:szCs w:val="24"/>
          <w:lang w:val="en-US"/>
        </w:rPr>
        <w:t>)</w:t>
      </w:r>
      <w:r w:rsidR="006572F5">
        <w:rPr>
          <w:szCs w:val="24"/>
          <w:lang w:val="en-US"/>
        </w:rPr>
        <w:fldChar w:fldCharType="end"/>
      </w:r>
      <w:r w:rsidR="006572F5" w:rsidRPr="000D65CF">
        <w:rPr>
          <w:szCs w:val="24"/>
          <w:lang w:val="en-US"/>
        </w:rPr>
        <w:t>.</w:t>
      </w:r>
      <w:r w:rsidR="00FF5D19">
        <w:rPr>
          <w:szCs w:val="24"/>
          <w:lang w:val="en-US"/>
        </w:rPr>
        <w:t xml:space="preserve"> Further r</w:t>
      </w:r>
      <w:r w:rsidRPr="000D65CF">
        <w:rPr>
          <w:szCs w:val="24"/>
          <w:lang w:val="en-US"/>
        </w:rPr>
        <w:t xml:space="preserve">ecent empirical research in the US suggests that not all incentives are equal and </w:t>
      </w:r>
      <w:proofErr w:type="spellStart"/>
      <w:r w:rsidRPr="000D65CF">
        <w:rPr>
          <w:szCs w:val="24"/>
          <w:lang w:val="en-US"/>
        </w:rPr>
        <w:t>feebate</w:t>
      </w:r>
      <w:proofErr w:type="spellEnd"/>
      <w:r w:rsidRPr="000D65CF">
        <w:rPr>
          <w:szCs w:val="24"/>
          <w:lang w:val="en-US"/>
        </w:rPr>
        <w:t xml:space="preserve"> programs may be more effective for accelerating the adoption of hybrid vehicle technology than the equivalent fuel-economy based registration due to its transparency at the point of purchase and implied lower discount rate</w:t>
      </w:r>
      <w:r w:rsidR="00A332EC">
        <w:rPr>
          <w:szCs w:val="24"/>
          <w:lang w:val="en-US"/>
        </w:rPr>
        <w:t xml:space="preserve"> </w:t>
      </w:r>
      <w:r w:rsidR="00880B2F">
        <w:rPr>
          <w:szCs w:val="24"/>
          <w:lang w:val="en-US"/>
        </w:rPr>
        <w:fldChar w:fldCharType="begin"/>
      </w:r>
      <w:r w:rsidR="00546ABC">
        <w:rPr>
          <w:szCs w:val="24"/>
          <w:lang w:val="en-US"/>
        </w:rPr>
        <w:instrText xml:space="preserve"> ADDIN EN.CITE &lt;EndNote&gt;&lt;Cite&gt;&lt;Author&gt;Gallagher&lt;/Author&gt;&lt;Year&gt;2011&lt;/Year&gt;&lt;RecNum&gt;931&lt;/RecNum&gt;&lt;DisplayText&gt;(Gallagher and Muehlegger, 2011)&lt;/DisplayText&gt;&lt;record&gt;&lt;rec-number&gt;931&lt;/rec-number&gt;&lt;foreign-keys&gt;&lt;key app="EN" db-id="a0wpest2552swgezzsnxxwsnpp9axwswpaww"&gt;931&lt;/key&gt;&lt;/foreign-keys&gt;&lt;ref-type name="Journal Article"&gt;17&lt;/ref-type&gt;&lt;contributors&gt;&lt;authors&gt;&lt;author&gt;Gallagher, K.S.&lt;/author&gt;&lt;author&gt;Muehlegger, E.&lt;/author&gt;&lt;/authors&gt;&lt;/contributors&gt;&lt;titles&gt;&lt;title&gt;Giving green to get green? Incentives and consumer adoption of hybrid vehicle technology&lt;/title&gt;&lt;secondary-title&gt;J. Environ. Econ. Manage.&lt;/secondary-title&gt;&lt;/titles&gt;&lt;periodical&gt;&lt;full-title&gt;Journal of Environmental Economics and Management&lt;/full-title&gt;&lt;abbr-1&gt;J. Environ. Econ. Manage.&lt;/abbr-1&gt;&lt;/periodical&gt;&lt;pages&gt;1-15&lt;/pages&gt;&lt;volume&gt;61&lt;/volume&gt;&lt;dates&gt;&lt;year&gt;2011&lt;/year&gt;&lt;/dates&gt;&lt;urls&gt;&lt;/urls&gt;&lt;/record&gt;&lt;/Cite&gt;&lt;/EndNote&gt;</w:instrText>
      </w:r>
      <w:r w:rsidR="00880B2F">
        <w:rPr>
          <w:szCs w:val="24"/>
          <w:lang w:val="en-US"/>
        </w:rPr>
        <w:fldChar w:fldCharType="separate"/>
      </w:r>
      <w:r w:rsidR="00C2662B">
        <w:rPr>
          <w:noProof/>
          <w:szCs w:val="24"/>
          <w:lang w:val="en-US"/>
        </w:rPr>
        <w:t>(</w:t>
      </w:r>
      <w:hyperlink w:anchor="_ENREF_32" w:tooltip="Gallagher, 2011 #931" w:history="1">
        <w:r w:rsidR="00D67197">
          <w:rPr>
            <w:noProof/>
            <w:szCs w:val="24"/>
            <w:lang w:val="en-US"/>
          </w:rPr>
          <w:t>Gallagher and Muehlegger, 2011</w:t>
        </w:r>
      </w:hyperlink>
      <w:r w:rsidR="00C2662B">
        <w:rPr>
          <w:noProof/>
          <w:szCs w:val="24"/>
          <w:lang w:val="en-US"/>
        </w:rPr>
        <w:t>)</w:t>
      </w:r>
      <w:r w:rsidR="00880B2F">
        <w:rPr>
          <w:szCs w:val="24"/>
          <w:lang w:val="en-US"/>
        </w:rPr>
        <w:fldChar w:fldCharType="end"/>
      </w:r>
      <w:r w:rsidRPr="000D65CF">
        <w:rPr>
          <w:szCs w:val="24"/>
          <w:lang w:val="en-US"/>
        </w:rPr>
        <w:t>.</w:t>
      </w:r>
      <w:r w:rsidR="00E36B50">
        <w:rPr>
          <w:szCs w:val="24"/>
          <w:lang w:val="en-US"/>
        </w:rPr>
        <w:t xml:space="preserve"> </w:t>
      </w:r>
      <w:r w:rsidR="007502FB">
        <w:rPr>
          <w:szCs w:val="24"/>
          <w:lang w:val="en-US"/>
        </w:rPr>
        <w:t xml:space="preserve"> </w:t>
      </w:r>
    </w:p>
    <w:p w14:paraId="70699060" w14:textId="77777777" w:rsidR="008005BB" w:rsidRPr="00C64BF5" w:rsidRDefault="008005BB" w:rsidP="0098753B">
      <w:pPr>
        <w:rPr>
          <w:lang w:val="en-US"/>
        </w:rPr>
      </w:pPr>
    </w:p>
    <w:p w14:paraId="1CD498B4" w14:textId="77777777" w:rsidR="008A36A2" w:rsidRPr="00C64BF5" w:rsidRDefault="000D65CF" w:rsidP="00636684">
      <w:pPr>
        <w:pStyle w:val="Heading2"/>
        <w:rPr>
          <w:lang w:val="en-US"/>
        </w:rPr>
      </w:pPr>
      <w:r w:rsidRPr="000D65CF">
        <w:rPr>
          <w:lang w:val="en-US"/>
        </w:rPr>
        <w:t>2.2 Vehicle Excise Duty and Road Tax</w:t>
      </w:r>
    </w:p>
    <w:p w14:paraId="22F3058A" w14:textId="04B2D362" w:rsidR="00135502" w:rsidRPr="00C64BF5" w:rsidRDefault="000D65CF" w:rsidP="0098753B">
      <w:pPr>
        <w:rPr>
          <w:lang w:val="en-US"/>
        </w:rPr>
      </w:pPr>
      <w:r w:rsidRPr="000D65CF">
        <w:rPr>
          <w:lang w:val="en-US"/>
        </w:rPr>
        <w:t xml:space="preserve">Vehicle Excise Duty (VED) also commonly known as vehicle road tax is an annual tax levied on vehicles in order to use public roads. Typically, the amount of charges levied are based on vehicle characteristics such as engine size, weight or power but are increasingly linked to </w:t>
      </w:r>
      <w:r w:rsidRPr="000D65CF">
        <w:rPr>
          <w:lang w:val="en-US"/>
        </w:rPr>
        <w:lastRenderedPageBreak/>
        <w:t>specific environmental characteristics including CO</w:t>
      </w:r>
      <w:r w:rsidRPr="000D65CF">
        <w:rPr>
          <w:vertAlign w:val="subscript"/>
          <w:lang w:val="en-US"/>
        </w:rPr>
        <w:t>2</w:t>
      </w:r>
      <w:r w:rsidRPr="000D65CF">
        <w:rPr>
          <w:lang w:val="en-US"/>
        </w:rPr>
        <w:t xml:space="preserve"> </w:t>
      </w:r>
      <w:r w:rsidR="00B96532">
        <w:rPr>
          <w:lang w:val="en-US"/>
        </w:rPr>
        <w:t xml:space="preserve">and other pollutant </w:t>
      </w:r>
      <w:r w:rsidRPr="000D65CF">
        <w:rPr>
          <w:lang w:val="en-US"/>
        </w:rPr>
        <w:t xml:space="preserve">emissions </w:t>
      </w:r>
      <w:r w:rsidR="00880B2F" w:rsidRPr="000D65CF">
        <w:rPr>
          <w:lang w:val="en-US"/>
        </w:rPr>
        <w:fldChar w:fldCharType="begin"/>
      </w:r>
      <w:r w:rsidR="00C2662B">
        <w:rPr>
          <w:lang w:val="en-US"/>
        </w:rPr>
        <w:instrText xml:space="preserve"> ADDIN EN.CITE &lt;EndNote&gt;&lt;Cite&gt;&lt;Author&gt;Harmsen&lt;/Author&gt;&lt;Year&gt;2003&lt;/Year&gt;&lt;RecNum&gt;839&lt;/RecNum&gt;&lt;DisplayText&gt;(Harmsen et al., 2003)&lt;/DisplayText&gt;&lt;record&gt;&lt;rec-number&gt;839&lt;/rec-number&gt;&lt;foreign-keys&gt;&lt;key app="EN" db-id="a0wpest2552swgezzsnxxwsnpp9axwswpaww"&gt;839&lt;/key&gt;&lt;/foreign-keys&gt;&lt;ref-type name="Report"&gt;27&lt;/ref-type&gt;&lt;contributors&gt;&lt;authors&gt;&lt;author&gt;Harmsen, R.&lt;/author&gt;&lt;author&gt;Kroon, P.&lt;/author&gt;&lt;author&gt;Ybema, J.R.&lt;/author&gt;&lt;author&gt;Jespersen, M.S.&lt;/author&gt;&lt;author&gt;Jordal-Jørgensen, J.&lt;/author&gt;&lt;/authors&gt;&lt;/contributors&gt;&lt;titles&gt;&lt;title&gt;International CO2 policy benchmark for the road transport sector: result of a pilot study, ECN 7.7484&lt;/title&gt;&lt;/titles&gt;&lt;dates&gt;&lt;year&gt;2003&lt;/year&gt;&lt;/dates&gt;&lt;pub-location&gt;Netherlands&lt;/pub-location&gt;&lt;publisher&gt;ECN&lt;/publisher&gt;&lt;urls&gt;&lt;/urls&gt;&lt;/record&gt;&lt;/Cite&gt;&lt;/EndNote&gt;</w:instrText>
      </w:r>
      <w:r w:rsidR="00880B2F" w:rsidRPr="000D65CF">
        <w:rPr>
          <w:lang w:val="en-US"/>
        </w:rPr>
        <w:fldChar w:fldCharType="separate"/>
      </w:r>
      <w:r w:rsidR="00C2662B">
        <w:rPr>
          <w:noProof/>
          <w:lang w:val="en-US"/>
        </w:rPr>
        <w:t>(</w:t>
      </w:r>
      <w:hyperlink w:anchor="_ENREF_40" w:tooltip="Harmsen, 2003 #839" w:history="1">
        <w:r w:rsidR="00D67197">
          <w:rPr>
            <w:noProof/>
            <w:lang w:val="en-US"/>
          </w:rPr>
          <w:t>Harmsen et al., 2003</w:t>
        </w:r>
      </w:hyperlink>
      <w:r w:rsidR="00C2662B">
        <w:rPr>
          <w:noProof/>
          <w:lang w:val="en-US"/>
        </w:rPr>
        <w:t>)</w:t>
      </w:r>
      <w:r w:rsidR="00880B2F" w:rsidRPr="000D65CF">
        <w:rPr>
          <w:lang w:val="en-US"/>
        </w:rPr>
        <w:fldChar w:fldCharType="end"/>
      </w:r>
      <w:r w:rsidRPr="000D65CF">
        <w:rPr>
          <w:lang w:val="en-US"/>
        </w:rPr>
        <w:t xml:space="preserve">. </w:t>
      </w:r>
    </w:p>
    <w:p w14:paraId="602831EF" w14:textId="77777777" w:rsidR="00135502" w:rsidRPr="00C64BF5" w:rsidRDefault="00135502" w:rsidP="0098753B">
      <w:pPr>
        <w:rPr>
          <w:lang w:val="en-US"/>
        </w:rPr>
      </w:pPr>
    </w:p>
    <w:p w14:paraId="01107D83" w14:textId="36B9A9DF" w:rsidR="008A36A2" w:rsidRPr="00C64BF5" w:rsidRDefault="00CF3C00" w:rsidP="0098753B">
      <w:pPr>
        <w:rPr>
          <w:lang w:val="en-US"/>
        </w:rPr>
      </w:pPr>
      <w:r>
        <w:rPr>
          <w:lang w:val="en-US"/>
        </w:rPr>
        <w:t>In the UK, t</w:t>
      </w:r>
      <w:r w:rsidR="000D65CF" w:rsidRPr="000D65CF">
        <w:rPr>
          <w:lang w:val="en-US"/>
        </w:rPr>
        <w:t xml:space="preserve">he </w:t>
      </w:r>
      <w:r>
        <w:rPr>
          <w:lang w:val="en-US"/>
        </w:rPr>
        <w:t>CO</w:t>
      </w:r>
      <w:r w:rsidRPr="00CF3C00">
        <w:rPr>
          <w:vertAlign w:val="subscript"/>
          <w:lang w:val="en-US"/>
        </w:rPr>
        <w:t>2</w:t>
      </w:r>
      <w:r>
        <w:rPr>
          <w:lang w:val="en-US"/>
        </w:rPr>
        <w:t xml:space="preserve">-graded </w:t>
      </w:r>
      <w:r w:rsidR="000D65CF" w:rsidRPr="000D65CF">
        <w:rPr>
          <w:lang w:val="en-US"/>
        </w:rPr>
        <w:t xml:space="preserve">VED scheme </w:t>
      </w:r>
      <w:r>
        <w:rPr>
          <w:lang w:val="en-US"/>
        </w:rPr>
        <w:t>first introduced in 2001 was recently</w:t>
      </w:r>
      <w:r w:rsidR="000D65CF" w:rsidRPr="000D65CF">
        <w:rPr>
          <w:lang w:val="en-US"/>
        </w:rPr>
        <w:t xml:space="preserve"> reformed with higher band resolution (10-15 gCO</w:t>
      </w:r>
      <w:r w:rsidR="000D65CF" w:rsidRPr="000D65CF">
        <w:rPr>
          <w:vertAlign w:val="subscript"/>
          <w:lang w:val="en-US"/>
        </w:rPr>
        <w:t>2</w:t>
      </w:r>
      <w:r w:rsidR="000D65CF" w:rsidRPr="000D65CF">
        <w:rPr>
          <w:lang w:val="en-US"/>
        </w:rPr>
        <w:t xml:space="preserve"> between bands, now A to M), slightly higher duties (band M vehicles are charged GBP435, rising with retail price index as of April 2011) as well as the introduction in 2010 of a high first year VED rate for more polluting cars akin to a purchase tax  </w:t>
      </w:r>
      <w:r w:rsidR="00880B2F" w:rsidRPr="000D65CF">
        <w:rPr>
          <w:lang w:val="en-US"/>
        </w:rPr>
        <w:fldChar w:fldCharType="begin"/>
      </w:r>
      <w:r w:rsidR="003C229A">
        <w:rPr>
          <w:lang w:val="en-US"/>
        </w:rPr>
        <w:instrText xml:space="preserve"> ADDIN EN.CITE &lt;EndNote&gt;&lt;Cite&gt;&lt;Author&gt;HM Treasury&lt;/Author&gt;&lt;Year&gt;2008&lt;/Year&gt;&lt;RecNum&gt;678&lt;/RecNum&gt;&lt;DisplayText&gt;(HM Treasury, 2008; UK House of Commons, 2010)&lt;/DisplayText&gt;&lt;record&gt;&lt;rec-number&gt;678&lt;/rec-number&gt;&lt;foreign-keys&gt;&lt;key app="EN" db-id="a0wpest2552swgezzsnxxwsnpp9axwswpaww"&gt;678&lt;/key&gt;&lt;/foreign-keys&gt;&lt;ref-type name="Report"&gt;27&lt;/ref-type&gt;&lt;contributors&gt;&lt;authors&gt;&lt;author&gt;HM Treasury,&lt;/author&gt;&lt;/authors&gt;&lt;/contributors&gt;&lt;titles&gt;&lt;title&gt;Pre-Budget Report 2008: Facing global challenges: supporting people through difficult times, Cm 7484&lt;/title&gt;&lt;/titles&gt;&lt;dates&gt;&lt;year&gt;2008&lt;/year&gt;&lt;/dates&gt;&lt;pub-location&gt;London&lt;/pub-location&gt;&lt;publisher&gt;The Stationery Office&lt;/publisher&gt;&lt;urls&gt;&lt;/urls&gt;&lt;/record&gt;&lt;/Cite&gt;&lt;Cite&gt;&lt;Author&gt;UK House of Commons&lt;/Author&gt;&lt;Year&gt;2010&lt;/Year&gt;&lt;RecNum&gt;990&lt;/RecNum&gt;&lt;record&gt;&lt;rec-number&gt;990&lt;/rec-number&gt;&lt;foreign-keys&gt;&lt;key app="EN" db-id="a0wpest2552swgezzsnxxwsnpp9axwswpaww"&gt;990&lt;/key&gt;&lt;/foreign-keys&gt;&lt;ref-type name="Report"&gt;27&lt;/ref-type&gt;&lt;contributors&gt;&lt;authors&gt;&lt;author&gt;UK House of Commons,&lt;/author&gt;&lt;/authors&gt;&lt;/contributors&gt;&lt;titles&gt;&lt;title&gt;Vehicle Excise Duty (VED), Standard Note: SN/BT/1482&lt;/title&gt;&lt;/titles&gt;&lt;dates&gt;&lt;year&gt;2010&lt;/year&gt;&lt;/dates&gt;&lt;pub-location&gt;London&lt;/pub-location&gt;&lt;publisher&gt;UK House of Commons&lt;/publisher&gt;&lt;urls&gt;&lt;/urls&gt;&lt;/record&gt;&lt;/Cite&gt;&lt;/EndNote&gt;</w:instrText>
      </w:r>
      <w:r w:rsidR="00880B2F" w:rsidRPr="000D65CF">
        <w:rPr>
          <w:lang w:val="en-US"/>
        </w:rPr>
        <w:fldChar w:fldCharType="separate"/>
      </w:r>
      <w:r w:rsidR="003C229A">
        <w:rPr>
          <w:noProof/>
          <w:lang w:val="en-US"/>
        </w:rPr>
        <w:t>(</w:t>
      </w:r>
      <w:hyperlink w:anchor="_ENREF_42" w:tooltip="HM Treasury, 2008 #678" w:history="1">
        <w:r w:rsidR="00D67197">
          <w:rPr>
            <w:noProof/>
            <w:lang w:val="en-US"/>
          </w:rPr>
          <w:t>HM Treasury, 2008</w:t>
        </w:r>
      </w:hyperlink>
      <w:r w:rsidR="003C229A">
        <w:rPr>
          <w:noProof/>
          <w:lang w:val="en-US"/>
        </w:rPr>
        <w:t xml:space="preserve">; </w:t>
      </w:r>
      <w:hyperlink w:anchor="_ENREF_84" w:tooltip="UK House of Commons, 2010 #990" w:history="1">
        <w:r w:rsidR="00D67197">
          <w:rPr>
            <w:noProof/>
            <w:lang w:val="en-US"/>
          </w:rPr>
          <w:t>UK House of Commons, 2010</w:t>
        </w:r>
      </w:hyperlink>
      <w:r w:rsidR="003C229A">
        <w:rPr>
          <w:noProof/>
          <w:lang w:val="en-US"/>
        </w:rPr>
        <w:t>)</w:t>
      </w:r>
      <w:r w:rsidR="00880B2F" w:rsidRPr="000D65CF">
        <w:rPr>
          <w:lang w:val="en-US"/>
        </w:rPr>
        <w:fldChar w:fldCharType="end"/>
      </w:r>
      <w:r w:rsidR="000D65CF" w:rsidRPr="000D65CF">
        <w:rPr>
          <w:lang w:val="en-US"/>
        </w:rPr>
        <w:t>. Alternative fuelled cars (i.e. not gasoline or diesel) are charged GBP10 less than their conventional counterparts in the same CO</w:t>
      </w:r>
      <w:r w:rsidR="000D65CF" w:rsidRPr="00CF3C00">
        <w:rPr>
          <w:vertAlign w:val="subscript"/>
          <w:lang w:val="en-US"/>
        </w:rPr>
        <w:t>2</w:t>
      </w:r>
      <w:r w:rsidR="000D65CF" w:rsidRPr="000D65CF">
        <w:rPr>
          <w:lang w:val="en-US"/>
        </w:rPr>
        <w:t xml:space="preserve"> band.</w:t>
      </w:r>
      <w:r w:rsidR="00E36B50">
        <w:rPr>
          <w:rStyle w:val="FootnoteReference"/>
          <w:lang w:val="en-US"/>
        </w:rPr>
        <w:footnoteReference w:id="4"/>
      </w:r>
    </w:p>
    <w:p w14:paraId="70ABBC57" w14:textId="77777777" w:rsidR="00697B23" w:rsidRPr="00C64BF5" w:rsidRDefault="00697B23" w:rsidP="0098753B">
      <w:pPr>
        <w:rPr>
          <w:lang w:val="en-US"/>
        </w:rPr>
      </w:pPr>
    </w:p>
    <w:p w14:paraId="076546D4" w14:textId="28040B0F" w:rsidR="008A36A2" w:rsidRPr="00C64BF5" w:rsidRDefault="00631B24" w:rsidP="0098753B">
      <w:pPr>
        <w:rPr>
          <w:lang w:val="en-US"/>
        </w:rPr>
      </w:pPr>
      <w:r>
        <w:rPr>
          <w:lang w:val="en-US"/>
        </w:rPr>
        <w:t>T</w:t>
      </w:r>
      <w:r w:rsidR="000D65CF" w:rsidRPr="000D65CF">
        <w:rPr>
          <w:lang w:val="en-US"/>
        </w:rPr>
        <w:t xml:space="preserve">he effectiveness of VED </w:t>
      </w:r>
      <w:r>
        <w:rPr>
          <w:lang w:val="en-US"/>
        </w:rPr>
        <w:t xml:space="preserve">(and similar instruments) </w:t>
      </w:r>
      <w:r w:rsidR="000D65CF" w:rsidRPr="000D65CF">
        <w:rPr>
          <w:lang w:val="en-US"/>
        </w:rPr>
        <w:t xml:space="preserve">is </w:t>
      </w:r>
      <w:r w:rsidR="003F6BEA">
        <w:rPr>
          <w:lang w:val="en-US"/>
        </w:rPr>
        <w:t xml:space="preserve">largely influenced by </w:t>
      </w:r>
      <w:r w:rsidR="000D65CF" w:rsidRPr="000D65CF">
        <w:rPr>
          <w:lang w:val="en-US"/>
        </w:rPr>
        <w:t xml:space="preserve">the level of charge necessary to influence consumer </w:t>
      </w:r>
      <w:r w:rsidR="00C11050" w:rsidRPr="000D65CF">
        <w:rPr>
          <w:lang w:val="en-US"/>
        </w:rPr>
        <w:t>behavior</w:t>
      </w:r>
      <w:r w:rsidR="000D65CF" w:rsidRPr="000D65CF">
        <w:rPr>
          <w:lang w:val="en-US"/>
        </w:rPr>
        <w:t xml:space="preserve"> </w:t>
      </w:r>
      <w:r w:rsidR="00880B2F" w:rsidRPr="000D65CF">
        <w:rPr>
          <w:lang w:val="en-US"/>
        </w:rPr>
        <w:fldChar w:fldCharType="begin"/>
      </w:r>
      <w:r w:rsidR="00C2662B">
        <w:rPr>
          <w:lang w:val="en-US"/>
        </w:rPr>
        <w:instrText xml:space="preserve"> ADDIN EN.CITE &lt;EndNote&gt;&lt;Cite&gt;&lt;Author&gt;UK DfT&lt;/Author&gt;&lt;Year&gt;2003&lt;/Year&gt;&lt;RecNum&gt;843&lt;/RecNum&gt;&lt;DisplayText&gt;(EST, 2007; EST and IEEP, 2004; UK DfT, 2003)&lt;/DisplayText&gt;&lt;record&gt;&lt;rec-number&gt;843&lt;/rec-number&gt;&lt;foreign-keys&gt;&lt;key app="EN" db-id="a0wpest2552swgezzsnxxwsnpp9axwswpaww"&gt;843&lt;/key&gt;&lt;/foreign-keys&gt;&lt;ref-type name="Report"&gt;27&lt;/ref-type&gt;&lt;contributors&gt;&lt;authors&gt;&lt;author&gt;UK DfT,&lt;/author&gt;&lt;/authors&gt;&lt;/contributors&gt;&lt;titles&gt;&lt;title&gt;Assessing the impact of graduated vehicle excise duty – qualitative research&lt;/title&gt;&lt;/titles&gt;&lt;dates&gt;&lt;year&gt;2003&lt;/year&gt;&lt;/dates&gt;&lt;pub-location&gt;London&lt;/pub-location&gt;&lt;publisher&gt;Department for Transport, UK&lt;/publisher&gt;&lt;urls&gt;&lt;/urls&gt;&lt;/record&gt;&lt;/Cite&gt;&lt;Cite&gt;&lt;Author&gt;EST and IEEP&lt;/Author&gt;&lt;Year&gt;2004&lt;/Year&gt;&lt;RecNum&gt;844&lt;/RecNum&gt;&lt;record&gt;&lt;rec-number&gt;844&lt;/rec-number&gt;&lt;foreign-keys&gt;&lt;key app="EN" db-id="a0wpest2552swgezzsnxxwsnpp9axwswpaww"&gt;844&lt;/key&gt;&lt;/foreign-keys&gt;&lt;ref-type name="Report"&gt;27&lt;/ref-type&gt;&lt;contributors&gt;&lt;authors&gt;&lt;author&gt;EST and IEEP,&lt;/author&gt;&lt;/authors&gt;&lt;/contributors&gt;&lt;titles&gt;&lt;title&gt;Passenger cars: CO2 emissions and Vehicle Excise Duty. Retrieved from: http://www.lowcvp.org.uk/assets/reports/EST-IEEP_VED_Report_-_Nov_2004.pdf&lt;/title&gt;&lt;/titles&gt;&lt;dates&gt;&lt;year&gt;2004&lt;/year&gt;&lt;/dates&gt;&lt;pub-location&gt;London&lt;/pub-location&gt;&lt;publisher&gt;Energy Savings Trust (EST) and Institute for European Environmental Policy (IEEP)&lt;/publisher&gt;&lt;urls&gt;&lt;/urls&gt;&lt;/record&gt;&lt;/Cite&gt;&lt;Cite&gt;&lt;Author&gt;EST&lt;/Author&gt;&lt;Year&gt;2007&lt;/Year&gt;&lt;RecNum&gt;845&lt;/RecNum&gt;&lt;record&gt;&lt;rec-number&gt;845&lt;/rec-number&gt;&lt;foreign-keys&gt;&lt;key app="EN" db-id="a0wpest2552swgezzsnxxwsnpp9axwswpaww"&gt;845&lt;/key&gt;&lt;/foreign-keys&gt;&lt;ref-type name="Report"&gt;27&lt;/ref-type&gt;&lt;contributors&gt;&lt;authors&gt;&lt;author&gt;EST&lt;/author&gt;&lt;/authors&gt;&lt;/contributors&gt;&lt;titles&gt;&lt;title&gt;Modelling the impact of VED: a new approach. Retrieved from: http://www.energysavingtrust.org.uk/uploads/documents/fleet/Modelling%20the%20impact%20of%20VED.pdf&lt;/title&gt;&lt;/titles&gt;&lt;dates&gt;&lt;year&gt;2007&lt;/year&gt;&lt;/dates&gt;&lt;pub-location&gt;London&lt;/pub-location&gt;&lt;publisher&gt;Energy Savings Trust (EST)&lt;/publisher&gt;&lt;urls&gt;&lt;/urls&gt;&lt;/record&gt;&lt;/Cite&gt;&lt;/EndNote&gt;</w:instrText>
      </w:r>
      <w:r w:rsidR="00880B2F" w:rsidRPr="000D65CF">
        <w:rPr>
          <w:lang w:val="en-US"/>
        </w:rPr>
        <w:fldChar w:fldCharType="separate"/>
      </w:r>
      <w:r w:rsidR="00C2662B">
        <w:rPr>
          <w:noProof/>
          <w:lang w:val="en-US"/>
        </w:rPr>
        <w:t>(</w:t>
      </w:r>
      <w:hyperlink w:anchor="_ENREF_25" w:tooltip="EST, 2007 #845" w:history="1">
        <w:r w:rsidR="00D67197">
          <w:rPr>
            <w:noProof/>
            <w:lang w:val="en-US"/>
          </w:rPr>
          <w:t>EST, 2007</w:t>
        </w:r>
      </w:hyperlink>
      <w:r w:rsidR="00C2662B">
        <w:rPr>
          <w:noProof/>
          <w:lang w:val="en-US"/>
        </w:rPr>
        <w:t xml:space="preserve">; </w:t>
      </w:r>
      <w:hyperlink w:anchor="_ENREF_26" w:tooltip="EST and IEEP, 2004 #844" w:history="1">
        <w:r w:rsidR="00D67197">
          <w:rPr>
            <w:noProof/>
            <w:lang w:val="en-US"/>
          </w:rPr>
          <w:t>EST and IEEP, 2004</w:t>
        </w:r>
      </w:hyperlink>
      <w:r w:rsidR="00C2662B">
        <w:rPr>
          <w:noProof/>
          <w:lang w:val="en-US"/>
        </w:rPr>
        <w:t xml:space="preserve">; </w:t>
      </w:r>
      <w:hyperlink w:anchor="_ENREF_81" w:tooltip="UK DfT, 2003 #843" w:history="1">
        <w:r w:rsidR="00D67197">
          <w:rPr>
            <w:noProof/>
            <w:lang w:val="en-US"/>
          </w:rPr>
          <w:t>UK DfT, 2003</w:t>
        </w:r>
      </w:hyperlink>
      <w:r w:rsidR="00C2662B">
        <w:rPr>
          <w:noProof/>
          <w:lang w:val="en-US"/>
        </w:rPr>
        <w:t>)</w:t>
      </w:r>
      <w:r w:rsidR="00880B2F" w:rsidRPr="000D65CF">
        <w:rPr>
          <w:lang w:val="en-US"/>
        </w:rPr>
        <w:fldChar w:fldCharType="end"/>
      </w:r>
      <w:r w:rsidR="000D65CF" w:rsidRPr="000D65CF">
        <w:rPr>
          <w:lang w:val="en-US"/>
        </w:rPr>
        <w:t xml:space="preserve">. Studies on the impact of VED upon vehicle purchasing </w:t>
      </w:r>
      <w:r w:rsidR="00C11050" w:rsidRPr="000D65CF">
        <w:rPr>
          <w:lang w:val="en-US"/>
        </w:rPr>
        <w:t>behavior</w:t>
      </w:r>
      <w:r w:rsidR="000D65CF" w:rsidRPr="000D65CF">
        <w:rPr>
          <w:lang w:val="en-US"/>
        </w:rPr>
        <w:t xml:space="preserve"> in the </w:t>
      </w:r>
      <w:r>
        <w:rPr>
          <w:lang w:val="en-US"/>
        </w:rPr>
        <w:t>UK have had mixed results</w:t>
      </w:r>
      <w:r w:rsidR="000D65CF" w:rsidRPr="000D65CF">
        <w:rPr>
          <w:lang w:val="en-US"/>
        </w:rPr>
        <w:t>. A Government survey examining the potential response to greater differentials between VED bands found 33% of respondents would buy a different vehicle if the difference was GBP</w:t>
      </w:r>
      <w:r w:rsidR="00A642EF">
        <w:rPr>
          <w:lang w:val="en-US"/>
        </w:rPr>
        <w:t>6</w:t>
      </w:r>
      <w:r w:rsidR="000D65CF" w:rsidRPr="000D65CF">
        <w:rPr>
          <w:lang w:val="en-US"/>
        </w:rPr>
        <w:t xml:space="preserve">0 </w:t>
      </w:r>
      <w:r w:rsidR="00A642EF">
        <w:rPr>
          <w:lang w:val="en-US"/>
        </w:rPr>
        <w:t xml:space="preserve">(at 2009 prices) </w:t>
      </w:r>
      <w:r w:rsidR="000D65CF" w:rsidRPr="000D65CF">
        <w:rPr>
          <w:lang w:val="en-US"/>
        </w:rPr>
        <w:t>rising to 55% for a GBP</w:t>
      </w:r>
      <w:r w:rsidR="00A642EF">
        <w:rPr>
          <w:lang w:val="en-US"/>
        </w:rPr>
        <w:t>180</w:t>
      </w:r>
      <w:r w:rsidR="000D65CF" w:rsidRPr="000D65CF">
        <w:rPr>
          <w:lang w:val="en-US"/>
        </w:rPr>
        <w:t xml:space="preserve"> differential </w:t>
      </w:r>
      <w:r w:rsidR="00880B2F" w:rsidRPr="000D65CF">
        <w:rPr>
          <w:lang w:val="en-US"/>
        </w:rPr>
        <w:fldChar w:fldCharType="begin"/>
      </w:r>
      <w:r w:rsidR="00C2662B">
        <w:rPr>
          <w:lang w:val="en-US"/>
        </w:rPr>
        <w:instrText xml:space="preserve"> ADDIN EN.CITE &lt;EndNote&gt;&lt;Cite&gt;&lt;Author&gt;UK DfT&lt;/Author&gt;&lt;Year&gt;2003&lt;/Year&gt;&lt;RecNum&gt;843&lt;/RecNum&gt;&lt;DisplayText&gt;(UK DfT, 2003)&lt;/DisplayText&gt;&lt;record&gt;&lt;rec-number&gt;843&lt;/rec-number&gt;&lt;foreign-keys&gt;&lt;key app="EN" db-id="a0wpest2552swgezzsnxxwsnpp9axwswpaww"&gt;843&lt;/key&gt;&lt;/foreign-keys&gt;&lt;ref-type name="Report"&gt;27&lt;/ref-type&gt;&lt;contributors&gt;&lt;authors&gt;&lt;author&gt;UK DfT,&lt;/author&gt;&lt;/authors&gt;&lt;/contributors&gt;&lt;titles&gt;&lt;title&gt;Assessing the impact of graduated vehicle excise duty – qualitative research&lt;/title&gt;&lt;/titles&gt;&lt;dates&gt;&lt;year&gt;2003&lt;/year&gt;&lt;/dates&gt;&lt;pub-location&gt;London&lt;/pub-location&gt;&lt;publisher&gt;Department for Transport, UK&lt;/publisher&gt;&lt;urls&gt;&lt;/urls&gt;&lt;/record&gt;&lt;/Cite&gt;&lt;/EndNote&gt;</w:instrText>
      </w:r>
      <w:r w:rsidR="00880B2F" w:rsidRPr="000D65CF">
        <w:rPr>
          <w:lang w:val="en-US"/>
        </w:rPr>
        <w:fldChar w:fldCharType="separate"/>
      </w:r>
      <w:r w:rsidR="00C2662B">
        <w:rPr>
          <w:noProof/>
          <w:lang w:val="en-US"/>
        </w:rPr>
        <w:t>(</w:t>
      </w:r>
      <w:hyperlink w:anchor="_ENREF_81" w:tooltip="UK DfT, 2003 #843" w:history="1">
        <w:r w:rsidR="00D67197">
          <w:rPr>
            <w:noProof/>
            <w:lang w:val="en-US"/>
          </w:rPr>
          <w:t>UK DfT, 2003</w:t>
        </w:r>
      </w:hyperlink>
      <w:r w:rsidR="00C2662B">
        <w:rPr>
          <w:noProof/>
          <w:lang w:val="en-US"/>
        </w:rPr>
        <w:t>)</w:t>
      </w:r>
      <w:r w:rsidR="00880B2F" w:rsidRPr="000D65CF">
        <w:rPr>
          <w:lang w:val="en-US"/>
        </w:rPr>
        <w:fldChar w:fldCharType="end"/>
      </w:r>
      <w:r w:rsidR="000D65CF" w:rsidRPr="000D65CF">
        <w:rPr>
          <w:lang w:val="en-US"/>
        </w:rPr>
        <w:t xml:space="preserve">. The highest difference offered in the survey was </w:t>
      </w:r>
      <w:proofErr w:type="gramStart"/>
      <w:r w:rsidR="000D65CF" w:rsidRPr="000D65CF">
        <w:rPr>
          <w:lang w:val="en-US"/>
        </w:rPr>
        <w:t>GBP</w:t>
      </w:r>
      <w:r w:rsidR="00A642EF">
        <w:rPr>
          <w:lang w:val="en-US"/>
        </w:rPr>
        <w:t>360</w:t>
      </w:r>
      <w:proofErr w:type="gramEnd"/>
      <w:r w:rsidR="000D65CF" w:rsidRPr="000D65CF">
        <w:rPr>
          <w:lang w:val="en-US"/>
        </w:rPr>
        <w:t xml:space="preserve"> at which point 28% would not switch, rising to 40% for those owning larger vehicles. Conversely, only 3% of respondents stated that VED was important in influencing purchase choice whereas the second most frequently mentioned influence was fuel consumption at 26%. </w:t>
      </w:r>
      <w:r w:rsidR="00A642EF" w:rsidRPr="000D65CF">
        <w:rPr>
          <w:lang w:val="en-US"/>
        </w:rPr>
        <w:t>In contrast, a survey for the RAC Foundation found that annual costs would hav</w:t>
      </w:r>
      <w:r w:rsidR="00A642EF">
        <w:rPr>
          <w:lang w:val="en-US"/>
        </w:rPr>
        <w:t>e to increase by at least GBP1,2</w:t>
      </w:r>
      <w:r w:rsidR="00A642EF" w:rsidRPr="000D65CF">
        <w:rPr>
          <w:lang w:val="en-US"/>
        </w:rPr>
        <w:t xml:space="preserve">00 before consumers would switch to more efficient vehicles </w:t>
      </w:r>
      <w:r w:rsidR="00880B2F" w:rsidRPr="000D65CF">
        <w:rPr>
          <w:lang w:val="en-US"/>
        </w:rPr>
        <w:fldChar w:fldCharType="begin"/>
      </w:r>
      <w:r w:rsidR="00C2662B">
        <w:rPr>
          <w:lang w:val="en-US"/>
        </w:rPr>
        <w:instrText xml:space="preserve"> ADDIN EN.CITE &lt;EndNote&gt;&lt;Cite&gt;&lt;Author&gt;Lane&lt;/Author&gt;&lt;Year&gt;2005&lt;/Year&gt;&lt;RecNum&gt;846&lt;/RecNum&gt;&lt;DisplayText&gt;(Lane, 2005)&lt;/DisplayText&gt;&lt;record&gt;&lt;rec-number&gt;846&lt;/rec-number&gt;&lt;foreign-keys&gt;&lt;key app="EN" db-id="a0wpest2552swgezzsnxxwsnpp9axwswpaww"&gt;846&lt;/key&gt;&lt;/foreign-keys&gt;&lt;ref-type name="Conference Paper"&gt;47&lt;/ref-type&gt;&lt;contributors&gt;&lt;authors&gt;&lt;author&gt;Lane, Ben&lt;/author&gt;&lt;/authors&gt;&lt;/contributors&gt;&lt;titles&gt;&lt;title&gt;Consumer attitudes to low carbon and fuel efficient passenger cars&lt;/title&gt;&lt;secondary-title&gt;Low Carbon Vehicle Partnership&lt;/secondary-title&gt;&lt;/titles&gt;&lt;dates&gt;&lt;year&gt;2005&lt;/year&gt;&lt;/dates&gt;&lt;pub-location&gt;London&lt;/pub-location&gt;&lt;urls&gt;&lt;/urls&gt;&lt;/record&gt;&lt;/Cite&gt;&lt;/EndNote&gt;</w:instrText>
      </w:r>
      <w:r w:rsidR="00880B2F" w:rsidRPr="000D65CF">
        <w:rPr>
          <w:lang w:val="en-US"/>
        </w:rPr>
        <w:fldChar w:fldCharType="separate"/>
      </w:r>
      <w:r w:rsidR="00C2662B">
        <w:rPr>
          <w:noProof/>
          <w:lang w:val="en-US"/>
        </w:rPr>
        <w:t>(</w:t>
      </w:r>
      <w:hyperlink w:anchor="_ENREF_52" w:tooltip="Lane, 2005 #846" w:history="1">
        <w:r w:rsidR="00D67197">
          <w:rPr>
            <w:noProof/>
            <w:lang w:val="en-US"/>
          </w:rPr>
          <w:t>Lane, 2005</w:t>
        </w:r>
      </w:hyperlink>
      <w:r w:rsidR="00C2662B">
        <w:rPr>
          <w:noProof/>
          <w:lang w:val="en-US"/>
        </w:rPr>
        <w:t>)</w:t>
      </w:r>
      <w:r w:rsidR="00880B2F" w:rsidRPr="000D65CF">
        <w:rPr>
          <w:lang w:val="en-US"/>
        </w:rPr>
        <w:fldChar w:fldCharType="end"/>
      </w:r>
      <w:r w:rsidR="00A642EF" w:rsidRPr="000D65CF">
        <w:rPr>
          <w:lang w:val="en-US"/>
        </w:rPr>
        <w:t>.</w:t>
      </w:r>
      <w:r w:rsidR="00A642EF">
        <w:rPr>
          <w:lang w:val="en-US"/>
        </w:rPr>
        <w:t xml:space="preserve"> However, a</w:t>
      </w:r>
      <w:r w:rsidR="000D65CF" w:rsidRPr="000D65CF">
        <w:rPr>
          <w:lang w:val="en-US"/>
        </w:rPr>
        <w:t>s the survey</w:t>
      </w:r>
      <w:r w:rsidR="00A642EF">
        <w:rPr>
          <w:lang w:val="en-US"/>
        </w:rPr>
        <w:t>s</w:t>
      </w:r>
      <w:r w:rsidR="000D65CF" w:rsidRPr="000D65CF">
        <w:rPr>
          <w:lang w:val="en-US"/>
        </w:rPr>
        <w:t xml:space="preserve"> </w:t>
      </w:r>
      <w:r w:rsidR="00A642EF">
        <w:rPr>
          <w:lang w:val="en-US"/>
        </w:rPr>
        <w:t>are</w:t>
      </w:r>
      <w:r w:rsidR="000D65CF" w:rsidRPr="000D65CF">
        <w:rPr>
          <w:lang w:val="en-US"/>
        </w:rPr>
        <w:t xml:space="preserve"> somewhat dated – performed when graduated VED was first introduced – it is possible that consumer perceptions and preferences have changed. </w:t>
      </w:r>
    </w:p>
    <w:p w14:paraId="535ADD59" w14:textId="77777777" w:rsidR="00697B23" w:rsidRPr="00C64BF5" w:rsidRDefault="00697B23" w:rsidP="0098753B">
      <w:pPr>
        <w:rPr>
          <w:lang w:val="en-US"/>
        </w:rPr>
      </w:pPr>
    </w:p>
    <w:p w14:paraId="5FEA9139" w14:textId="77777777" w:rsidR="008A36A2" w:rsidRPr="00C64BF5" w:rsidRDefault="000D65CF" w:rsidP="000A40E7">
      <w:pPr>
        <w:pStyle w:val="Heading2"/>
        <w:rPr>
          <w:lang w:val="en-US"/>
        </w:rPr>
      </w:pPr>
      <w:r w:rsidRPr="000D65CF">
        <w:rPr>
          <w:lang w:val="en-US"/>
        </w:rPr>
        <w:t xml:space="preserve">2.3 </w:t>
      </w:r>
      <w:r w:rsidR="00CF3C00">
        <w:rPr>
          <w:lang w:val="en-US"/>
        </w:rPr>
        <w:t xml:space="preserve">Vehicle </w:t>
      </w:r>
      <w:r w:rsidRPr="000D65CF">
        <w:rPr>
          <w:lang w:val="en-US"/>
        </w:rPr>
        <w:t>Scrappage Schemes</w:t>
      </w:r>
    </w:p>
    <w:p w14:paraId="44D21525" w14:textId="38C89C2F" w:rsidR="00C8593A" w:rsidRPr="00C64BF5" w:rsidRDefault="000D65CF" w:rsidP="0098753B">
      <w:pPr>
        <w:rPr>
          <w:lang w:val="en-US"/>
        </w:rPr>
      </w:pPr>
      <w:r w:rsidRPr="000D65CF">
        <w:rPr>
          <w:lang w:val="en-US"/>
        </w:rPr>
        <w:t xml:space="preserve">Vehicle scrappage schemes are a </w:t>
      </w:r>
      <w:r w:rsidRPr="000D65CF">
        <w:rPr>
          <w:rFonts w:eastAsia="Cambria"/>
          <w:lang w:val="en-US"/>
        </w:rPr>
        <w:t xml:space="preserve">financial incentive </w:t>
      </w:r>
      <w:r w:rsidRPr="000D65CF">
        <w:rPr>
          <w:lang w:val="en-US"/>
        </w:rPr>
        <w:t xml:space="preserve">for </w:t>
      </w:r>
      <w:r w:rsidRPr="000D65CF">
        <w:rPr>
          <w:rFonts w:eastAsia="Cambria"/>
          <w:lang w:val="en-US"/>
        </w:rPr>
        <w:t>drivers of older vehicles to premat</w:t>
      </w:r>
      <w:r w:rsidRPr="000D65CF">
        <w:rPr>
          <w:lang w:val="en-US"/>
        </w:rPr>
        <w:t xml:space="preserve">urely remove their vehicle off </w:t>
      </w:r>
      <w:r w:rsidRPr="000D65CF">
        <w:rPr>
          <w:rFonts w:eastAsia="Cambria"/>
          <w:lang w:val="en-US"/>
        </w:rPr>
        <w:t>the road before the</w:t>
      </w:r>
      <w:r w:rsidRPr="000D65CF">
        <w:rPr>
          <w:lang w:val="en-US"/>
        </w:rPr>
        <w:t xml:space="preserve"> vehicle’s lifespan is completed</w:t>
      </w:r>
      <w:r w:rsidRPr="000D65CF">
        <w:rPr>
          <w:rFonts w:eastAsia="Cambria"/>
          <w:lang w:val="en-US"/>
        </w:rPr>
        <w:t xml:space="preserve">. Vehicle scrappage schemes </w:t>
      </w:r>
      <w:r w:rsidRPr="000D65CF">
        <w:rPr>
          <w:lang w:val="en-US"/>
        </w:rPr>
        <w:t xml:space="preserve">therefore </w:t>
      </w:r>
      <w:r w:rsidRPr="000D65CF">
        <w:rPr>
          <w:rFonts w:eastAsia="Cambria"/>
          <w:lang w:val="en-US"/>
        </w:rPr>
        <w:t xml:space="preserve">target older vehicles, which often have </w:t>
      </w:r>
      <w:r w:rsidRPr="000D65CF">
        <w:rPr>
          <w:lang w:val="en-US"/>
        </w:rPr>
        <w:t xml:space="preserve">lower fuel efficiency and </w:t>
      </w:r>
      <w:r w:rsidRPr="000D65CF">
        <w:rPr>
          <w:rFonts w:eastAsia="Cambria"/>
          <w:lang w:val="en-US"/>
        </w:rPr>
        <w:t xml:space="preserve">higher carbon emissions </w:t>
      </w:r>
      <w:r w:rsidR="00E36B50">
        <w:rPr>
          <w:lang w:val="en-US"/>
        </w:rPr>
        <w:t>than newer vehicles.</w:t>
      </w:r>
      <w:r w:rsidRPr="000D65CF">
        <w:rPr>
          <w:lang w:val="en-US"/>
        </w:rPr>
        <w:t xml:space="preserve"> There are typically two broad categories of scrappage schemes: (1) </w:t>
      </w:r>
      <w:r w:rsidRPr="00E36B50">
        <w:rPr>
          <w:rFonts w:eastAsia="Cambria"/>
          <w:i/>
          <w:lang w:val="en-US"/>
        </w:rPr>
        <w:t>Cash-for-Scrappage</w:t>
      </w:r>
      <w:r w:rsidRPr="000D65CF">
        <w:rPr>
          <w:lang w:val="en-US"/>
        </w:rPr>
        <w:t xml:space="preserve">, which is </w:t>
      </w:r>
      <w:r w:rsidRPr="000D65CF">
        <w:rPr>
          <w:rFonts w:eastAsia="Cambria"/>
          <w:lang w:val="en-US"/>
        </w:rPr>
        <w:t xml:space="preserve">a payment offered to </w:t>
      </w:r>
      <w:r w:rsidRPr="000D65CF">
        <w:rPr>
          <w:lang w:val="en-US"/>
        </w:rPr>
        <w:t xml:space="preserve">consumers </w:t>
      </w:r>
      <w:r w:rsidRPr="000D65CF">
        <w:rPr>
          <w:rFonts w:eastAsia="Cambria"/>
          <w:lang w:val="en-US"/>
        </w:rPr>
        <w:t xml:space="preserve">for their vehicle regardless </w:t>
      </w:r>
      <w:r w:rsidRPr="000D65CF">
        <w:rPr>
          <w:lang w:val="en-US"/>
        </w:rPr>
        <w:t xml:space="preserve">of how the consumer replaces the scrapped vehicle, and (2) </w:t>
      </w:r>
      <w:r w:rsidRPr="00E36B50">
        <w:rPr>
          <w:rFonts w:eastAsia="Cambria"/>
          <w:i/>
          <w:lang w:val="en-US"/>
        </w:rPr>
        <w:t>Cash-for-Replacement</w:t>
      </w:r>
      <w:r w:rsidRPr="000D65CF">
        <w:rPr>
          <w:lang w:val="en-US"/>
        </w:rPr>
        <w:t xml:space="preserve">, which is </w:t>
      </w:r>
      <w:r w:rsidRPr="000D65CF">
        <w:rPr>
          <w:rFonts w:eastAsia="Cambria"/>
          <w:lang w:val="en-US"/>
        </w:rPr>
        <w:t xml:space="preserve">a payment conditional upon </w:t>
      </w:r>
      <w:r w:rsidRPr="000D65CF">
        <w:rPr>
          <w:lang w:val="en-US"/>
        </w:rPr>
        <w:t>the consumer replacing the scrapped vehicle with a specific type of vehicle</w:t>
      </w:r>
      <w:r w:rsidRPr="000D65CF">
        <w:rPr>
          <w:rFonts w:eastAsia="Cambria"/>
          <w:lang w:val="en-US"/>
        </w:rPr>
        <w:t>, typically, bu</w:t>
      </w:r>
      <w:r w:rsidRPr="000D65CF">
        <w:rPr>
          <w:lang w:val="en-US"/>
        </w:rPr>
        <w:t xml:space="preserve">t not necessarily, a new car </w:t>
      </w:r>
      <w:r w:rsidR="00880B2F" w:rsidRPr="000D65CF">
        <w:rPr>
          <w:lang w:val="en-US"/>
        </w:rPr>
        <w:fldChar w:fldCharType="begin"/>
      </w:r>
      <w:r w:rsidR="00C2662B">
        <w:rPr>
          <w:lang w:val="en-US"/>
        </w:rPr>
        <w:instrText xml:space="preserve"> ADDIN EN.CITE &lt;EndNote&gt;&lt;Cite&gt;&lt;Author&gt;CEMT&lt;/Author&gt;&lt;Year&gt;1999&lt;/Year&gt;&lt;RecNum&gt;847&lt;/RecNum&gt;&lt;DisplayText&gt;(CEMT, 1999)&lt;/DisplayText&gt;&lt;record&gt;&lt;rec-number&gt;847&lt;/rec-number&gt;&lt;foreign-keys&gt;&lt;key app="EN" db-id="a0wpest2552swgezzsnxxwsnpp9axwswpaww"&gt;847&lt;/key&gt;&lt;/foreign-keys&gt;&lt;ref-type name="Report"&gt;27&lt;/ref-type&gt;&lt;contributors&gt;&lt;authors&gt;&lt;author&gt;CEMT&lt;/author&gt;&lt;/authors&gt;&lt;/contributors&gt;&lt;titles&gt;&lt;title&gt;Conclusions and Recommendations on Scrappage Schemes and Their Role in Improving the Environmental Performance of the Car Fleet, Retrieved at: http://www.cemt.org/topics/env/CM9926Fe.pdf&lt;/title&gt;&lt;/titles&gt;&lt;dates&gt;&lt;year&gt;1999&lt;/year&gt;&lt;/dates&gt;&lt;pub-location&gt;Paris&lt;/pub-location&gt;&lt;publisher&gt;Conférence Européenne des Ministres des Transports (CEMT)&lt;/publisher&gt;&lt;urls&gt;&lt;/urls&gt;&lt;/record&gt;&lt;/Cite&gt;&lt;/EndNote&gt;</w:instrText>
      </w:r>
      <w:r w:rsidR="00880B2F" w:rsidRPr="000D65CF">
        <w:rPr>
          <w:lang w:val="en-US"/>
        </w:rPr>
        <w:fldChar w:fldCharType="separate"/>
      </w:r>
      <w:r w:rsidR="00C2662B">
        <w:rPr>
          <w:noProof/>
          <w:lang w:val="en-US"/>
        </w:rPr>
        <w:t>(</w:t>
      </w:r>
      <w:hyperlink w:anchor="_ENREF_15" w:tooltip="CEMT, 1999 #847" w:history="1">
        <w:r w:rsidR="00D67197">
          <w:rPr>
            <w:noProof/>
            <w:lang w:val="en-US"/>
          </w:rPr>
          <w:t>CEMT, 1999</w:t>
        </w:r>
      </w:hyperlink>
      <w:r w:rsidR="00C2662B">
        <w:rPr>
          <w:noProof/>
          <w:lang w:val="en-US"/>
        </w:rPr>
        <w:t>)</w:t>
      </w:r>
      <w:r w:rsidR="00880B2F" w:rsidRPr="000D65CF">
        <w:rPr>
          <w:lang w:val="en-US"/>
        </w:rPr>
        <w:fldChar w:fldCharType="end"/>
      </w:r>
      <w:r w:rsidRPr="000D65CF">
        <w:rPr>
          <w:rFonts w:eastAsia="Cambria"/>
          <w:lang w:val="en-US"/>
        </w:rPr>
        <w:t xml:space="preserve">.  </w:t>
      </w:r>
      <w:r w:rsidRPr="000D65CF">
        <w:rPr>
          <w:lang w:val="en-US"/>
        </w:rPr>
        <w:t>A number of schemes were introduced in Europe (Germany, France, Italy, UK) and North America following the global economic downturn in 2008/09</w:t>
      </w:r>
      <w:r w:rsidR="00CF3C00">
        <w:rPr>
          <w:lang w:val="en-US"/>
        </w:rPr>
        <w:t xml:space="preserve"> </w:t>
      </w:r>
      <w:r w:rsidR="00880B2F">
        <w:rPr>
          <w:lang w:val="en-US"/>
        </w:rPr>
        <w:fldChar w:fldCharType="begin"/>
      </w:r>
      <w:r w:rsidR="00C2662B">
        <w:rPr>
          <w:lang w:val="en-US"/>
        </w:rPr>
        <w:instrText xml:space="preserve"> ADDIN EN.CITE &lt;EndNote&gt;&lt;Cite&gt;&lt;Author&gt;ITF&lt;/Author&gt;&lt;Year&gt;2011&lt;/Year&gt;&lt;RecNum&gt;935&lt;/RecNum&gt;&lt;DisplayText&gt;(Foster and Langer, 2011; ITF, 2011)&lt;/DisplayText&gt;&lt;record&gt;&lt;rec-number&gt;935&lt;/rec-number&gt;&lt;foreign-keys&gt;&lt;key app="EN" db-id="a0wpest2552swgezzsnxxwsnpp9axwswpaww"&gt;935&lt;/key&gt;&lt;/foreign-keys&gt;&lt;ref-type name="Report"&gt;27&lt;/ref-type&gt;&lt;contributors&gt;&lt;authors&gt;&lt;author&gt;ITF&lt;/author&gt;&lt;/authors&gt;&lt;/contributors&gt;&lt;titles&gt;&lt;title&gt;Car Fleet Renewal Schemes: Environmental and Safety Impacts&lt;/title&gt;&lt;/titles&gt;&lt;dates&gt;&lt;year&gt;2011&lt;/year&gt;&lt;/dates&gt;&lt;pub-location&gt;France&lt;/pub-location&gt;&lt;publisher&gt;International Transport Forum/OECD&lt;/publisher&gt;&lt;urls&gt;&lt;/urls&gt;&lt;/record&gt;&lt;/Cite&gt;&lt;Cite&gt;&lt;Author&gt;Foster&lt;/Author&gt;&lt;Year&gt;2011&lt;/Year&gt;&lt;RecNum&gt;936&lt;/RecNum&gt;&lt;record&gt;&lt;rec-number&gt;936&lt;/rec-number&gt;&lt;foreign-keys&gt;&lt;key app="EN" db-id="a0wpest2552swgezzsnxxwsnpp9axwswpaww"&gt;936&lt;/key&gt;&lt;/foreign-keys&gt;&lt;ref-type name="Report"&gt;27&lt;/ref-type&gt;&lt;contributors&gt;&lt;authors&gt;&lt;author&gt;Foster, B.&lt;/author&gt;&lt;author&gt;Langer, T.&lt;/author&gt;&lt;/authors&gt;&lt;/contributors&gt;&lt;titles&gt;&lt;title&gt;Cash for Clunkers: A missed opportunity for fuel economy gains. Report No. T112&lt;/title&gt;&lt;/titles&gt;&lt;dates&gt;&lt;year&gt;2011&lt;/year&gt;&lt;/dates&gt;&lt;pub-location&gt;Washington DC&lt;/pub-location&gt;&lt;publisher&gt;American Council for an Energy Efficient Economy&lt;/publisher&gt;&lt;urls&gt;&lt;/urls&gt;&lt;/record&gt;&lt;/Cite&gt;&lt;/EndNote&gt;</w:instrText>
      </w:r>
      <w:r w:rsidR="00880B2F">
        <w:rPr>
          <w:lang w:val="en-US"/>
        </w:rPr>
        <w:fldChar w:fldCharType="separate"/>
      </w:r>
      <w:r w:rsidR="00C2662B">
        <w:rPr>
          <w:noProof/>
          <w:lang w:val="en-US"/>
        </w:rPr>
        <w:t>(</w:t>
      </w:r>
      <w:hyperlink w:anchor="_ENREF_29" w:tooltip="Foster, 2011 #936" w:history="1">
        <w:r w:rsidR="00D67197">
          <w:rPr>
            <w:noProof/>
            <w:lang w:val="en-US"/>
          </w:rPr>
          <w:t>Foster and Langer, 2011</w:t>
        </w:r>
      </w:hyperlink>
      <w:r w:rsidR="00C2662B">
        <w:rPr>
          <w:noProof/>
          <w:lang w:val="en-US"/>
        </w:rPr>
        <w:t xml:space="preserve">; </w:t>
      </w:r>
      <w:hyperlink w:anchor="_ENREF_47" w:tooltip="ITF, 2011 #935" w:history="1">
        <w:r w:rsidR="00D67197">
          <w:rPr>
            <w:noProof/>
            <w:lang w:val="en-US"/>
          </w:rPr>
          <w:t>ITF, 2011</w:t>
        </w:r>
      </w:hyperlink>
      <w:r w:rsidR="00C2662B">
        <w:rPr>
          <w:noProof/>
          <w:lang w:val="en-US"/>
        </w:rPr>
        <w:t>)</w:t>
      </w:r>
      <w:r w:rsidR="00880B2F">
        <w:rPr>
          <w:lang w:val="en-US"/>
        </w:rPr>
        <w:fldChar w:fldCharType="end"/>
      </w:r>
      <w:r w:rsidR="00CF3C00">
        <w:rPr>
          <w:lang w:val="en-US"/>
        </w:rPr>
        <w:t>.</w:t>
      </w:r>
      <w:r w:rsidRPr="000D65CF">
        <w:rPr>
          <w:lang w:val="en-US"/>
        </w:rPr>
        <w:t xml:space="preserve"> The USA’s </w:t>
      </w:r>
      <w:r w:rsidR="00CF3C00">
        <w:rPr>
          <w:lang w:val="en-US"/>
        </w:rPr>
        <w:t>“</w:t>
      </w:r>
      <w:r w:rsidRPr="000D65CF">
        <w:rPr>
          <w:lang w:val="en-US"/>
        </w:rPr>
        <w:t xml:space="preserve">Car Allowance Rebate System” (CARS) targeted </w:t>
      </w:r>
      <w:r w:rsidR="004073F6">
        <w:rPr>
          <w:lang w:val="en-US"/>
        </w:rPr>
        <w:t>“</w:t>
      </w:r>
      <w:r w:rsidRPr="000D65CF">
        <w:rPr>
          <w:lang w:val="en-US"/>
        </w:rPr>
        <w:t xml:space="preserve">gas guzzling” cars and light trucks by offering vouchers worth up to USD4,500 </w:t>
      </w:r>
      <w:r w:rsidR="0064494E">
        <w:rPr>
          <w:lang w:val="en-US"/>
        </w:rPr>
        <w:t>(GBP2,767</w:t>
      </w:r>
      <w:r w:rsidR="0064494E">
        <w:rPr>
          <w:rStyle w:val="FootnoteReference"/>
          <w:lang w:val="en-US"/>
        </w:rPr>
        <w:footnoteReference w:id="5"/>
      </w:r>
      <w:r w:rsidR="0064494E">
        <w:rPr>
          <w:lang w:val="en-US"/>
        </w:rPr>
        <w:t xml:space="preserve">) </w:t>
      </w:r>
      <w:r w:rsidRPr="000D65CF">
        <w:rPr>
          <w:lang w:val="en-US"/>
        </w:rPr>
        <w:t>for people scrapping vehicles that do fewer than 18 miles per US gallon</w:t>
      </w:r>
      <w:r w:rsidR="0064494E">
        <w:rPr>
          <w:lang w:val="en-US"/>
        </w:rPr>
        <w:t xml:space="preserve"> (or more than 300gCO</w:t>
      </w:r>
      <w:r w:rsidR="0064494E" w:rsidRPr="0064494E">
        <w:rPr>
          <w:vertAlign w:val="subscript"/>
          <w:lang w:val="en-US"/>
        </w:rPr>
        <w:t>2</w:t>
      </w:r>
      <w:r w:rsidR="0064494E">
        <w:rPr>
          <w:lang w:val="en-US"/>
        </w:rPr>
        <w:t>/km for petrol vehicles)</w:t>
      </w:r>
      <w:r w:rsidRPr="000D65CF">
        <w:rPr>
          <w:lang w:val="en-US"/>
        </w:rPr>
        <w:t>. The UK’s Scrappage Incentive Scheme, on the other hand, was not based explicitly on any efficiency or environmen</w:t>
      </w:r>
      <w:r w:rsidR="0064494E">
        <w:rPr>
          <w:lang w:val="en-US"/>
        </w:rPr>
        <w:t>tal criteria but provided a GBP1</w:t>
      </w:r>
      <w:proofErr w:type="gramStart"/>
      <w:r w:rsidR="0064494E">
        <w:rPr>
          <w:lang w:val="en-US"/>
        </w:rPr>
        <w:t>,000</w:t>
      </w:r>
      <w:proofErr w:type="gramEnd"/>
      <w:r w:rsidRPr="000D65CF">
        <w:rPr>
          <w:lang w:val="en-US"/>
        </w:rPr>
        <w:t xml:space="preserve"> incentive, with matched funding from vehicle manufacturers, for consumers to replace their 10 year old or older vehicle (8 years in the case of </w:t>
      </w:r>
      <w:r w:rsidR="004073F6">
        <w:rPr>
          <w:lang w:val="en-US"/>
        </w:rPr>
        <w:t>vans) with a brand new vehicle</w:t>
      </w:r>
      <w:r w:rsidRPr="000D65CF">
        <w:rPr>
          <w:lang w:val="en-US"/>
        </w:rPr>
        <w:t xml:space="preserve">. The UK scheme lasted for nearly a year during 2009/10, </w:t>
      </w:r>
      <w:r w:rsidRPr="000D65CF">
        <w:rPr>
          <w:lang w:val="en-US"/>
        </w:rPr>
        <w:lastRenderedPageBreak/>
        <w:t xml:space="preserve">reportedly having generated nearly 400,000 new car registrations over the period, or about 20% of all new cars registered in the UK </w:t>
      </w:r>
      <w:r w:rsidR="00880B2F" w:rsidRPr="000D65CF">
        <w:rPr>
          <w:lang w:val="en-US"/>
        </w:rPr>
        <w:fldChar w:fldCharType="begin"/>
      </w:r>
      <w:r w:rsidR="00C2662B">
        <w:rPr>
          <w:lang w:val="en-US"/>
        </w:rPr>
        <w:instrText xml:space="preserve"> ADDIN EN.CITE &lt;EndNote&gt;&lt;Cite&gt;&lt;Author&gt;SMMT&lt;/Author&gt;&lt;Year&gt;2010&lt;/Year&gt;&lt;RecNum&gt;833&lt;/RecNum&gt;&lt;DisplayText&gt;(SMMT, 2010)&lt;/DisplayText&gt;&lt;record&gt;&lt;rec-number&gt;833&lt;/rec-number&gt;&lt;foreign-keys&gt;&lt;key app="EN" db-id="a0wpest2552swgezzsnxxwsnpp9axwswpaww"&gt;833&lt;/key&gt;&lt;/foreign-keys&gt;&lt;ref-type name="Web Page"&gt;12&lt;/ref-type&gt;&lt;contributors&gt;&lt;authors&gt;&lt;author&gt;SMMT&lt;/author&gt;&lt;/authors&gt;&lt;/contributors&gt;&lt;titles&gt;&lt;title&gt;Scrappage scheme comes to an end&lt;/title&gt;&lt;/titles&gt;&lt;number&gt;11/02/2011&lt;/number&gt;&lt;dates&gt;&lt;year&gt;2010&lt;/year&gt;&lt;/dates&gt;&lt;pub-location&gt;London&lt;/pub-location&gt;&lt;publisher&gt;Society of Motor Manufacturers and Traders (SMMT)&lt;/publisher&gt;&lt;urls&gt;&lt;related-urls&gt;&lt;url&gt;http://www.smmt.co.uk/2010/03/scrappage-scheme-comes-to-an-end/&lt;/url&gt;&lt;/related-urls&gt;&lt;/urls&gt;&lt;/record&gt;&lt;/Cite&gt;&lt;/EndNote&gt;</w:instrText>
      </w:r>
      <w:r w:rsidR="00880B2F" w:rsidRPr="000D65CF">
        <w:rPr>
          <w:lang w:val="en-US"/>
        </w:rPr>
        <w:fldChar w:fldCharType="separate"/>
      </w:r>
      <w:r w:rsidR="00C2662B">
        <w:rPr>
          <w:noProof/>
          <w:lang w:val="en-US"/>
        </w:rPr>
        <w:t>(</w:t>
      </w:r>
      <w:hyperlink w:anchor="_ENREF_69" w:tooltip="SMMT, 2010 #833" w:history="1">
        <w:r w:rsidR="00D67197">
          <w:rPr>
            <w:noProof/>
            <w:lang w:val="en-US"/>
          </w:rPr>
          <w:t>SMMT, 2010</w:t>
        </w:r>
      </w:hyperlink>
      <w:r w:rsidR="00C2662B">
        <w:rPr>
          <w:noProof/>
          <w:lang w:val="en-US"/>
        </w:rPr>
        <w:t>)</w:t>
      </w:r>
      <w:r w:rsidR="00880B2F" w:rsidRPr="000D65CF">
        <w:rPr>
          <w:lang w:val="en-US"/>
        </w:rPr>
        <w:fldChar w:fldCharType="end"/>
      </w:r>
      <w:r w:rsidRPr="000D65CF">
        <w:rPr>
          <w:lang w:val="en-US"/>
        </w:rPr>
        <w:t>.</w:t>
      </w:r>
    </w:p>
    <w:p w14:paraId="4A81F353" w14:textId="77777777" w:rsidR="00697B23" w:rsidRPr="00C64BF5" w:rsidRDefault="00697B23" w:rsidP="0098753B">
      <w:pPr>
        <w:rPr>
          <w:lang w:val="en-US"/>
        </w:rPr>
      </w:pPr>
    </w:p>
    <w:p w14:paraId="76608A8B" w14:textId="24007947" w:rsidR="008A36A2" w:rsidRPr="00C64BF5" w:rsidRDefault="000D65CF" w:rsidP="000A40E7">
      <w:pPr>
        <w:pStyle w:val="Heading2"/>
        <w:rPr>
          <w:lang w:val="en-US"/>
        </w:rPr>
      </w:pPr>
      <w:r w:rsidRPr="000D65CF">
        <w:rPr>
          <w:lang w:val="en-US"/>
        </w:rPr>
        <w:t xml:space="preserve">2.4 </w:t>
      </w:r>
      <w:r w:rsidR="00AC6516">
        <w:rPr>
          <w:lang w:val="en-US"/>
        </w:rPr>
        <w:t xml:space="preserve">Effectiveness to Reduce </w:t>
      </w:r>
      <w:r w:rsidRPr="000D65CF">
        <w:rPr>
          <w:lang w:val="en-US"/>
        </w:rPr>
        <w:t xml:space="preserve">Carbon </w:t>
      </w:r>
      <w:r w:rsidR="00AC6516">
        <w:rPr>
          <w:lang w:val="en-US"/>
        </w:rPr>
        <w:t>Emissions</w:t>
      </w:r>
      <w:r w:rsidRPr="000D65CF">
        <w:rPr>
          <w:lang w:val="en-US"/>
        </w:rPr>
        <w:t xml:space="preserve"> </w:t>
      </w:r>
    </w:p>
    <w:p w14:paraId="70AFFD11" w14:textId="3244504C" w:rsidR="00697B23" w:rsidRDefault="00AC6516" w:rsidP="0098753B">
      <w:pPr>
        <w:rPr>
          <w:lang w:val="en-US"/>
        </w:rPr>
      </w:pPr>
      <w:r>
        <w:rPr>
          <w:lang w:val="en-US"/>
        </w:rPr>
        <w:t xml:space="preserve">We briefly review </w:t>
      </w:r>
      <w:r w:rsidRPr="00AC6516">
        <w:rPr>
          <w:lang w:val="en-GB"/>
        </w:rPr>
        <w:t xml:space="preserve">the </w:t>
      </w:r>
      <w:r w:rsidR="00AC11D9">
        <w:rPr>
          <w:lang w:val="en-GB"/>
        </w:rPr>
        <w:t xml:space="preserve">observed impacts </w:t>
      </w:r>
      <w:r w:rsidRPr="00AC6516">
        <w:rPr>
          <w:lang w:val="en-GB"/>
        </w:rPr>
        <w:t xml:space="preserve">of </w:t>
      </w:r>
      <w:r>
        <w:rPr>
          <w:lang w:val="en-GB"/>
        </w:rPr>
        <w:t xml:space="preserve">the above instruments </w:t>
      </w:r>
      <w:r w:rsidRPr="00AC6516">
        <w:rPr>
          <w:lang w:val="en-GB"/>
        </w:rPr>
        <w:t xml:space="preserve">to encourage </w:t>
      </w:r>
      <w:r>
        <w:rPr>
          <w:lang w:val="en-GB"/>
        </w:rPr>
        <w:t>carbon</w:t>
      </w:r>
      <w:r w:rsidRPr="00AC6516">
        <w:rPr>
          <w:lang w:val="en-GB"/>
        </w:rPr>
        <w:t xml:space="preserve"> emissions reduction</w:t>
      </w:r>
      <w:r>
        <w:rPr>
          <w:lang w:val="en-GB"/>
        </w:rPr>
        <w:t>.</w:t>
      </w:r>
      <w:r>
        <w:rPr>
          <w:lang w:val="en-US"/>
        </w:rPr>
        <w:t xml:space="preserve">  </w:t>
      </w:r>
      <w:r w:rsidR="00AC11D9">
        <w:rPr>
          <w:lang w:val="en-US"/>
        </w:rPr>
        <w:t>First, t</w:t>
      </w:r>
      <w:r w:rsidR="000D65CF" w:rsidRPr="000D65CF">
        <w:rPr>
          <w:lang w:val="en-US"/>
        </w:rPr>
        <w:t xml:space="preserve">he </w:t>
      </w:r>
      <w:r w:rsidR="00450CDC">
        <w:rPr>
          <w:lang w:val="en-US"/>
        </w:rPr>
        <w:t>impacts</w:t>
      </w:r>
      <w:r w:rsidR="004073F6" w:rsidRPr="000D65CF">
        <w:rPr>
          <w:lang w:val="en-US"/>
        </w:rPr>
        <w:t xml:space="preserve"> of </w:t>
      </w:r>
      <w:r w:rsidR="004073F6" w:rsidRPr="000D65CF">
        <w:rPr>
          <w:b/>
          <w:lang w:val="en-US"/>
        </w:rPr>
        <w:t>VED</w:t>
      </w:r>
      <w:r w:rsidR="004073F6" w:rsidRPr="000D65CF">
        <w:rPr>
          <w:lang w:val="en-US"/>
        </w:rPr>
        <w:t xml:space="preserve"> on carbon emissions reduction are</w:t>
      </w:r>
      <w:r w:rsidR="000D65CF" w:rsidRPr="000D65CF">
        <w:rPr>
          <w:lang w:val="en-US"/>
        </w:rPr>
        <w:t xml:space="preserve"> not well understood. In 2006, an environmental excise duty was introduced in Sweden consisting of </w:t>
      </w:r>
      <w:r w:rsidR="0064494E">
        <w:rPr>
          <w:lang w:val="en-US"/>
        </w:rPr>
        <w:t>a base charge of SKR 360 (</w:t>
      </w:r>
      <w:r w:rsidR="000D65CF" w:rsidRPr="000D65CF">
        <w:rPr>
          <w:lang w:val="en-US"/>
        </w:rPr>
        <w:t>GBP30) plus a CO</w:t>
      </w:r>
      <w:r w:rsidR="000D65CF" w:rsidRPr="000D65CF">
        <w:rPr>
          <w:vertAlign w:val="subscript"/>
          <w:lang w:val="en-US"/>
        </w:rPr>
        <w:t>2</w:t>
      </w:r>
      <w:r w:rsidR="000D65CF" w:rsidRPr="000D65CF">
        <w:rPr>
          <w:lang w:val="en-US"/>
        </w:rPr>
        <w:t xml:space="preserve"> charge of SKR 15 (GBP1.3) per gram of CO</w:t>
      </w:r>
      <w:r w:rsidR="000D65CF" w:rsidRPr="000D65CF">
        <w:rPr>
          <w:vertAlign w:val="subscript"/>
          <w:lang w:val="en-US"/>
        </w:rPr>
        <w:t xml:space="preserve">2 </w:t>
      </w:r>
      <w:r w:rsidR="000D65CF" w:rsidRPr="000D65CF">
        <w:rPr>
          <w:lang w:val="en-US"/>
        </w:rPr>
        <w:t xml:space="preserve">exceeding 100 grams per </w:t>
      </w:r>
      <w:r w:rsidR="004073F6" w:rsidRPr="000D65CF">
        <w:rPr>
          <w:lang w:val="en-US"/>
        </w:rPr>
        <w:t>kilometer</w:t>
      </w:r>
      <w:r w:rsidR="000D65CF" w:rsidRPr="000D65CF">
        <w:rPr>
          <w:lang w:val="en-US"/>
        </w:rPr>
        <w:t>. This charge applies for typical gasoline passenger cars, while for alternative fuelled cars the carbon charge is SKR 10 (GBP0.85) per gCO</w:t>
      </w:r>
      <w:r w:rsidR="000D65CF" w:rsidRPr="000D65CF">
        <w:rPr>
          <w:vertAlign w:val="subscript"/>
          <w:lang w:val="en-US"/>
        </w:rPr>
        <w:t>2</w:t>
      </w:r>
      <w:r w:rsidR="000D65CF" w:rsidRPr="000D65CF">
        <w:rPr>
          <w:lang w:val="en-US"/>
        </w:rPr>
        <w:t>/km. Between 2005 and 2006 the share of lower CO</w:t>
      </w:r>
      <w:r w:rsidR="000D65CF" w:rsidRPr="000D65CF">
        <w:rPr>
          <w:vertAlign w:val="subscript"/>
          <w:lang w:val="en-US"/>
        </w:rPr>
        <w:t xml:space="preserve">2 </w:t>
      </w:r>
      <w:r w:rsidR="000D65CF" w:rsidRPr="000D65CF">
        <w:rPr>
          <w:lang w:val="en-US"/>
        </w:rPr>
        <w:t xml:space="preserve">emitting vehicles quadrupled rising from 2.9% to 12.8% </w:t>
      </w:r>
      <w:r w:rsidR="00880B2F" w:rsidRPr="000D65CF">
        <w:rPr>
          <w:lang w:val="en-US"/>
        </w:rPr>
        <w:fldChar w:fldCharType="begin"/>
      </w:r>
      <w:r w:rsidR="00C2662B">
        <w:rPr>
          <w:lang w:val="en-US"/>
        </w:rPr>
        <w:instrText xml:space="preserve"> ADDIN EN.CITE &lt;EndNote&gt;&lt;Cite&gt;&lt;Author&gt;Borup&lt;/Author&gt;&lt;Year&gt;2007&lt;/Year&gt;&lt;RecNum&gt;848&lt;/RecNum&gt;&lt;DisplayText&gt;(Borup, 2007)&lt;/DisplayText&gt;&lt;record&gt;&lt;rec-number&gt;848&lt;/rec-number&gt;&lt;foreign-keys&gt;&lt;key app="EN" db-id="a0wpest2552swgezzsnxxwsnpp9axwswpaww"&gt;848&lt;/key&gt;&lt;/foreign-keys&gt;&lt;ref-type name="Conference Paper"&gt;47&lt;/ref-type&gt;&lt;contributors&gt;&lt;authors&gt;&lt;author&gt;Borup, M.&lt;/author&gt;&lt;/authors&gt;&lt;/contributors&gt;&lt;titles&gt;&lt;title&gt;Environmental vehicle excise duty in Sweden, Retrieved from http://www.risoe.dk/rispubl/art/2007_161_paper.pdf&lt;/title&gt;&lt;secondary-title&gt;Proceedings: Cases in Sustainable Consumption and Production: Workshop of the Sustainable Consumption Research Exchange (SCORE!) Network&lt;/secondary-title&gt;&lt;/titles&gt;&lt;dates&gt;&lt;year&gt;2007&lt;/year&gt;&lt;/dates&gt;&lt;pub-location&gt;Paris, 4-5 June 2007&lt;/pub-location&gt;&lt;urls&gt;&lt;/urls&gt;&lt;/record&gt;&lt;/Cite&gt;&lt;/EndNote&gt;</w:instrText>
      </w:r>
      <w:r w:rsidR="00880B2F" w:rsidRPr="000D65CF">
        <w:rPr>
          <w:lang w:val="en-US"/>
        </w:rPr>
        <w:fldChar w:fldCharType="separate"/>
      </w:r>
      <w:r w:rsidR="00C2662B">
        <w:rPr>
          <w:noProof/>
          <w:lang w:val="en-US"/>
        </w:rPr>
        <w:t>(</w:t>
      </w:r>
      <w:hyperlink w:anchor="_ENREF_7" w:tooltip="Borup, 2007 #848" w:history="1">
        <w:r w:rsidR="00D67197">
          <w:rPr>
            <w:noProof/>
            <w:lang w:val="en-US"/>
          </w:rPr>
          <w:t>Borup, 2007</w:t>
        </w:r>
      </w:hyperlink>
      <w:r w:rsidR="00C2662B">
        <w:rPr>
          <w:noProof/>
          <w:lang w:val="en-US"/>
        </w:rPr>
        <w:t>)</w:t>
      </w:r>
      <w:r w:rsidR="00880B2F" w:rsidRPr="000D65CF">
        <w:rPr>
          <w:lang w:val="en-US"/>
        </w:rPr>
        <w:fldChar w:fldCharType="end"/>
      </w:r>
      <w:r w:rsidR="000D65CF" w:rsidRPr="000D65CF">
        <w:rPr>
          <w:lang w:val="en-US"/>
        </w:rPr>
        <w:t>. By April 2007, this figure increased to 14.3% where the amount of vehicles with emissions less than 120 gCO</w:t>
      </w:r>
      <w:r w:rsidR="000D65CF" w:rsidRPr="000D65CF">
        <w:rPr>
          <w:vertAlign w:val="subscript"/>
          <w:lang w:val="en-US"/>
        </w:rPr>
        <w:t>2</w:t>
      </w:r>
      <w:r w:rsidR="000D65CF" w:rsidRPr="000D65CF">
        <w:rPr>
          <w:lang w:val="en-US"/>
        </w:rPr>
        <w:t xml:space="preserve">/km was three times higher than in 2006. However, the impact of VED upon consumer </w:t>
      </w:r>
      <w:r w:rsidR="004073F6" w:rsidRPr="000D65CF">
        <w:rPr>
          <w:lang w:val="en-US"/>
        </w:rPr>
        <w:t>behavior</w:t>
      </w:r>
      <w:r w:rsidR="000D65CF" w:rsidRPr="000D65CF">
        <w:rPr>
          <w:lang w:val="en-US"/>
        </w:rPr>
        <w:t xml:space="preserve"> is relative given that, despite this rapid uptake of more efficient vehicles, Sweden still has among the highest levels of high CO</w:t>
      </w:r>
      <w:r w:rsidR="000D65CF" w:rsidRPr="000D65CF">
        <w:rPr>
          <w:vertAlign w:val="subscript"/>
          <w:lang w:val="en-US"/>
        </w:rPr>
        <w:t>2</w:t>
      </w:r>
      <w:r w:rsidR="000D65CF" w:rsidRPr="000D65CF">
        <w:rPr>
          <w:lang w:val="en-US"/>
        </w:rPr>
        <w:t xml:space="preserve"> emitting vehicles in Eu</w:t>
      </w:r>
      <w:r w:rsidR="004073F6">
        <w:rPr>
          <w:lang w:val="en-US"/>
        </w:rPr>
        <w:t>rope. Nevertheless, at least on</w:t>
      </w:r>
      <w:r w:rsidR="000D65CF" w:rsidRPr="000D65CF">
        <w:rPr>
          <w:lang w:val="en-US"/>
        </w:rPr>
        <w:t xml:space="preserve">e commentator has credited the Swedish excise tax as contributing to changing consumer </w:t>
      </w:r>
      <w:r w:rsidR="004073F6" w:rsidRPr="000D65CF">
        <w:rPr>
          <w:lang w:val="en-US"/>
        </w:rPr>
        <w:t>behavior</w:t>
      </w:r>
      <w:r w:rsidR="004073F6">
        <w:rPr>
          <w:lang w:val="en-US"/>
        </w:rPr>
        <w:t xml:space="preserve"> </w:t>
      </w:r>
      <w:r w:rsidR="00880B2F" w:rsidRPr="000D65CF">
        <w:rPr>
          <w:lang w:val="en-US"/>
        </w:rPr>
        <w:fldChar w:fldCharType="begin"/>
      </w:r>
      <w:r w:rsidR="00C2662B">
        <w:rPr>
          <w:lang w:val="en-US"/>
        </w:rPr>
        <w:instrText xml:space="preserve"> ADDIN EN.CITE &lt;EndNote&gt;&lt;Cite&gt;&lt;Author&gt;Borup&lt;/Author&gt;&lt;Year&gt;2007&lt;/Year&gt;&lt;RecNum&gt;848&lt;/RecNum&gt;&lt;DisplayText&gt;(Borup, 2007)&lt;/DisplayText&gt;&lt;record&gt;&lt;rec-number&gt;848&lt;/rec-number&gt;&lt;foreign-keys&gt;&lt;key app="EN" db-id="a0wpest2552swgezzsnxxwsnpp9axwswpaww"&gt;848&lt;/key&gt;&lt;/foreign-keys&gt;&lt;ref-type name="Conference Paper"&gt;47&lt;/ref-type&gt;&lt;contributors&gt;&lt;authors&gt;&lt;author&gt;Borup, M.&lt;/author&gt;&lt;/authors&gt;&lt;/contributors&gt;&lt;titles&gt;&lt;title&gt;Environmental vehicle excise duty in Sweden, Retrieved from http://www.risoe.dk/rispubl/art/2007_161_paper.pdf&lt;/title&gt;&lt;secondary-title&gt;Proceedings: Cases in Sustainable Consumption and Production: Workshop of the Sustainable Consumption Research Exchange (SCORE!) Network&lt;/secondary-title&gt;&lt;/titles&gt;&lt;dates&gt;&lt;year&gt;2007&lt;/year&gt;&lt;/dates&gt;&lt;pub-location&gt;Paris, 4-5 June 2007&lt;/pub-location&gt;&lt;urls&gt;&lt;/urls&gt;&lt;/record&gt;&lt;/Cite&gt;&lt;/EndNote&gt;</w:instrText>
      </w:r>
      <w:r w:rsidR="00880B2F" w:rsidRPr="000D65CF">
        <w:rPr>
          <w:lang w:val="en-US"/>
        </w:rPr>
        <w:fldChar w:fldCharType="separate"/>
      </w:r>
      <w:r w:rsidR="00C2662B">
        <w:rPr>
          <w:noProof/>
          <w:lang w:val="en-US"/>
        </w:rPr>
        <w:t>(</w:t>
      </w:r>
      <w:hyperlink w:anchor="_ENREF_7" w:tooltip="Borup, 2007 #848" w:history="1">
        <w:r w:rsidR="00D67197">
          <w:rPr>
            <w:noProof/>
            <w:lang w:val="en-US"/>
          </w:rPr>
          <w:t>Borup, 2007</w:t>
        </w:r>
      </w:hyperlink>
      <w:r w:rsidR="00C2662B">
        <w:rPr>
          <w:noProof/>
          <w:lang w:val="en-US"/>
        </w:rPr>
        <w:t>)</w:t>
      </w:r>
      <w:r w:rsidR="00880B2F" w:rsidRPr="000D65CF">
        <w:rPr>
          <w:lang w:val="en-US"/>
        </w:rPr>
        <w:fldChar w:fldCharType="end"/>
      </w:r>
      <w:r w:rsidR="000D65CF" w:rsidRPr="000D65CF">
        <w:rPr>
          <w:lang w:val="en-US"/>
        </w:rPr>
        <w:t xml:space="preserve">. </w:t>
      </w:r>
      <w:r w:rsidR="00292FBF">
        <w:rPr>
          <w:lang w:val="en-US"/>
        </w:rPr>
        <w:t xml:space="preserve"> </w:t>
      </w:r>
    </w:p>
    <w:p w14:paraId="2A8C57B5" w14:textId="77777777" w:rsidR="001D0FB6" w:rsidRPr="00C64BF5" w:rsidRDefault="001D0FB6" w:rsidP="0098753B">
      <w:pPr>
        <w:rPr>
          <w:lang w:val="en-US"/>
        </w:rPr>
      </w:pPr>
    </w:p>
    <w:p w14:paraId="650D8F32" w14:textId="27E304C4" w:rsidR="008A36A2" w:rsidRPr="00C64BF5" w:rsidRDefault="00AC11D9" w:rsidP="00450CDC">
      <w:pPr>
        <w:rPr>
          <w:lang w:val="en-US"/>
        </w:rPr>
      </w:pPr>
      <w:r>
        <w:rPr>
          <w:lang w:val="en-US"/>
        </w:rPr>
        <w:t>Second, e</w:t>
      </w:r>
      <w:r w:rsidR="000D65CF" w:rsidRPr="000D65CF">
        <w:rPr>
          <w:lang w:val="en-US"/>
        </w:rPr>
        <w:t xml:space="preserve">vidence </w:t>
      </w:r>
      <w:r>
        <w:rPr>
          <w:lang w:val="en-US"/>
        </w:rPr>
        <w:t>of</w:t>
      </w:r>
      <w:r w:rsidR="000D65CF" w:rsidRPr="000D65CF">
        <w:rPr>
          <w:lang w:val="en-US"/>
        </w:rPr>
        <w:t xml:space="preserve"> the </w:t>
      </w:r>
      <w:r>
        <w:rPr>
          <w:lang w:val="en-US"/>
        </w:rPr>
        <w:t>effectiveness for reducing c</w:t>
      </w:r>
      <w:r w:rsidR="000D65CF" w:rsidRPr="000D65CF">
        <w:rPr>
          <w:lang w:val="en-US"/>
        </w:rPr>
        <w:t xml:space="preserve">arbon </w:t>
      </w:r>
      <w:r>
        <w:rPr>
          <w:lang w:val="en-US"/>
        </w:rPr>
        <w:t xml:space="preserve">emissions </w:t>
      </w:r>
      <w:r w:rsidR="000D65CF" w:rsidRPr="000D65CF">
        <w:rPr>
          <w:lang w:val="en-US"/>
        </w:rPr>
        <w:t xml:space="preserve">of </w:t>
      </w:r>
      <w:r w:rsidR="000D65CF" w:rsidRPr="000D65CF">
        <w:rPr>
          <w:b/>
          <w:lang w:val="en-US"/>
        </w:rPr>
        <w:t>vehicle purchase tax</w:t>
      </w:r>
      <w:r w:rsidR="000D65CF" w:rsidRPr="000D65CF">
        <w:rPr>
          <w:lang w:val="en-US"/>
        </w:rPr>
        <w:t xml:space="preserve"> is also mixed. In Sweden, it was estimated that the restructured registration tax would reduce CO</w:t>
      </w:r>
      <w:r w:rsidR="000D65CF" w:rsidRPr="000D65CF">
        <w:rPr>
          <w:vertAlign w:val="subscript"/>
          <w:lang w:val="en-US"/>
        </w:rPr>
        <w:t>2</w:t>
      </w:r>
      <w:r w:rsidR="000D65CF" w:rsidRPr="000D65CF">
        <w:rPr>
          <w:lang w:val="en-US"/>
        </w:rPr>
        <w:t xml:space="preserve"> emissions by 5% per year over twenty years </w:t>
      </w:r>
      <w:r w:rsidR="00880B2F" w:rsidRPr="000D65CF">
        <w:rPr>
          <w:lang w:val="en-US"/>
        </w:rPr>
        <w:fldChar w:fldCharType="begin"/>
      </w:r>
      <w:r w:rsidR="00C2662B">
        <w:rPr>
          <w:lang w:val="en-US"/>
        </w:rPr>
        <w:instrText xml:space="preserve"> ADDIN EN.CITE &lt;EndNote&gt;&lt;Cite&gt;&lt;Author&gt;COWI&lt;/Author&gt;&lt;Year&gt;2002&lt;/Year&gt;&lt;RecNum&gt;853&lt;/RecNum&gt;&lt;DisplayText&gt;(COWI, 2002)&lt;/DisplayText&gt;&lt;record&gt;&lt;rec-number&gt;853&lt;/rec-number&gt;&lt;foreign-keys&gt;&lt;key app="EN" db-id="a0wpest2552swgezzsnxxwsnpp9axwswpaww"&gt;853&lt;/key&gt;&lt;/foreign-keys&gt;&lt;ref-type name="Report"&gt;27&lt;/ref-type&gt;&lt;contributors&gt;&lt;authors&gt;&lt;author&gt;COWI&lt;/author&gt;&lt;/authors&gt;&lt;/contributors&gt;&lt;titles&gt;&lt;title&gt;Fiscal Measures to Reduce CO2 Emissions from new Passenger Cars. Report to the European Commission&amp;apos;s Directorate-General for Environment&lt;/title&gt;&lt;/titles&gt;&lt;dates&gt;&lt;year&gt;2002&lt;/year&gt;&lt;/dates&gt;&lt;pub-location&gt;Brussels&lt;/pub-location&gt;&lt;publisher&gt;COWI&lt;/publisher&gt;&lt;urls&gt;&lt;/urls&gt;&lt;/record&gt;&lt;/Cite&gt;&lt;/EndNote&gt;</w:instrText>
      </w:r>
      <w:r w:rsidR="00880B2F" w:rsidRPr="000D65CF">
        <w:rPr>
          <w:lang w:val="en-US"/>
        </w:rPr>
        <w:fldChar w:fldCharType="separate"/>
      </w:r>
      <w:r w:rsidR="00C2662B">
        <w:rPr>
          <w:noProof/>
          <w:lang w:val="en-US"/>
        </w:rPr>
        <w:t>(</w:t>
      </w:r>
      <w:hyperlink w:anchor="_ENREF_16" w:tooltip="COWI, 2002 #853" w:history="1">
        <w:r w:rsidR="00D67197">
          <w:rPr>
            <w:noProof/>
            <w:lang w:val="en-US"/>
          </w:rPr>
          <w:t>COWI, 2002</w:t>
        </w:r>
      </w:hyperlink>
      <w:r w:rsidR="00C2662B">
        <w:rPr>
          <w:noProof/>
          <w:lang w:val="en-US"/>
        </w:rPr>
        <w:t>)</w:t>
      </w:r>
      <w:r w:rsidR="00880B2F" w:rsidRPr="000D65CF">
        <w:rPr>
          <w:lang w:val="en-US"/>
        </w:rPr>
        <w:fldChar w:fldCharType="end"/>
      </w:r>
      <w:r w:rsidR="000D65CF" w:rsidRPr="000D65CF">
        <w:rPr>
          <w:lang w:val="en-US"/>
        </w:rPr>
        <w:t xml:space="preserve">. However, in the shorter term (five years), savings were limited to just over 1% </w:t>
      </w:r>
      <w:r w:rsidR="00880B2F" w:rsidRPr="000D65CF">
        <w:rPr>
          <w:lang w:val="en-US"/>
        </w:rPr>
        <w:fldChar w:fldCharType="begin"/>
      </w:r>
      <w:r w:rsidR="00C2662B">
        <w:rPr>
          <w:lang w:val="en-US"/>
        </w:rPr>
        <w:instrText xml:space="preserve"> ADDIN EN.CITE &lt;EndNote&gt;&lt;Cite&gt;&lt;Author&gt;TNO&lt;/Author&gt;&lt;Year&gt;2006&lt;/Year&gt;&lt;RecNum&gt;837&lt;/RecNum&gt;&lt;DisplayText&gt;(TNO, 2006)&lt;/DisplayText&gt;&lt;record&gt;&lt;rec-number&gt;837&lt;/rec-number&gt;&lt;foreign-keys&gt;&lt;key app="EN" db-id="a0wpest2552swgezzsnxxwsnpp9axwswpaww"&gt;837&lt;/key&gt;&lt;/foreign-keys&gt;&lt;ref-type name="Report"&gt;27&lt;/ref-type&gt;&lt;contributors&gt;&lt;authors&gt;&lt;author&gt;TNO&lt;/author&gt;&lt;/authors&gt;&lt;/contributors&gt;&lt;titles&gt;&lt;title&gt;Review and analysis of the reduction potential and costs of technological and other measures to reduce CO2-emissions from passenger cars, Retrieved at http://ec.europa.eu/enterprise/sectors/automotive/files/projects/report_co2_reduction_en.pdf on 10/02/11&lt;/title&gt;&lt;/titles&gt;&lt;dates&gt;&lt;year&gt;2006&lt;/year&gt;&lt;/dates&gt;&lt;pub-location&gt;Delft&lt;/pub-location&gt;&lt;publisher&gt;TNO Science and Industry business unit&lt;/publisher&gt;&lt;urls&gt;&lt;/urls&gt;&lt;/record&gt;&lt;/Cite&gt;&lt;/EndNote&gt;</w:instrText>
      </w:r>
      <w:r w:rsidR="00880B2F" w:rsidRPr="000D65CF">
        <w:rPr>
          <w:lang w:val="en-US"/>
        </w:rPr>
        <w:fldChar w:fldCharType="separate"/>
      </w:r>
      <w:r w:rsidR="00C2662B">
        <w:rPr>
          <w:noProof/>
          <w:lang w:val="en-US"/>
        </w:rPr>
        <w:t>(</w:t>
      </w:r>
      <w:hyperlink w:anchor="_ENREF_75" w:tooltip="TNO, 2006 #837" w:history="1">
        <w:r w:rsidR="00D67197">
          <w:rPr>
            <w:noProof/>
            <w:lang w:val="en-US"/>
          </w:rPr>
          <w:t>TNO, 2006</w:t>
        </w:r>
      </w:hyperlink>
      <w:r w:rsidR="00C2662B">
        <w:rPr>
          <w:noProof/>
          <w:lang w:val="en-US"/>
        </w:rPr>
        <w:t>)</w:t>
      </w:r>
      <w:r w:rsidR="00880B2F" w:rsidRPr="000D65CF">
        <w:rPr>
          <w:lang w:val="en-US"/>
        </w:rPr>
        <w:fldChar w:fldCharType="end"/>
      </w:r>
      <w:r w:rsidR="000D65CF" w:rsidRPr="000D65CF">
        <w:rPr>
          <w:lang w:val="en-US"/>
        </w:rPr>
        <w:t xml:space="preserve">. In the Netherlands, </w:t>
      </w:r>
      <w:r w:rsidR="00450CDC">
        <w:rPr>
          <w:lang w:val="en-US"/>
        </w:rPr>
        <w:t xml:space="preserve">the </w:t>
      </w:r>
      <w:r w:rsidR="000D65CF" w:rsidRPr="000D65CF">
        <w:rPr>
          <w:lang w:val="en-US"/>
        </w:rPr>
        <w:t xml:space="preserve">car </w:t>
      </w:r>
      <w:r w:rsidR="00450CDC">
        <w:rPr>
          <w:lang w:val="en-US"/>
        </w:rPr>
        <w:t xml:space="preserve">purchase </w:t>
      </w:r>
      <w:r w:rsidR="000D65CF" w:rsidRPr="000D65CF">
        <w:rPr>
          <w:lang w:val="en-US"/>
        </w:rPr>
        <w:t>tax was estimated to reduce 0.6-1 MtCO</w:t>
      </w:r>
      <w:r w:rsidR="000D65CF" w:rsidRPr="000D65CF">
        <w:rPr>
          <w:vertAlign w:val="subscript"/>
          <w:lang w:val="en-US"/>
        </w:rPr>
        <w:t>2</w:t>
      </w:r>
      <w:r w:rsidR="000D65CF" w:rsidRPr="000D65CF">
        <w:rPr>
          <w:lang w:val="en-US"/>
        </w:rPr>
        <w:t xml:space="preserve"> per yea</w:t>
      </w:r>
      <w:r w:rsidR="00450CDC">
        <w:rPr>
          <w:lang w:val="en-US"/>
        </w:rPr>
        <w:t xml:space="preserve">r representing 2 to 3% of total </w:t>
      </w:r>
      <w:r w:rsidR="000D65CF" w:rsidRPr="000D65CF">
        <w:rPr>
          <w:lang w:val="en-US"/>
        </w:rPr>
        <w:t xml:space="preserve">transport carbon emissions </w:t>
      </w:r>
      <w:r w:rsidR="00880B2F" w:rsidRPr="000D65CF">
        <w:rPr>
          <w:lang w:val="en-US"/>
        </w:rPr>
        <w:fldChar w:fldCharType="begin"/>
      </w:r>
      <w:r w:rsidR="00C2662B">
        <w:rPr>
          <w:lang w:val="en-US"/>
        </w:rPr>
        <w:instrText xml:space="preserve"> ADDIN EN.CITE &lt;EndNote&gt;&lt;Cite&gt;&lt;Author&gt;Harmsen&lt;/Author&gt;&lt;Year&gt;2003&lt;/Year&gt;&lt;RecNum&gt;839&lt;/RecNum&gt;&lt;DisplayText&gt;(Harmsen et al., 2003)&lt;/DisplayText&gt;&lt;record&gt;&lt;rec-number&gt;839&lt;/rec-number&gt;&lt;foreign-keys&gt;&lt;key app="EN" db-id="a0wpest2552swgezzsnxxwsnpp9axwswpaww"&gt;839&lt;/key&gt;&lt;/foreign-keys&gt;&lt;ref-type name="Report"&gt;27&lt;/ref-type&gt;&lt;contributors&gt;&lt;authors&gt;&lt;author&gt;Harmsen, R.&lt;/author&gt;&lt;author&gt;Kroon, P.&lt;/author&gt;&lt;author&gt;Ybema, J.R.&lt;/author&gt;&lt;author&gt;Jespersen, M.S.&lt;/author&gt;&lt;author&gt;Jordal-Jørgensen, J.&lt;/author&gt;&lt;/authors&gt;&lt;/contributors&gt;&lt;titles&gt;&lt;title&gt;International CO2 policy benchmark for the road transport sector: result of a pilot study, ECN 7.7484&lt;/title&gt;&lt;/titles&gt;&lt;dates&gt;&lt;year&gt;2003&lt;/year&gt;&lt;/dates&gt;&lt;pub-location&gt;Netherlands&lt;/pub-location&gt;&lt;publisher&gt;ECN&lt;/publisher&gt;&lt;urls&gt;&lt;/urls&gt;&lt;/record&gt;&lt;/Cite&gt;&lt;/EndNote&gt;</w:instrText>
      </w:r>
      <w:r w:rsidR="00880B2F" w:rsidRPr="000D65CF">
        <w:rPr>
          <w:lang w:val="en-US"/>
        </w:rPr>
        <w:fldChar w:fldCharType="separate"/>
      </w:r>
      <w:r w:rsidR="00C2662B">
        <w:rPr>
          <w:noProof/>
          <w:lang w:val="en-US"/>
        </w:rPr>
        <w:t>(</w:t>
      </w:r>
      <w:hyperlink w:anchor="_ENREF_40" w:tooltip="Harmsen, 2003 #839" w:history="1">
        <w:r w:rsidR="00D67197">
          <w:rPr>
            <w:noProof/>
            <w:lang w:val="en-US"/>
          </w:rPr>
          <w:t>Harmsen et al., 2003</w:t>
        </w:r>
      </w:hyperlink>
      <w:r w:rsidR="00C2662B">
        <w:rPr>
          <w:noProof/>
          <w:lang w:val="en-US"/>
        </w:rPr>
        <w:t>)</w:t>
      </w:r>
      <w:r w:rsidR="00880B2F" w:rsidRPr="000D65CF">
        <w:rPr>
          <w:lang w:val="en-US"/>
        </w:rPr>
        <w:fldChar w:fldCharType="end"/>
      </w:r>
      <w:r w:rsidR="000D65CF" w:rsidRPr="000D65CF">
        <w:rPr>
          <w:lang w:val="en-US"/>
        </w:rPr>
        <w:t xml:space="preserve">. </w:t>
      </w:r>
      <w:r w:rsidR="00450CDC">
        <w:rPr>
          <w:lang w:val="en-US"/>
        </w:rPr>
        <w:t xml:space="preserve">However, this estimate was </w:t>
      </w:r>
      <w:r w:rsidR="00450CDC" w:rsidRPr="00450CDC">
        <w:rPr>
          <w:lang w:val="en-US"/>
        </w:rPr>
        <w:t>based on a comparison of the average</w:t>
      </w:r>
      <w:r w:rsidR="00450CDC">
        <w:rPr>
          <w:lang w:val="en-US"/>
        </w:rPr>
        <w:t xml:space="preserve"> </w:t>
      </w:r>
      <w:r w:rsidR="00450CDC" w:rsidRPr="00450CDC">
        <w:rPr>
          <w:lang w:val="en-US"/>
        </w:rPr>
        <w:t>car size in the Netherlands compared to the average size in countries without purchase</w:t>
      </w:r>
      <w:r w:rsidR="00450CDC">
        <w:rPr>
          <w:lang w:val="en-US"/>
        </w:rPr>
        <w:t xml:space="preserve"> </w:t>
      </w:r>
      <w:r w:rsidR="00450CDC" w:rsidRPr="00450CDC">
        <w:rPr>
          <w:lang w:val="en-US"/>
        </w:rPr>
        <w:t>tax</w:t>
      </w:r>
      <w:r w:rsidR="00450CDC">
        <w:rPr>
          <w:lang w:val="en-US"/>
        </w:rPr>
        <w:t>, thus potentially overestimating</w:t>
      </w:r>
      <w:r w:rsidR="00450CDC" w:rsidRPr="00450CDC">
        <w:rPr>
          <w:lang w:val="en-US"/>
        </w:rPr>
        <w:t xml:space="preserve"> the effect on </w:t>
      </w:r>
      <w:r w:rsidR="00450CDC">
        <w:rPr>
          <w:lang w:val="en-US"/>
        </w:rPr>
        <w:t>car size</w:t>
      </w:r>
      <w:r w:rsidR="00450CDC" w:rsidRPr="00450CDC">
        <w:rPr>
          <w:lang w:val="en-US"/>
        </w:rPr>
        <w:t xml:space="preserve"> </w:t>
      </w:r>
      <w:r w:rsidR="00450CDC">
        <w:rPr>
          <w:lang w:val="en-US"/>
        </w:rPr>
        <w:t xml:space="preserve">as </w:t>
      </w:r>
      <w:r w:rsidR="00450CDC" w:rsidRPr="00450CDC">
        <w:rPr>
          <w:lang w:val="en-US"/>
        </w:rPr>
        <w:t xml:space="preserve">there </w:t>
      </w:r>
      <w:r w:rsidR="00450CDC">
        <w:rPr>
          <w:lang w:val="en-US"/>
        </w:rPr>
        <w:t xml:space="preserve">are likely to be </w:t>
      </w:r>
      <w:r w:rsidR="00450CDC" w:rsidRPr="00450CDC">
        <w:rPr>
          <w:lang w:val="en-US"/>
        </w:rPr>
        <w:t>other fac</w:t>
      </w:r>
      <w:r w:rsidR="00450CDC">
        <w:rPr>
          <w:lang w:val="en-US"/>
        </w:rPr>
        <w:t>tors that also contribute to</w:t>
      </w:r>
      <w:r w:rsidR="00450CDC" w:rsidRPr="00450CDC">
        <w:rPr>
          <w:lang w:val="en-US"/>
        </w:rPr>
        <w:t xml:space="preserve"> lower average car size</w:t>
      </w:r>
      <w:r w:rsidR="00450CDC">
        <w:rPr>
          <w:lang w:val="en-US"/>
        </w:rPr>
        <w:t>s</w:t>
      </w:r>
      <w:r w:rsidR="00450CDC" w:rsidRPr="00450CDC">
        <w:rPr>
          <w:lang w:val="en-US"/>
        </w:rPr>
        <w:t>.</w:t>
      </w:r>
      <w:r w:rsidR="00A70C8D">
        <w:rPr>
          <w:lang w:val="en-US"/>
        </w:rPr>
        <w:t xml:space="preserve"> An econometric modeling study using data from 1995-2004 </w:t>
      </w:r>
      <w:r w:rsidR="00EB782A">
        <w:rPr>
          <w:lang w:val="en-US"/>
        </w:rPr>
        <w:t xml:space="preserve">suggested </w:t>
      </w:r>
      <w:r w:rsidR="00A70C8D" w:rsidRPr="00A70C8D">
        <w:rPr>
          <w:lang w:val="en-US"/>
        </w:rPr>
        <w:t>that registration tax</w:t>
      </w:r>
      <w:r w:rsidR="00EB782A">
        <w:rPr>
          <w:lang w:val="en-US"/>
        </w:rPr>
        <w:t>es</w:t>
      </w:r>
      <w:r w:rsidR="00A70C8D" w:rsidRPr="00A70C8D">
        <w:rPr>
          <w:lang w:val="en-US"/>
        </w:rPr>
        <w:t xml:space="preserve"> </w:t>
      </w:r>
      <w:r w:rsidR="00EB782A">
        <w:rPr>
          <w:lang w:val="en-US"/>
        </w:rPr>
        <w:t>in place in that period did not have</w:t>
      </w:r>
      <w:r w:rsidR="00A70C8D" w:rsidRPr="00A70C8D">
        <w:rPr>
          <w:lang w:val="en-US"/>
        </w:rPr>
        <w:t xml:space="preserve"> </w:t>
      </w:r>
      <w:r w:rsidR="00EB782A">
        <w:rPr>
          <w:lang w:val="en-US"/>
        </w:rPr>
        <w:t xml:space="preserve">an </w:t>
      </w:r>
      <w:r w:rsidR="00A70C8D" w:rsidRPr="00A70C8D">
        <w:rPr>
          <w:lang w:val="en-US"/>
        </w:rPr>
        <w:t>important impact on the CO</w:t>
      </w:r>
      <w:r w:rsidR="00A70C8D" w:rsidRPr="00EB782A">
        <w:rPr>
          <w:vertAlign w:val="subscript"/>
          <w:lang w:val="en-US"/>
        </w:rPr>
        <w:t>2</w:t>
      </w:r>
      <w:r w:rsidR="00A70C8D" w:rsidRPr="00A70C8D">
        <w:rPr>
          <w:lang w:val="en-US"/>
        </w:rPr>
        <w:t xml:space="preserve"> emissions intensity of the new passenger car fleet</w:t>
      </w:r>
      <w:r w:rsidR="00EB782A">
        <w:rPr>
          <w:lang w:val="en-US"/>
        </w:rPr>
        <w:t xml:space="preserve"> over and above the effects of circulation and fuel taxes </w:t>
      </w:r>
      <w:r w:rsidR="00EB782A">
        <w:rPr>
          <w:lang w:val="en-US"/>
        </w:rPr>
        <w:fldChar w:fldCharType="begin"/>
      </w:r>
      <w:r w:rsidR="00EB782A">
        <w:rPr>
          <w:lang w:val="en-US"/>
        </w:rPr>
        <w:instrText xml:space="preserve"> ADDIN EN.CITE &lt;EndNote&gt;&lt;Cite&gt;&lt;Author&gt;Ryan&lt;/Author&gt;&lt;Year&gt;2009&lt;/Year&gt;&lt;RecNum&gt;891&lt;/RecNum&gt;&lt;DisplayText&gt;(Ryan et al., 2009)&lt;/DisplayText&gt;&lt;record&gt;&lt;rec-number&gt;891&lt;/rec-number&gt;&lt;foreign-keys&gt;&lt;key app="EN" db-id="a0wpest2552swgezzsnxxwsnpp9axwswpaww"&gt;891&lt;/key&gt;&lt;/foreign-keys&gt;&lt;ref-type name="Journal Article"&gt;17&lt;/ref-type&gt;&lt;contributors&gt;&lt;authors&gt;&lt;author&gt;Ryan, Lisa&lt;/author&gt;&lt;author&gt;Ferreira, Susana&lt;/author&gt;&lt;author&gt;Convery, Frank&lt;/author&gt;&lt;/authors&gt;&lt;/contributors&gt;&lt;titles&gt;&lt;title&gt;The impact of fiscal and other measures on new passenger car sales and CO2 emissions intensity: Evidence from Europe&lt;/title&gt;&lt;secondary-title&gt;Energy Economics&lt;/secondary-title&gt;&lt;/titles&gt;&lt;periodical&gt;&lt;full-title&gt;Energy Economics&lt;/full-title&gt;&lt;abbr-1&gt;Energy Econ.&lt;/abbr-1&gt;&lt;/periodical&gt;&lt;pages&gt;365-374&lt;/pages&gt;&lt;volume&gt;31&lt;/volume&gt;&lt;number&gt;3&lt;/number&gt;&lt;keywords&gt;&lt;keyword&gt;transport policy&lt;/keyword&gt;&lt;keyword&gt;vehicle taxes&lt;/keyword&gt;&lt;keyword&gt;passenger car CO2 emissions&lt;/keyword&gt;&lt;keyword&gt;climate policy&lt;/keyword&gt;&lt;/keywords&gt;&lt;dates&gt;&lt;year&gt;2009&lt;/year&gt;&lt;/dates&gt;&lt;isbn&gt;0140-9883&lt;/isbn&gt;&lt;urls&gt;&lt;related-urls&gt;&lt;url&gt;http://www.sciencedirect.com/science/article/pii/S0140988308001850&lt;/url&gt;&lt;/related-urls&gt;&lt;/urls&gt;&lt;electronic-resource-num&gt;10.1016/j.eneco.2008.11.011&lt;/electronic-resource-num&gt;&lt;/record&gt;&lt;/Cite&gt;&lt;/EndNote&gt;</w:instrText>
      </w:r>
      <w:r w:rsidR="00EB782A">
        <w:rPr>
          <w:lang w:val="en-US"/>
        </w:rPr>
        <w:fldChar w:fldCharType="separate"/>
      </w:r>
      <w:r w:rsidR="00EB782A">
        <w:rPr>
          <w:noProof/>
          <w:lang w:val="en-US"/>
        </w:rPr>
        <w:t>(</w:t>
      </w:r>
      <w:hyperlink w:anchor="_ENREF_63" w:tooltip="Ryan, 2009 #891" w:history="1">
        <w:r w:rsidR="00D67197">
          <w:rPr>
            <w:noProof/>
            <w:lang w:val="en-US"/>
          </w:rPr>
          <w:t>Ryan et al., 2009</w:t>
        </w:r>
      </w:hyperlink>
      <w:r w:rsidR="00EB782A">
        <w:rPr>
          <w:noProof/>
          <w:lang w:val="en-US"/>
        </w:rPr>
        <w:t>)</w:t>
      </w:r>
      <w:r w:rsidR="00EB782A">
        <w:rPr>
          <w:lang w:val="en-US"/>
        </w:rPr>
        <w:fldChar w:fldCharType="end"/>
      </w:r>
      <w:r w:rsidR="00A70C8D" w:rsidRPr="00A70C8D">
        <w:rPr>
          <w:lang w:val="en-US"/>
        </w:rPr>
        <w:t xml:space="preserve">. </w:t>
      </w:r>
      <w:r w:rsidR="00EE71AD">
        <w:rPr>
          <w:lang w:val="en-US"/>
        </w:rPr>
        <w:t xml:space="preserve">In Ireland, </w:t>
      </w:r>
      <w:r w:rsidR="00EB782A">
        <w:rPr>
          <w:lang w:val="en-US"/>
        </w:rPr>
        <w:t xml:space="preserve">on the other hand, </w:t>
      </w:r>
      <w:r w:rsidR="00EE71AD">
        <w:rPr>
          <w:lang w:val="en-US"/>
        </w:rPr>
        <w:t>the c</w:t>
      </w:r>
      <w:r w:rsidR="00EE71AD" w:rsidRPr="00EE71AD">
        <w:rPr>
          <w:lang w:val="en-US"/>
        </w:rPr>
        <w:t>ar tax change</w:t>
      </w:r>
      <w:r w:rsidR="00EE71AD">
        <w:rPr>
          <w:lang w:val="en-US"/>
        </w:rPr>
        <w:t>s</w:t>
      </w:r>
      <w:r w:rsidR="00EE71AD" w:rsidRPr="00EE71AD">
        <w:rPr>
          <w:lang w:val="en-US"/>
        </w:rPr>
        <w:t xml:space="preserve"> in July 2008 from being based on engine size to </w:t>
      </w:r>
      <w:r w:rsidR="00EE71AD">
        <w:rPr>
          <w:lang w:val="en-US"/>
        </w:rPr>
        <w:t>CO</w:t>
      </w:r>
      <w:r w:rsidR="00EE71AD" w:rsidRPr="00EE71AD">
        <w:rPr>
          <w:vertAlign w:val="subscript"/>
          <w:lang w:val="en-US"/>
        </w:rPr>
        <w:t>2</w:t>
      </w:r>
      <w:r w:rsidR="00EE71AD">
        <w:rPr>
          <w:lang w:val="en-US"/>
        </w:rPr>
        <w:t xml:space="preserve"> </w:t>
      </w:r>
      <w:r w:rsidR="00EE71AD" w:rsidRPr="00EE71AD">
        <w:rPr>
          <w:lang w:val="en-US"/>
        </w:rPr>
        <w:t xml:space="preserve">emissions performance </w:t>
      </w:r>
      <w:r w:rsidR="00EE71AD">
        <w:rPr>
          <w:lang w:val="en-US"/>
        </w:rPr>
        <w:t xml:space="preserve">were estimated to reduce </w:t>
      </w:r>
      <w:r w:rsidR="00EE71AD" w:rsidRPr="00EE71AD">
        <w:rPr>
          <w:lang w:val="en-US"/>
        </w:rPr>
        <w:t xml:space="preserve">average specific emissions of new cars </w:t>
      </w:r>
      <w:r w:rsidR="00EE71AD">
        <w:rPr>
          <w:lang w:val="en-US"/>
        </w:rPr>
        <w:t>by 13% to 145 g/km</w:t>
      </w:r>
      <w:r w:rsidR="000345FC">
        <w:rPr>
          <w:lang w:val="en-US"/>
        </w:rPr>
        <w:t xml:space="preserve"> in the first year of the scheme</w:t>
      </w:r>
      <w:r w:rsidR="00EE71AD">
        <w:rPr>
          <w:lang w:val="en-US"/>
        </w:rPr>
        <w:t xml:space="preserve">, saving </w:t>
      </w:r>
      <w:r w:rsidR="00EE71AD" w:rsidRPr="00EE71AD">
        <w:rPr>
          <w:lang w:val="en-US"/>
        </w:rPr>
        <w:t>5.9 ktCO</w:t>
      </w:r>
      <w:r w:rsidR="00EE71AD" w:rsidRPr="00EE71AD">
        <w:rPr>
          <w:vertAlign w:val="subscript"/>
          <w:lang w:val="en-US"/>
        </w:rPr>
        <w:t>2</w:t>
      </w:r>
      <w:r w:rsidR="00EE71AD" w:rsidRPr="00EE71AD">
        <w:rPr>
          <w:lang w:val="en-US"/>
        </w:rPr>
        <w:t xml:space="preserve"> </w:t>
      </w:r>
      <w:r w:rsidR="00EE71AD">
        <w:rPr>
          <w:lang w:val="en-US"/>
        </w:rPr>
        <w:fldChar w:fldCharType="begin"/>
      </w:r>
      <w:r w:rsidR="00EE71AD">
        <w:rPr>
          <w:lang w:val="en-US"/>
        </w:rPr>
        <w:instrText xml:space="preserve"> ADDIN EN.CITE &lt;EndNote&gt;&lt;Cite&gt;&lt;Author&gt;Rogan&lt;/Author&gt;&lt;Year&gt;2011&lt;/Year&gt;&lt;RecNum&gt;885&lt;/RecNum&gt;&lt;DisplayText&gt;(Rogan et al., 2011)&lt;/DisplayText&gt;&lt;record&gt;&lt;rec-number&gt;885&lt;/rec-number&gt;&lt;foreign-keys&gt;&lt;key app="EN" db-id="a0wpest2552swgezzsnxxwsnpp9axwswpaww"&gt;885&lt;/key&gt;&lt;/foreign-keys&gt;&lt;ref-type name="Journal Article"&gt;17&lt;/ref-type&gt;&lt;contributors&gt;&lt;authors&gt;&lt;author&gt;Rogan, Fionn&lt;/author&gt;&lt;author&gt;Dennehy, Emer&lt;/author&gt;&lt;author&gt;Daly, Hannah&lt;/author&gt;&lt;author&gt;Howley, Martin&lt;/author&gt;&lt;author&gt;Ó Gallachóir, Brian P.&lt;/author&gt;&lt;/authors&gt;&lt;/contributors&gt;&lt;titles&gt;&lt;title&gt;Impacts of an emission based private car taxation policy - First year ex-post analysis&lt;/title&gt;&lt;secondary-title&gt;Transportation Research Part A: Policy and Practice&lt;/secondary-title&gt;&lt;/titles&gt;&lt;periodical&gt;&lt;full-title&gt;Transportation Research Part A: Policy and Practice&lt;/full-title&gt;&lt;abbr-1&gt;Transp. Res.: Part A: Pol. Practice&lt;/abbr-1&gt;&lt;/periodical&gt;&lt;pages&gt;583-597&lt;/pages&gt;&lt;volume&gt;45&lt;/volume&gt;&lt;number&gt;7&lt;/number&gt;&lt;keywords&gt;&lt;keyword&gt;Transport energy&lt;/keyword&gt;&lt;keyword&gt;Private car&lt;/keyword&gt;&lt;keyword&gt;CO2 emissions reduction&lt;/keyword&gt;&lt;keyword&gt;Climate change policy&lt;/keyword&gt;&lt;keyword&gt;Ex-post analysis&lt;/keyword&gt;&lt;keyword&gt;Ireland&lt;/keyword&gt;&lt;/keywords&gt;&lt;dates&gt;&lt;year&gt;2011&lt;/year&gt;&lt;/dates&gt;&lt;isbn&gt;0965-8564&lt;/isbn&gt;&lt;urls&gt;&lt;related-urls&gt;&lt;url&gt;http://www.sciencedirect.com/science/article/pii/S096585641100053X&lt;/url&gt;&lt;/related-urls&gt;&lt;/urls&gt;&lt;electronic-resource-num&gt;10.1016/j.tra.2011.03.007&lt;/electronic-resource-num&gt;&lt;/record&gt;&lt;/Cite&gt;&lt;/EndNote&gt;</w:instrText>
      </w:r>
      <w:r w:rsidR="00EE71AD">
        <w:rPr>
          <w:lang w:val="en-US"/>
        </w:rPr>
        <w:fldChar w:fldCharType="separate"/>
      </w:r>
      <w:r w:rsidR="00EE71AD">
        <w:rPr>
          <w:noProof/>
          <w:lang w:val="en-US"/>
        </w:rPr>
        <w:t>(</w:t>
      </w:r>
      <w:hyperlink w:anchor="_ENREF_61" w:tooltip="Rogan, 2011 #885" w:history="1">
        <w:r w:rsidR="00D67197">
          <w:rPr>
            <w:noProof/>
            <w:lang w:val="en-US"/>
          </w:rPr>
          <w:t>Rogan et al., 2011</w:t>
        </w:r>
      </w:hyperlink>
      <w:r w:rsidR="00EE71AD">
        <w:rPr>
          <w:noProof/>
          <w:lang w:val="en-US"/>
        </w:rPr>
        <w:t>)</w:t>
      </w:r>
      <w:r w:rsidR="00EE71AD">
        <w:rPr>
          <w:lang w:val="en-US"/>
        </w:rPr>
        <w:fldChar w:fldCharType="end"/>
      </w:r>
      <w:r w:rsidR="00EE71AD" w:rsidRPr="00EE71AD">
        <w:rPr>
          <w:lang w:val="en-US"/>
        </w:rPr>
        <w:t>. The price signal did however result in a 33% reduction in tax revenue</w:t>
      </w:r>
      <w:r w:rsidR="00EE71AD">
        <w:rPr>
          <w:lang w:val="en-US"/>
        </w:rPr>
        <w:t>.</w:t>
      </w:r>
      <w:r w:rsidR="00A70C8D">
        <w:rPr>
          <w:lang w:val="en-US"/>
        </w:rPr>
        <w:t xml:space="preserve"> </w:t>
      </w:r>
    </w:p>
    <w:p w14:paraId="543B6633" w14:textId="77777777" w:rsidR="00697B23" w:rsidRPr="00C64BF5" w:rsidRDefault="00697B23" w:rsidP="0098753B">
      <w:pPr>
        <w:rPr>
          <w:lang w:val="en-US"/>
        </w:rPr>
      </w:pPr>
    </w:p>
    <w:p w14:paraId="05CCA818" w14:textId="78A24633" w:rsidR="008A36A2" w:rsidRPr="00C64BF5" w:rsidRDefault="00AC11D9" w:rsidP="0098753B">
      <w:pPr>
        <w:rPr>
          <w:lang w:val="en-US"/>
        </w:rPr>
      </w:pPr>
      <w:r>
        <w:rPr>
          <w:lang w:val="en-US"/>
        </w:rPr>
        <w:t xml:space="preserve">Third, </w:t>
      </w:r>
      <w:r w:rsidR="003A78D6" w:rsidRPr="000D65CF">
        <w:rPr>
          <w:lang w:val="en-US"/>
        </w:rPr>
        <w:t xml:space="preserve">the evidence on carbon savings from </w:t>
      </w:r>
      <w:r w:rsidR="003A78D6" w:rsidRPr="000D65CF">
        <w:rPr>
          <w:b/>
          <w:lang w:val="en-US"/>
        </w:rPr>
        <w:t>scrappage schemes</w:t>
      </w:r>
      <w:r w:rsidR="003A78D6" w:rsidRPr="000D65CF">
        <w:rPr>
          <w:lang w:val="en-US"/>
        </w:rPr>
        <w:t xml:space="preserve"> remains scarce</w:t>
      </w:r>
      <w:r w:rsidR="003A78D6">
        <w:rPr>
          <w:lang w:val="en-US"/>
        </w:rPr>
        <w:t xml:space="preserve">, mainly because </w:t>
      </w:r>
      <w:r w:rsidR="00A351D8">
        <w:rPr>
          <w:lang w:val="en-US"/>
        </w:rPr>
        <w:t xml:space="preserve">the </w:t>
      </w:r>
      <w:r w:rsidR="003A78D6">
        <w:rPr>
          <w:lang w:val="en-US"/>
        </w:rPr>
        <w:t xml:space="preserve">schemes in </w:t>
      </w:r>
      <w:r w:rsidR="000D65CF" w:rsidRPr="000D65CF">
        <w:rPr>
          <w:lang w:val="en-US"/>
        </w:rPr>
        <w:t xml:space="preserve">Europe and the USA </w:t>
      </w:r>
      <w:r w:rsidR="00A351D8">
        <w:rPr>
          <w:lang w:val="en-US"/>
        </w:rPr>
        <w:t>had</w:t>
      </w:r>
      <w:r w:rsidR="000D65CF" w:rsidRPr="000D65CF">
        <w:rPr>
          <w:lang w:val="en-US"/>
        </w:rPr>
        <w:t xml:space="preserve"> been introduced primarily to stimulate the car market rather than to meet any explicit environmental objectives. </w:t>
      </w:r>
      <w:r>
        <w:rPr>
          <w:lang w:val="en-US"/>
        </w:rPr>
        <w:t xml:space="preserve"> </w:t>
      </w:r>
      <w:r w:rsidR="003A78D6">
        <w:rPr>
          <w:lang w:val="en-US"/>
        </w:rPr>
        <w:t xml:space="preserve">That evidence </w:t>
      </w:r>
      <w:r w:rsidR="000D65CF" w:rsidRPr="000D65CF">
        <w:rPr>
          <w:lang w:val="en-US"/>
        </w:rPr>
        <w:t xml:space="preserve">concluded that scrappage incentives </w:t>
      </w:r>
      <w:r w:rsidR="003A78D6">
        <w:rPr>
          <w:lang w:val="en-US"/>
        </w:rPr>
        <w:t xml:space="preserve">can decrease </w:t>
      </w:r>
      <w:r w:rsidR="000D65CF" w:rsidRPr="000D65CF">
        <w:rPr>
          <w:lang w:val="en-US"/>
        </w:rPr>
        <w:t>new car CO</w:t>
      </w:r>
      <w:r w:rsidR="000D65CF" w:rsidRPr="00A351D8">
        <w:rPr>
          <w:vertAlign w:val="subscript"/>
          <w:lang w:val="en-US"/>
        </w:rPr>
        <w:t>2</w:t>
      </w:r>
      <w:r w:rsidR="000D65CF" w:rsidRPr="000D65CF">
        <w:rPr>
          <w:lang w:val="en-US"/>
        </w:rPr>
        <w:t xml:space="preserve"> emissions, but the environmental gains could be much greater if targeted at the retirement of gross emitters still in use and if thresholds for new car fuel economy, fuel consumption and other pollutant emissions are not only set but are also </w:t>
      </w:r>
      <w:r w:rsidR="000D65CF" w:rsidRPr="000D65CF">
        <w:rPr>
          <w:i/>
          <w:lang w:val="en-US"/>
        </w:rPr>
        <w:t>aligned</w:t>
      </w:r>
      <w:r w:rsidR="000D65CF" w:rsidRPr="00A351D8">
        <w:rPr>
          <w:lang w:val="en-US"/>
        </w:rPr>
        <w:t xml:space="preserve"> </w:t>
      </w:r>
      <w:r w:rsidR="00880B2F">
        <w:rPr>
          <w:lang w:val="en-US"/>
        </w:rPr>
        <w:fldChar w:fldCharType="begin"/>
      </w:r>
      <w:r w:rsidR="00C2662B">
        <w:rPr>
          <w:lang w:val="en-US"/>
        </w:rPr>
        <w:instrText xml:space="preserve"> ADDIN EN.CITE &lt;EndNote&gt;&lt;Cite&gt;&lt;Author&gt;ITF&lt;/Author&gt;&lt;Year&gt;2011&lt;/Year&gt;&lt;RecNum&gt;935&lt;/RecNum&gt;&lt;DisplayText&gt;(Foster and Langer, 2011; ITF, 2011)&lt;/DisplayText&gt;&lt;record&gt;&lt;rec-number&gt;935&lt;/rec-number&gt;&lt;foreign-keys&gt;&lt;key app="EN" db-id="a0wpest2552swgezzsnxxwsnpp9axwswpaww"&gt;935&lt;/key&gt;&lt;/foreign-keys&gt;&lt;ref-type name="Report"&gt;27&lt;/ref-type&gt;&lt;contributors&gt;&lt;authors&gt;&lt;author&gt;ITF&lt;/author&gt;&lt;/authors&gt;&lt;/contributors&gt;&lt;titles&gt;&lt;title&gt;Car Fleet Renewal Schemes: Environmental and Safety Impacts&lt;/title&gt;&lt;/titles&gt;&lt;dates&gt;&lt;year&gt;2011&lt;/year&gt;&lt;/dates&gt;&lt;pub-location&gt;France&lt;/pub-location&gt;&lt;publisher&gt;International Transport Forum/OECD&lt;/publisher&gt;&lt;urls&gt;&lt;/urls&gt;&lt;/record&gt;&lt;/Cite&gt;&lt;Cite&gt;&lt;Author&gt;Foster&lt;/Author&gt;&lt;Year&gt;2011&lt;/Year&gt;&lt;RecNum&gt;936&lt;/RecNum&gt;&lt;record&gt;&lt;rec-number&gt;936&lt;/rec-number&gt;&lt;foreign-keys&gt;&lt;key app="EN" db-id="a0wpest2552swgezzsnxxwsnpp9axwswpaww"&gt;936&lt;/key&gt;&lt;/foreign-keys&gt;&lt;ref-type name="Report"&gt;27&lt;/ref-type&gt;&lt;contributors&gt;&lt;authors&gt;&lt;author&gt;Foster, B.&lt;/author&gt;&lt;author&gt;Langer, T.&lt;/author&gt;&lt;/authors&gt;&lt;/contributors&gt;&lt;titles&gt;&lt;title&gt;Cash for Clunkers: A missed opportunity for fuel economy gains. Report No. T112&lt;/title&gt;&lt;/titles&gt;&lt;dates&gt;&lt;year&gt;2011&lt;/year&gt;&lt;/dates&gt;&lt;pub-location&gt;Washington DC&lt;/pub-location&gt;&lt;publisher&gt;American Council for an Energy Efficient Economy&lt;/publisher&gt;&lt;urls&gt;&lt;/urls&gt;&lt;/record&gt;&lt;/Cite&gt;&lt;/EndNote&gt;</w:instrText>
      </w:r>
      <w:r w:rsidR="00880B2F">
        <w:rPr>
          <w:lang w:val="en-US"/>
        </w:rPr>
        <w:fldChar w:fldCharType="separate"/>
      </w:r>
      <w:r w:rsidR="00C2662B">
        <w:rPr>
          <w:noProof/>
          <w:lang w:val="en-US"/>
        </w:rPr>
        <w:t>(</w:t>
      </w:r>
      <w:hyperlink w:anchor="_ENREF_29" w:tooltip="Foster, 2011 #936" w:history="1">
        <w:r w:rsidR="00D67197">
          <w:rPr>
            <w:noProof/>
            <w:lang w:val="en-US"/>
          </w:rPr>
          <w:t>Foster and Langer, 2011</w:t>
        </w:r>
      </w:hyperlink>
      <w:r w:rsidR="00C2662B">
        <w:rPr>
          <w:noProof/>
          <w:lang w:val="en-US"/>
        </w:rPr>
        <w:t xml:space="preserve">; </w:t>
      </w:r>
      <w:hyperlink w:anchor="_ENREF_47" w:tooltip="ITF, 2011 #935" w:history="1">
        <w:r w:rsidR="00D67197">
          <w:rPr>
            <w:noProof/>
            <w:lang w:val="en-US"/>
          </w:rPr>
          <w:t>ITF, 2011</w:t>
        </w:r>
      </w:hyperlink>
      <w:r w:rsidR="00C2662B">
        <w:rPr>
          <w:noProof/>
          <w:lang w:val="en-US"/>
        </w:rPr>
        <w:t>)</w:t>
      </w:r>
      <w:r w:rsidR="00880B2F">
        <w:rPr>
          <w:lang w:val="en-US"/>
        </w:rPr>
        <w:fldChar w:fldCharType="end"/>
      </w:r>
      <w:r w:rsidR="000D65CF" w:rsidRPr="000D65CF">
        <w:rPr>
          <w:lang w:val="en-US"/>
        </w:rPr>
        <w:t>. For instance, whilst the French scheme imposed a CO</w:t>
      </w:r>
      <w:r w:rsidR="000D65CF" w:rsidRPr="00A351D8">
        <w:rPr>
          <w:vertAlign w:val="subscript"/>
          <w:lang w:val="en-US"/>
        </w:rPr>
        <w:t>2</w:t>
      </w:r>
      <w:r w:rsidR="000D65CF" w:rsidRPr="000D65CF">
        <w:rPr>
          <w:lang w:val="en-US"/>
        </w:rPr>
        <w:t xml:space="preserve"> limit for new cars, it led to a very high share of diesel cars with associated consequences for </w:t>
      </w:r>
      <w:r w:rsidR="00A351D8">
        <w:rPr>
          <w:lang w:val="en-US"/>
        </w:rPr>
        <w:t>PM</w:t>
      </w:r>
      <w:r w:rsidR="00A351D8" w:rsidRPr="00A351D8">
        <w:rPr>
          <w:vertAlign w:val="subscript"/>
          <w:lang w:val="en-US"/>
        </w:rPr>
        <w:t>10</w:t>
      </w:r>
      <w:r w:rsidR="00A351D8">
        <w:rPr>
          <w:lang w:val="en-US"/>
        </w:rPr>
        <w:t xml:space="preserve"> and </w:t>
      </w:r>
      <w:r w:rsidR="000D65CF" w:rsidRPr="000D65CF">
        <w:rPr>
          <w:lang w:val="en-US"/>
        </w:rPr>
        <w:t>NO</w:t>
      </w:r>
      <w:r w:rsidR="00A351D8">
        <w:rPr>
          <w:vertAlign w:val="subscript"/>
          <w:lang w:val="en-US"/>
        </w:rPr>
        <w:t>X</w:t>
      </w:r>
      <w:r w:rsidR="000D65CF" w:rsidRPr="000D65CF">
        <w:rPr>
          <w:lang w:val="en-US"/>
        </w:rPr>
        <w:t xml:space="preserve"> emissions (ibid.). Thus, any a</w:t>
      </w:r>
      <w:r w:rsidR="00A351D8">
        <w:rPr>
          <w:lang w:val="en-US"/>
        </w:rPr>
        <w:t xml:space="preserve">ssessment of the potential life </w:t>
      </w:r>
      <w:r w:rsidR="000D65CF" w:rsidRPr="000D65CF">
        <w:rPr>
          <w:lang w:val="en-US"/>
        </w:rPr>
        <w:t>cycle impact of scrappage schemes needs to account of a variety of complex direct and indi</w:t>
      </w:r>
      <w:r w:rsidR="00A351D8">
        <w:rPr>
          <w:lang w:val="en-US"/>
        </w:rPr>
        <w:t>rect impacts on the car market</w:t>
      </w:r>
      <w:r w:rsidR="000D65CF" w:rsidRPr="000D65CF">
        <w:rPr>
          <w:lang w:val="en-US"/>
        </w:rPr>
        <w:t xml:space="preserve"> </w:t>
      </w:r>
      <w:r w:rsidR="00880B2F" w:rsidRPr="000D65CF">
        <w:rPr>
          <w:lang w:val="en-US"/>
        </w:rPr>
        <w:fldChar w:fldCharType="begin"/>
      </w:r>
      <w:r w:rsidR="00546ABC">
        <w:rPr>
          <w:lang w:val="en-US"/>
        </w:rPr>
        <w:instrText xml:space="preserve"> ADDIN EN.CITE &lt;EndNote&gt;&lt;Cite&gt;&lt;Author&gt;Kavalec&lt;/Author&gt;&lt;Year&gt;1997&lt;/Year&gt;&lt;RecNum&gt;855&lt;/RecNum&gt;&lt;DisplayText&gt;(Kavalec and Setiawan, 1997)&lt;/DisplayText&gt;&lt;record&gt;&lt;rec-number&gt;855&lt;/rec-number&gt;&lt;foreign-keys&gt;&lt;key app="EN" db-id="a0wpest2552swgezzsnxxwsnpp9axwswpaww"&gt;855&lt;/key&gt;&lt;/foreign-keys&gt;&lt;ref-type name="Journal Article"&gt;17&lt;/ref-type&gt;&lt;contributors&gt;&lt;authors&gt;&lt;author&gt;Kavalec, Chris&lt;/author&gt;&lt;author&gt;Setiawan, Winardi&lt;/author&gt;&lt;/authors&gt;&lt;/contributors&gt;&lt;titles&gt;&lt;title&gt;An analysis of accelerated vehicle retirement programs using a discrete choice personal vehicle model&lt;/title&gt;&lt;secondary-title&gt;Transport Policy&lt;/secondary-title&gt;&lt;/titles&gt;&lt;pages&gt;95-107&lt;/pages&gt;&lt;volume&gt;4&lt;/volume&gt;&lt;number&gt;2&lt;/number&gt;&lt;dates&gt;&lt;year&gt;1997&lt;/year&gt;&lt;/dates&gt;&lt;isbn&gt;0967-070X&lt;/isbn&gt;&lt;urls&gt;&lt;related-urls&gt;&lt;url&gt;http://www.sciencedirect.com/science/article/B6VGG-3SX1JT8-4/2/a16b0decfef6a43b57b0f297e3e9dccc&lt;/url&gt;&lt;/related-urls&gt;&lt;/urls&gt;&lt;/record&gt;&lt;/Cite&gt;&lt;/EndNote&gt;</w:instrText>
      </w:r>
      <w:r w:rsidR="00880B2F" w:rsidRPr="000D65CF">
        <w:rPr>
          <w:lang w:val="en-US"/>
        </w:rPr>
        <w:fldChar w:fldCharType="separate"/>
      </w:r>
      <w:r w:rsidR="00C2662B">
        <w:rPr>
          <w:noProof/>
          <w:lang w:val="en-US"/>
        </w:rPr>
        <w:t>(</w:t>
      </w:r>
      <w:hyperlink w:anchor="_ENREF_50" w:tooltip="Kavalec, 1997 #855" w:history="1">
        <w:r w:rsidR="00D67197">
          <w:rPr>
            <w:noProof/>
            <w:lang w:val="en-US"/>
          </w:rPr>
          <w:t>Kavalec and Setiawan, 1997</w:t>
        </w:r>
      </w:hyperlink>
      <w:r w:rsidR="00C2662B">
        <w:rPr>
          <w:noProof/>
          <w:lang w:val="en-US"/>
        </w:rPr>
        <w:t>)</w:t>
      </w:r>
      <w:r w:rsidR="00880B2F" w:rsidRPr="000D65CF">
        <w:rPr>
          <w:lang w:val="en-US"/>
        </w:rPr>
        <w:fldChar w:fldCharType="end"/>
      </w:r>
      <w:r w:rsidR="00A351D8">
        <w:rPr>
          <w:lang w:val="en-US"/>
        </w:rPr>
        <w:t>.</w:t>
      </w:r>
      <w:r w:rsidR="000D65CF" w:rsidRPr="000D65CF">
        <w:rPr>
          <w:lang w:val="en-US"/>
        </w:rPr>
        <w:t xml:space="preserve"> Key factors that would need to be considered are: </w:t>
      </w:r>
      <w:r w:rsidR="000D65CF" w:rsidRPr="000D65CF">
        <w:rPr>
          <w:rFonts w:eastAsia="Cambria"/>
          <w:lang w:val="en-US"/>
        </w:rPr>
        <w:t xml:space="preserve">how much earlier the vehicle was retired because </w:t>
      </w:r>
      <w:r w:rsidR="00A351D8">
        <w:rPr>
          <w:lang w:val="en-US"/>
        </w:rPr>
        <w:t>of the program</w:t>
      </w:r>
      <w:r w:rsidR="000D65CF" w:rsidRPr="000D65CF">
        <w:rPr>
          <w:lang w:val="en-US"/>
        </w:rPr>
        <w:t>; how many kilometers</w:t>
      </w:r>
      <w:r w:rsidR="000D65CF" w:rsidRPr="000D65CF">
        <w:rPr>
          <w:rFonts w:eastAsia="Cambria"/>
          <w:lang w:val="en-US"/>
        </w:rPr>
        <w:t xml:space="preserve"> the vehicle </w:t>
      </w:r>
      <w:r w:rsidR="000D65CF" w:rsidRPr="000D65CF">
        <w:rPr>
          <w:rFonts w:eastAsia="Cambria"/>
          <w:lang w:val="en-US"/>
        </w:rPr>
        <w:lastRenderedPageBreak/>
        <w:t xml:space="preserve">would have been driven if it was not retired; the emissions levels of the retired vehicle; and the emission levels, remaining life and vehicle miles travelled by the replacement vehicle, if there is one </w:t>
      </w:r>
      <w:r w:rsidR="00880B2F" w:rsidRPr="000D65CF">
        <w:rPr>
          <w:rFonts w:eastAsia="Cambria"/>
          <w:lang w:val="en-US"/>
        </w:rPr>
        <w:fldChar w:fldCharType="begin"/>
      </w:r>
      <w:r w:rsidR="00546ABC">
        <w:rPr>
          <w:rFonts w:eastAsia="Cambria"/>
          <w:lang w:val="en-US"/>
        </w:rPr>
        <w:instrText xml:space="preserve"> ADDIN EN.CITE &lt;EndNote&gt;&lt;Cite&gt;&lt;Author&gt;Dill&lt;/Author&gt;&lt;Year&gt;2004&lt;/Year&gt;&lt;RecNum&gt;856&lt;/RecNum&gt;&lt;DisplayText&gt;(Dill, 2004)&lt;/DisplayText&gt;&lt;record&gt;&lt;rec-number&gt;856&lt;/rec-number&gt;&lt;foreign-keys&gt;&lt;key app="EN" db-id="a0wpest2552swgezzsnxxwsnpp9axwswpaww"&gt;856&lt;/key&gt;&lt;/foreign-keys&gt;&lt;ref-type name="Journal Article"&gt;17&lt;/ref-type&gt;&lt;contributors&gt;&lt;authors&gt;&lt;author&gt;Dill, Jennifer&lt;/author&gt;&lt;/authors&gt;&lt;/contributors&gt;&lt;titles&gt;&lt;title&gt;Estimating emissions reductions from accelerated vehicle retirement programs&lt;/title&gt;&lt;secondary-title&gt;Transportation Research Part D: Transport and Environment&lt;/secondary-title&gt;&lt;/titles&gt;&lt;periodical&gt;&lt;full-title&gt;Transportation Research Part D: Transport and Environment&lt;/full-title&gt;&lt;abbr-1&gt;Transp. Res.: Part D: Transport Environ.&lt;/abbr-1&gt;&lt;/periodical&gt;&lt;pages&gt;87-106&lt;/pages&gt;&lt;volume&gt;9&lt;/volume&gt;&lt;number&gt;2&lt;/number&gt;&lt;keywords&gt;&lt;keyword&gt;Automobile retirement&lt;/keyword&gt;&lt;keyword&gt;Vehicle emissions&lt;/keyword&gt;&lt;keyword&gt;Voluntary policies&lt;/keyword&gt;&lt;keyword&gt;Clean air legislation&lt;/keyword&gt;&lt;/keywords&gt;&lt;dates&gt;&lt;year&gt;2004&lt;/year&gt;&lt;/dates&gt;&lt;isbn&gt;1361-9209&lt;/isbn&gt;&lt;urls&gt;&lt;related-urls&gt;&lt;url&gt;http://www.sciencedirect.com/science/article/B6VH8-49D6Y1S-1/2/e84190a44d37f90fdad21cd6c0be66a3&lt;/url&gt;&lt;/related-urls&gt;&lt;/urls&gt;&lt;/record&gt;&lt;/Cite&gt;&lt;/EndNote&gt;</w:instrText>
      </w:r>
      <w:r w:rsidR="00880B2F" w:rsidRPr="000D65CF">
        <w:rPr>
          <w:rFonts w:eastAsia="Cambria"/>
          <w:lang w:val="en-US"/>
        </w:rPr>
        <w:fldChar w:fldCharType="separate"/>
      </w:r>
      <w:r w:rsidR="00C2662B">
        <w:rPr>
          <w:rFonts w:eastAsia="Cambria"/>
          <w:noProof/>
          <w:lang w:val="en-US"/>
        </w:rPr>
        <w:t>(</w:t>
      </w:r>
      <w:hyperlink w:anchor="_ENREF_22" w:tooltip="Dill, 2004 #856" w:history="1">
        <w:r w:rsidR="00D67197">
          <w:rPr>
            <w:rFonts w:eastAsia="Cambria"/>
            <w:noProof/>
            <w:lang w:val="en-US"/>
          </w:rPr>
          <w:t>Dill, 2004</w:t>
        </w:r>
      </w:hyperlink>
      <w:r w:rsidR="00C2662B">
        <w:rPr>
          <w:rFonts w:eastAsia="Cambria"/>
          <w:noProof/>
          <w:lang w:val="en-US"/>
        </w:rPr>
        <w:t>)</w:t>
      </w:r>
      <w:r w:rsidR="00880B2F" w:rsidRPr="000D65CF">
        <w:rPr>
          <w:rFonts w:eastAsia="Cambria"/>
          <w:lang w:val="en-US"/>
        </w:rPr>
        <w:fldChar w:fldCharType="end"/>
      </w:r>
      <w:r w:rsidR="000D65CF" w:rsidRPr="000D65CF">
        <w:rPr>
          <w:rFonts w:eastAsia="Cambria"/>
          <w:lang w:val="en-US"/>
        </w:rPr>
        <w:t xml:space="preserve">. </w:t>
      </w:r>
      <w:r w:rsidR="000D65CF" w:rsidRPr="000D65CF">
        <w:rPr>
          <w:lang w:val="en-US"/>
        </w:rPr>
        <w:t xml:space="preserve">Moreover, the additional energy and emissions generated from the manufacture of replacement vehicles and the dismantling and recycling of the scrapped vehicles have not typically been accounted for </w:t>
      </w:r>
      <w:r w:rsidR="00880B2F" w:rsidRPr="000D65CF">
        <w:rPr>
          <w:lang w:val="en-US"/>
        </w:rPr>
        <w:fldChar w:fldCharType="begin">
          <w:fldData xml:space="preserve">PEVuZE5vdGU+PENpdGU+PEF1dGhvcj5DRU1UPC9BdXRob3I+PFllYXI+MTk5OTwvWWVhcj48UmVj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</w:fldData>
        </w:fldChar>
      </w:r>
      <w:r w:rsidR="00546ABC">
        <w:rPr>
          <w:lang w:val="en-US"/>
        </w:rPr>
        <w:instrText xml:space="preserve"> ADDIN EN.CITE </w:instrText>
      </w:r>
      <w:r w:rsidR="00546ABC">
        <w:rPr>
          <w:lang w:val="en-US"/>
        </w:rPr>
        <w:fldChar w:fldCharType="begin">
          <w:fldData xml:space="preserve">PEVuZE5vdGU+PENpdGU+PEF1dGhvcj5DRU1UPC9BdXRob3I+PFllYXI+MTk5OTwvWWVhcj48UmVj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</w:fldData>
        </w:fldChar>
      </w:r>
      <w:r w:rsidR="00546ABC">
        <w:rPr>
          <w:lang w:val="en-US"/>
        </w:rPr>
        <w:instrText xml:space="preserve"> ADDIN EN.CITE.DATA </w:instrText>
      </w:r>
      <w:r w:rsidR="00546ABC">
        <w:rPr>
          <w:lang w:val="en-US"/>
        </w:rPr>
      </w:r>
      <w:r w:rsidR="00546ABC">
        <w:rPr>
          <w:lang w:val="en-US"/>
        </w:rPr>
        <w:fldChar w:fldCharType="end"/>
      </w:r>
      <w:r w:rsidR="00880B2F" w:rsidRPr="000D65CF">
        <w:rPr>
          <w:lang w:val="en-US"/>
        </w:rPr>
      </w:r>
      <w:r w:rsidR="00880B2F" w:rsidRPr="000D65CF">
        <w:rPr>
          <w:lang w:val="en-US"/>
        </w:rPr>
        <w:fldChar w:fldCharType="separate"/>
      </w:r>
      <w:r w:rsidR="00C2662B">
        <w:rPr>
          <w:noProof/>
          <w:lang w:val="en-US"/>
        </w:rPr>
        <w:t>(</w:t>
      </w:r>
      <w:hyperlink w:anchor="_ENREF_15" w:tooltip="CEMT, 1999 #847" w:history="1">
        <w:r w:rsidR="00D67197">
          <w:rPr>
            <w:noProof/>
            <w:lang w:val="en-US"/>
          </w:rPr>
          <w:t>CEMT, 1999</w:t>
        </w:r>
      </w:hyperlink>
      <w:r w:rsidR="00C2662B">
        <w:rPr>
          <w:noProof/>
          <w:lang w:val="en-US"/>
        </w:rPr>
        <w:t xml:space="preserve">; </w:t>
      </w:r>
      <w:hyperlink w:anchor="_ENREF_71" w:tooltip="Spitzley, 2005 #928" w:history="1">
        <w:r w:rsidR="00D67197">
          <w:rPr>
            <w:noProof/>
            <w:lang w:val="en-US"/>
          </w:rPr>
          <w:t>Spitzley et al., 2005</w:t>
        </w:r>
      </w:hyperlink>
      <w:r w:rsidR="00C2662B">
        <w:rPr>
          <w:noProof/>
          <w:lang w:val="en-US"/>
        </w:rPr>
        <w:t>)</w:t>
      </w:r>
      <w:r w:rsidR="00880B2F" w:rsidRPr="000D65CF">
        <w:rPr>
          <w:lang w:val="en-US"/>
        </w:rPr>
        <w:fldChar w:fldCharType="end"/>
      </w:r>
      <w:r w:rsidR="000D65CF" w:rsidRPr="000D65CF">
        <w:rPr>
          <w:lang w:val="en-US"/>
        </w:rPr>
        <w:t xml:space="preserve">. Therefore, </w:t>
      </w:r>
      <w:r w:rsidR="000D65CF" w:rsidRPr="000D65CF">
        <w:rPr>
          <w:rFonts w:eastAsia="Cambria"/>
          <w:lang w:val="en-US"/>
        </w:rPr>
        <w:t xml:space="preserve">there </w:t>
      </w:r>
      <w:r w:rsidR="000D65CF" w:rsidRPr="000D65CF">
        <w:rPr>
          <w:lang w:val="en-US"/>
        </w:rPr>
        <w:t>has been</w:t>
      </w:r>
      <w:r w:rsidR="0036720C">
        <w:rPr>
          <w:lang w:val="en-US"/>
        </w:rPr>
        <w:t xml:space="preserve"> </w:t>
      </w:r>
      <w:r w:rsidR="000D65CF" w:rsidRPr="000D65CF">
        <w:rPr>
          <w:rFonts w:eastAsia="Cambria"/>
          <w:lang w:val="en-US"/>
        </w:rPr>
        <w:t xml:space="preserve">considerable difficulty in assessing </w:t>
      </w:r>
      <w:r w:rsidR="000D65CF" w:rsidRPr="000D65CF">
        <w:rPr>
          <w:lang w:val="en-US"/>
        </w:rPr>
        <w:t xml:space="preserve">the </w:t>
      </w:r>
      <w:r w:rsidR="003A78D6">
        <w:rPr>
          <w:lang w:val="en-US"/>
        </w:rPr>
        <w:t xml:space="preserve">life cycle </w:t>
      </w:r>
      <w:r w:rsidR="000D65CF" w:rsidRPr="000D65CF">
        <w:rPr>
          <w:rFonts w:eastAsia="Cambria"/>
          <w:lang w:val="en-US"/>
        </w:rPr>
        <w:t xml:space="preserve">carbon savings </w:t>
      </w:r>
      <w:r w:rsidR="000D65CF" w:rsidRPr="000D65CF">
        <w:rPr>
          <w:lang w:val="en-US"/>
        </w:rPr>
        <w:t xml:space="preserve">from a scrappage policy but use of the specific </w:t>
      </w:r>
      <w:r w:rsidR="00A351D8" w:rsidRPr="000D65CF">
        <w:rPr>
          <w:lang w:val="en-US"/>
        </w:rPr>
        <w:t>modeling</w:t>
      </w:r>
      <w:r w:rsidR="000D65CF" w:rsidRPr="000D65CF">
        <w:rPr>
          <w:lang w:val="en-US"/>
        </w:rPr>
        <w:t xml:space="preserve"> approaches used in this study aim to address some of this complexity. </w:t>
      </w:r>
    </w:p>
    <w:p w14:paraId="175953F9" w14:textId="77777777" w:rsidR="00697B23" w:rsidRPr="00C64BF5" w:rsidRDefault="00697B23" w:rsidP="0098753B">
      <w:pPr>
        <w:rPr>
          <w:lang w:val="en-US"/>
        </w:rPr>
      </w:pPr>
    </w:p>
    <w:p w14:paraId="58F73439" w14:textId="77777777" w:rsidR="008A36A2" w:rsidRPr="00C64BF5" w:rsidRDefault="000D65CF" w:rsidP="00697B23">
      <w:pPr>
        <w:pStyle w:val="Heading1"/>
        <w:rPr>
          <w:lang w:val="en-US"/>
        </w:rPr>
      </w:pPr>
      <w:r w:rsidRPr="000D65CF">
        <w:rPr>
          <w:lang w:val="en-US"/>
        </w:rPr>
        <w:t>3 METHODOLOGY</w:t>
      </w:r>
    </w:p>
    <w:p w14:paraId="1E9B5476" w14:textId="77777777" w:rsidR="008A36A2" w:rsidRPr="00703D04" w:rsidRDefault="000D65CF" w:rsidP="0068453C">
      <w:pPr>
        <w:rPr>
          <w:lang w:val="en-US"/>
        </w:rPr>
      </w:pPr>
      <w:r w:rsidRPr="00703D04">
        <w:rPr>
          <w:lang w:val="en-US"/>
        </w:rPr>
        <w:t xml:space="preserve">The approach taken for this work involves a systematic comparison of quantified policy scenarios of fiscal incentives for cars up to 2050. The </w:t>
      </w:r>
      <w:r w:rsidR="00730E99" w:rsidRPr="00703D04">
        <w:rPr>
          <w:lang w:val="en-US"/>
        </w:rPr>
        <w:t>modeling</w:t>
      </w:r>
      <w:r w:rsidRPr="00703D04">
        <w:rPr>
          <w:lang w:val="en-US"/>
        </w:rPr>
        <w:t xml:space="preserve"> of these policy scenarios involved</w:t>
      </w:r>
      <w:r w:rsidR="0068453C" w:rsidRPr="00703D04">
        <w:rPr>
          <w:lang w:val="en-US"/>
        </w:rPr>
        <w:t xml:space="preserve"> (1) f</w:t>
      </w:r>
      <w:r w:rsidRPr="00703D04">
        <w:rPr>
          <w:lang w:val="en-US"/>
        </w:rPr>
        <w:t>raming and development of a reference and nine alternative policy scenarios of fiscal incentives for cars;</w:t>
      </w:r>
      <w:r w:rsidR="0068453C" w:rsidRPr="00703D04">
        <w:rPr>
          <w:lang w:val="en-US"/>
        </w:rPr>
        <w:t xml:space="preserve"> (2) d</w:t>
      </w:r>
      <w:r w:rsidRPr="00703D04">
        <w:rPr>
          <w:lang w:val="en-US"/>
        </w:rPr>
        <w:t xml:space="preserve">etailed </w:t>
      </w:r>
      <w:r w:rsidR="00703D04" w:rsidRPr="00703D04">
        <w:rPr>
          <w:lang w:val="en-US"/>
        </w:rPr>
        <w:t>sectorial</w:t>
      </w:r>
      <w:r w:rsidRPr="00703D04">
        <w:rPr>
          <w:lang w:val="en-US"/>
        </w:rPr>
        <w:t xml:space="preserve"> </w:t>
      </w:r>
      <w:r w:rsidR="00730E99" w:rsidRPr="00703D04">
        <w:rPr>
          <w:lang w:val="en-US"/>
        </w:rPr>
        <w:t>modeling</w:t>
      </w:r>
      <w:r w:rsidRPr="00703D04">
        <w:rPr>
          <w:lang w:val="en-US"/>
        </w:rPr>
        <w:t xml:space="preserve"> using the previously developed and published UK Transport Carbon Model (UKTCM) in order to simulate the impacts of the developed fiscal policy scenarios on car ownership, car technology choice, fuel/energy use and life cycle carbon emissions and UK Government tax revenue;</w:t>
      </w:r>
      <w:r w:rsidR="0068453C" w:rsidRPr="00703D04">
        <w:rPr>
          <w:lang w:val="en-US"/>
        </w:rPr>
        <w:t xml:space="preserve"> and (3) s</w:t>
      </w:r>
      <w:r w:rsidRPr="00703D04">
        <w:rPr>
          <w:lang w:val="en-US"/>
        </w:rPr>
        <w:t xml:space="preserve">ensitivity analysis of key </w:t>
      </w:r>
      <w:r w:rsidR="00730E99" w:rsidRPr="00703D04">
        <w:rPr>
          <w:lang w:val="en-US"/>
        </w:rPr>
        <w:t>modeling</w:t>
      </w:r>
      <w:r w:rsidRPr="00703D04">
        <w:rPr>
          <w:lang w:val="en-US"/>
        </w:rPr>
        <w:t xml:space="preserve"> parameters, adding five further policy scenarios.</w:t>
      </w:r>
    </w:p>
    <w:p w14:paraId="4803FFF8" w14:textId="77777777" w:rsidR="00697B23" w:rsidRPr="00C64BF5" w:rsidRDefault="00697B23" w:rsidP="00A018D1">
      <w:pPr>
        <w:rPr>
          <w:lang w:val="en-US"/>
        </w:rPr>
      </w:pPr>
    </w:p>
    <w:p w14:paraId="5C7FA369" w14:textId="3D7F417A" w:rsidR="008A36A2" w:rsidRPr="00C64BF5" w:rsidRDefault="000D65CF" w:rsidP="00697B23">
      <w:pPr>
        <w:pStyle w:val="Heading2"/>
        <w:rPr>
          <w:lang w:val="en-US"/>
        </w:rPr>
      </w:pPr>
      <w:r w:rsidRPr="000D65CF">
        <w:rPr>
          <w:lang w:val="en-US"/>
        </w:rPr>
        <w:t>3.</w:t>
      </w:r>
      <w:r w:rsidR="00BD152D">
        <w:rPr>
          <w:lang w:val="en-US"/>
        </w:rPr>
        <w:t>1</w:t>
      </w:r>
      <w:r w:rsidRPr="000D65CF">
        <w:rPr>
          <w:lang w:val="en-US"/>
        </w:rPr>
        <w:t xml:space="preserve"> UK Transport Carbon Model: </w:t>
      </w:r>
      <w:r w:rsidR="005D4598">
        <w:rPr>
          <w:lang w:val="en-US"/>
        </w:rPr>
        <w:t>summary</w:t>
      </w:r>
      <w:r w:rsidRPr="000D65CF">
        <w:rPr>
          <w:lang w:val="en-US"/>
        </w:rPr>
        <w:t xml:space="preserve"> and updates since Brand et al. </w:t>
      </w:r>
      <w:r w:rsidR="00880B2F">
        <w:rPr>
          <w:lang w:val="en-US"/>
        </w:rPr>
        <w:fldChar w:fldCharType="begin"/>
      </w:r>
      <w:r w:rsidR="00653C01">
        <w:rPr>
          <w:lang w:val="en-US"/>
        </w:rPr>
        <w:instrText xml:space="preserve"> ADDIN EN.CITE &lt;EndNote&gt;&lt;Cite ExcludeAuth="1"&gt;&lt;Author&gt;Brand&lt;/Author&gt;&lt;Year&gt;2012&lt;/Year&gt;&lt;RecNum&gt;819&lt;/RecNum&gt;&lt;DisplayText&gt;(2012)&lt;/DisplayText&gt;&lt;record&gt;&lt;rec-number&gt;819&lt;/rec-number&gt;&lt;foreign-keys&gt;&lt;key app="EN" db-id="a0wpest2552swgezzsnxxwsnpp9axwswpaww"&gt;819&lt;/key&gt;&lt;/foreign-keys&gt;&lt;ref-type name="Journal Article"&gt;17&lt;/ref-type&gt;&lt;contributors&gt;&lt;authors&gt;&lt;author&gt;Brand, Christian&lt;/author&gt;&lt;author&gt;Tran, Martino&lt;/author&gt;&lt;author&gt;Anable, Jillian&lt;/author&gt;&lt;/authors&gt;&lt;/contributors&gt;&lt;titles&gt;&lt;title&gt;The UK transport carbon model: An integrated life cycle approach to explore low carbon futures&lt;/title&gt;&lt;secondary-title&gt;Energy Policy&lt;/secondary-title&gt;&lt;/titles&gt;&lt;periodical&gt;&lt;full-title&gt;Energy Policy&lt;/full-title&gt;&lt;/periodical&gt;&lt;pages&gt;107-124&lt;/pages&gt;&lt;volume&gt;41&lt;/volume&gt;&lt;keywords&gt;&lt;keyword&gt;Transport energy modelling&lt;/keyword&gt;&lt;keyword&gt;Strategic policy analysis&lt;/keyword&gt;&lt;keyword&gt;Scenario development&lt;/keyword&gt;&lt;/keywords&gt;&lt;dates&gt;&lt;year&gt;2012&lt;/year&gt;&lt;/dates&gt;&lt;isbn&gt;0301-4215&lt;/isbn&gt;&lt;urls&gt;&lt;related-urls&gt;&lt;url&gt;http://www.sciencedirect.com/science/article/B6V2W-51066NF-4/2/cc03d5c454040f61aa82124296a00904&lt;/url&gt;&lt;/related-urls&gt;&lt;/urls&gt;&lt;/record&gt;&lt;/Cite&gt;&lt;/EndNote&gt;</w:instrText>
      </w:r>
      <w:r w:rsidR="00880B2F">
        <w:rPr>
          <w:lang w:val="en-US"/>
        </w:rPr>
        <w:fldChar w:fldCharType="separate"/>
      </w:r>
      <w:r w:rsidR="00546ABC">
        <w:rPr>
          <w:noProof/>
          <w:lang w:val="en-US"/>
        </w:rPr>
        <w:t>(</w:t>
      </w:r>
      <w:hyperlink w:anchor="_ENREF_11" w:tooltip="Brand, 2012 #819" w:history="1">
        <w:r w:rsidR="00D67197">
          <w:rPr>
            <w:noProof/>
            <w:lang w:val="en-US"/>
          </w:rPr>
          <w:t>2012</w:t>
        </w:r>
      </w:hyperlink>
      <w:r w:rsidR="00546ABC">
        <w:rPr>
          <w:noProof/>
          <w:lang w:val="en-US"/>
        </w:rPr>
        <w:t>)</w:t>
      </w:r>
      <w:r w:rsidR="00880B2F">
        <w:rPr>
          <w:lang w:val="en-US"/>
        </w:rPr>
        <w:fldChar w:fldCharType="end"/>
      </w:r>
    </w:p>
    <w:p w14:paraId="27ACD694" w14:textId="3AF3B062" w:rsidR="008A36A2" w:rsidRPr="00C64BF5" w:rsidRDefault="005D4598" w:rsidP="00A018D1">
      <w:pPr>
        <w:rPr>
          <w:lang w:val="en-US"/>
        </w:rPr>
      </w:pPr>
      <w:r>
        <w:rPr>
          <w:lang w:val="en-US"/>
        </w:rPr>
        <w:t>T</w:t>
      </w:r>
      <w:r w:rsidR="000D65CF" w:rsidRPr="000D65CF">
        <w:rPr>
          <w:lang w:val="en-US"/>
        </w:rPr>
        <w:t>he UKTCM is a highly disaggregated, bottom-up model of transport energy use and life cycle carbon emissions in the UK.</w:t>
      </w:r>
      <w:r w:rsidR="00730E99">
        <w:rPr>
          <w:lang w:val="en-US"/>
        </w:rPr>
        <w:t xml:space="preserve"> T</w:t>
      </w:r>
      <w:r w:rsidR="000D65CF" w:rsidRPr="000D65CF">
        <w:rPr>
          <w:lang w:val="en-US"/>
        </w:rPr>
        <w:t>he UKTCM provides annual projections of transport supply and demand, for all passenger and freight modes of transport, and calculates the corresponding energy use, life cycle emissions and environmental impacts year-by-year up to 2050. It takes a holistic view of the transport system, built around a set of exogenous scenarios of socio-economic and political developments. The model is technology rich and, in its current version, provides projections of how different technologies evolve over time for more than 600 vehicle technology categories</w:t>
      </w:r>
      <w:r w:rsidR="000D65CF" w:rsidRPr="000D65CF">
        <w:rPr>
          <w:vertAlign w:val="superscript"/>
          <w:lang w:val="en-US"/>
        </w:rPr>
        <w:footnoteReference w:id="6"/>
      </w:r>
      <w:r w:rsidR="000D65CF" w:rsidRPr="000D65CF">
        <w:rPr>
          <w:lang w:val="en-US"/>
        </w:rPr>
        <w:t>, including a wide range of alternative-fuelled vehicles such as more efficient gasoline cars, hybrid ele</w:t>
      </w:r>
      <w:r>
        <w:rPr>
          <w:lang w:val="en-US"/>
        </w:rPr>
        <w:t>ctric cars, plug-in hybrid vans and</w:t>
      </w:r>
      <w:r w:rsidR="000D65CF" w:rsidRPr="000D65CF">
        <w:rPr>
          <w:lang w:val="en-US"/>
        </w:rPr>
        <w:t xml:space="preserve"> battery electric buses. </w:t>
      </w:r>
      <w:r w:rsidR="00BD152D">
        <w:rPr>
          <w:lang w:val="en-US"/>
        </w:rPr>
        <w:t>T</w:t>
      </w:r>
      <w:r w:rsidR="000D65CF" w:rsidRPr="000D65CF">
        <w:rPr>
          <w:lang w:val="en-US"/>
        </w:rPr>
        <w:t xml:space="preserve">he UKTCM is specifically designed to develop future scenarios to explore the full range and potential of not only technological, but fiscal, regulatory and </w:t>
      </w:r>
      <w:r w:rsidRPr="000D65CF">
        <w:rPr>
          <w:lang w:val="en-US"/>
        </w:rPr>
        <w:t>behavioral</w:t>
      </w:r>
      <w:r w:rsidR="000D65CF" w:rsidRPr="000D65CF">
        <w:rPr>
          <w:lang w:val="en-US"/>
        </w:rPr>
        <w:t xml:space="preserve"> change transport policy interventions. An example is the recent </w:t>
      </w:r>
      <w:r w:rsidR="000D65CF" w:rsidRPr="000D65CF">
        <w:rPr>
          <w:i/>
          <w:lang w:val="en-US"/>
        </w:rPr>
        <w:t>Energy2050</w:t>
      </w:r>
      <w:r w:rsidR="000D65CF" w:rsidRPr="000D65CF">
        <w:rPr>
          <w:lang w:val="en-US"/>
        </w:rPr>
        <w:t xml:space="preserve"> work of the </w:t>
      </w:r>
      <w:r>
        <w:rPr>
          <w:lang w:val="en-US"/>
        </w:rPr>
        <w:t>UK Energy Research Centre (</w:t>
      </w:r>
      <w:r w:rsidR="000D65CF" w:rsidRPr="000D65CF">
        <w:rPr>
          <w:lang w:val="en-US"/>
        </w:rPr>
        <w:t>UKERC</w:t>
      </w:r>
      <w:r>
        <w:rPr>
          <w:lang w:val="en-US"/>
        </w:rPr>
        <w:t>)</w:t>
      </w:r>
      <w:r w:rsidR="000D65CF" w:rsidRPr="000D65CF">
        <w:rPr>
          <w:lang w:val="en-US"/>
        </w:rPr>
        <w:t xml:space="preserve"> where UKTCM played a key role in developing the ‘Lifestyle’ scenarios</w:t>
      </w:r>
      <w:r w:rsidR="00730E99">
        <w:rPr>
          <w:lang w:val="en-US"/>
        </w:rPr>
        <w:t xml:space="preserve"> </w:t>
      </w:r>
      <w:r w:rsidR="00880B2F">
        <w:rPr>
          <w:lang w:val="en-US"/>
        </w:rPr>
        <w:fldChar w:fldCharType="begin"/>
      </w:r>
      <w:r w:rsidR="003843CD">
        <w:rPr>
          <w:lang w:val="en-US"/>
        </w:rPr>
        <w:instrText xml:space="preserve"> ADDIN EN.CITE &lt;EndNote&gt;&lt;Cite&gt;&lt;Author&gt;Anable&lt;/Author&gt;&lt;Year&gt;2011&lt;/Year&gt;&lt;RecNum&gt;733&lt;/RecNum&gt;&lt;DisplayText&gt;(Anable et al., 2011; Anable et al., 2012)&lt;/DisplayText&gt;&lt;record&gt;&lt;rec-number&gt;733&lt;/rec-number&gt;&lt;foreign-keys&gt;&lt;key app="EN" db-id="a0wpest2552swgezzsnxxwsnpp9axwswpaww"&gt;733&lt;/key&gt;&lt;/foreign-keys&gt;&lt;ref-type name="Report"&gt;27&lt;/ref-type&gt;&lt;contributors&gt;&lt;authors&gt;&lt;author&gt;Anable, J.&lt;/author&gt;&lt;author&gt;Brand, C.&lt;/author&gt;&lt;author&gt;Eyre, N.&lt;/author&gt;&lt;author&gt;Layberry, R.&lt;/author&gt;&lt;author&gt;Bergman, N.&lt;/author&gt;&lt;author&gt;Strachan, N.&lt;/author&gt;&lt;author&gt;Fawcett, T.&lt;/author&gt;&lt;author&gt;Tran, M.&lt;/author&gt;&lt;/authors&gt;&lt;/contributors&gt;&lt;titles&gt;&lt;title&gt;Energy 2050 - WG1 Energy Demand: Lifestyle and Energy Consumption, UKERC Working Paper&lt;/title&gt;&lt;/titles&gt;&lt;dates&gt;&lt;year&gt;2011&lt;/year&gt;&lt;/dates&gt;&lt;pub-location&gt;Oxford&lt;/pub-location&gt;&lt;publisher&gt;UK Energy Research Centre (UKERC), Energy Demand Theme&lt;/publisher&gt;&lt;urls&gt;&lt;/urls&gt;&lt;/record&gt;&lt;/Cite&gt;&lt;Cite&gt;&lt;Author&gt;Anable&lt;/Author&gt;&lt;Year&gt;2012&lt;/Year&gt;&lt;RecNum&gt;818&lt;/RecNum&gt;&lt;record&gt;&lt;rec-number&gt;818&lt;/rec-number&gt;&lt;foreign-keys&gt;&lt;key app="EN" db-id="a0wpest2552swgezzsnxxwsnpp9axwswpaww"&gt;818&lt;/key&gt;&lt;/foreign-keys&gt;&lt;ref-type name="Journal Article"&gt;17&lt;/ref-type&gt;&lt;contributors&gt;&lt;authors&gt;&lt;author&gt;Anable, Jillian&lt;/author&gt;&lt;author&gt;Brand, Christian&lt;/author&gt;&lt;author&gt;Tran, Martino&lt;/author&gt;&lt;author&gt;Eyre, Nick&lt;/author&gt;&lt;/authors&gt;&lt;/contributors&gt;&lt;titles&gt;&lt;title&gt;Modelling transport energy demand: A socio-technical approach&lt;/title&gt;&lt;secondary-title&gt;Energy Policy&lt;/secondary-title&gt;&lt;/titles&gt;&lt;periodical&gt;&lt;full-title&gt;Energy Policy&lt;/full-title&gt;&lt;/periodical&gt;&lt;pages&gt;125-138&lt;/pages&gt;&lt;volume&gt;41&lt;/volume&gt;&lt;keywords&gt;&lt;keyword&gt;Transport energy modelling&lt;/keyword&gt;&lt;keyword&gt;Lifestyles&lt;/keyword&gt;&lt;keyword&gt;Socio-technical scenarios&lt;/keyword&gt;&lt;/keywords&gt;&lt;dates&gt;&lt;year&gt;2012&lt;/year&gt;&lt;/dates&gt;&lt;isbn&gt;0301-4215&lt;/isbn&gt;&lt;urls&gt;&lt;related-urls&gt;&lt;url&gt;http://www.sciencedirect.com/science/article/B6V2W-50XTT7B-2/2/cd7e2c97fc5eeafd6dd12903f3c50159&lt;/url&gt;&lt;/related-urls&gt;&lt;/urls&gt;&lt;/record&gt;&lt;/Cite&gt;&lt;/EndNote&gt;</w:instrText>
      </w:r>
      <w:r w:rsidR="00880B2F">
        <w:rPr>
          <w:lang w:val="en-US"/>
        </w:rPr>
        <w:fldChar w:fldCharType="separate"/>
      </w:r>
      <w:r w:rsidR="00546ABC">
        <w:rPr>
          <w:noProof/>
          <w:lang w:val="en-US"/>
        </w:rPr>
        <w:t>(</w:t>
      </w:r>
      <w:hyperlink w:anchor="_ENREF_2" w:tooltip="Anable, 2011 #733" w:history="1">
        <w:r w:rsidR="00D67197">
          <w:rPr>
            <w:noProof/>
            <w:lang w:val="en-US"/>
          </w:rPr>
          <w:t>Anable et al., 2011</w:t>
        </w:r>
      </w:hyperlink>
      <w:r w:rsidR="00546ABC">
        <w:rPr>
          <w:noProof/>
          <w:lang w:val="en-US"/>
        </w:rPr>
        <w:t xml:space="preserve">; </w:t>
      </w:r>
      <w:hyperlink w:anchor="_ENREF_3" w:tooltip="Anable, 2012 #818" w:history="1">
        <w:r w:rsidR="00D67197">
          <w:rPr>
            <w:noProof/>
            <w:lang w:val="en-US"/>
          </w:rPr>
          <w:t>Anable et al., 2012</w:t>
        </w:r>
      </w:hyperlink>
      <w:r w:rsidR="00546ABC">
        <w:rPr>
          <w:noProof/>
          <w:lang w:val="en-US"/>
        </w:rPr>
        <w:t>)</w:t>
      </w:r>
      <w:r w:rsidR="00880B2F">
        <w:rPr>
          <w:lang w:val="en-US"/>
        </w:rPr>
        <w:fldChar w:fldCharType="end"/>
      </w:r>
      <w:r>
        <w:rPr>
          <w:lang w:val="en-US"/>
        </w:rPr>
        <w:t xml:space="preserve">. </w:t>
      </w:r>
      <w:r w:rsidR="000D65CF" w:rsidRPr="000D65CF">
        <w:rPr>
          <w:lang w:val="en-US"/>
        </w:rPr>
        <w:t xml:space="preserve">An introduction to the model has been published in Brand et al. </w:t>
      </w:r>
      <w:r w:rsidR="00880B2F" w:rsidRPr="000D65CF">
        <w:rPr>
          <w:lang w:val="en-US"/>
        </w:rPr>
        <w:fldChar w:fldCharType="begin"/>
      </w:r>
      <w:r w:rsidR="00653C01">
        <w:rPr>
          <w:lang w:val="en-US"/>
        </w:rPr>
        <w:instrText xml:space="preserve"> ADDIN EN.CITE &lt;EndNote&gt;&lt;Cite ExcludeAuth="1"&gt;&lt;Author&gt;Brand&lt;/Author&gt;&lt;Year&gt;2012&lt;/Year&gt;&lt;RecNum&gt;819&lt;/RecNum&gt;&lt;DisplayText&gt;(2012)&lt;/DisplayText&gt;&lt;record&gt;&lt;rec-number&gt;819&lt;/rec-number&gt;&lt;foreign-keys&gt;&lt;key app="EN" db-id="a0wpest2552swgezzsnxxwsnpp9axwswpaww"&gt;819&lt;/key&gt;&lt;/foreign-keys&gt;&lt;ref-type name="Journal Article"&gt;17&lt;/ref-type&gt;&lt;contributors&gt;&lt;authors&gt;&lt;author&gt;Brand, Christian&lt;/author&gt;&lt;author&gt;Tran, Martino&lt;/author&gt;&lt;author&gt;Anable, Jillian&lt;/author&gt;&lt;/authors&gt;&lt;/contributors&gt;&lt;titles&gt;&lt;title&gt;The UK transport carbon model: An integrated life cycle approach to explore low carbon futures&lt;/title&gt;&lt;secondary-title&gt;Energy Policy&lt;/secondary-title&gt;&lt;/titles&gt;&lt;periodical&gt;&lt;full-title&gt;Energy Policy&lt;/full-title&gt;&lt;/periodical&gt;&lt;pages&gt;107-124&lt;/pages&gt;&lt;volume&gt;41&lt;/volume&gt;&lt;keywords&gt;&lt;keyword&gt;Transport energy modelling&lt;/keyword&gt;&lt;keyword&gt;Strategic policy analysis&lt;/keyword&gt;&lt;keyword&gt;Scenario development&lt;/keyword&gt;&lt;/keywords&gt;&lt;dates&gt;&lt;year&gt;2012&lt;/year&gt;&lt;/dates&gt;&lt;isbn&gt;0301-4215&lt;/isbn&gt;&lt;urls&gt;&lt;related-urls&gt;&lt;url&gt;http://www.sciencedirect.com/science/article/B6V2W-51066NF-4/2/cc03d5c454040f61aa82124296a00904&lt;/url&gt;&lt;/related-urls&gt;&lt;/urls&gt;&lt;/record&gt;&lt;/Cite&gt;&lt;/EndNote&gt;</w:instrText>
      </w:r>
      <w:r w:rsidR="00880B2F" w:rsidRPr="000D65CF">
        <w:rPr>
          <w:lang w:val="en-US"/>
        </w:rPr>
        <w:fldChar w:fldCharType="separate"/>
      </w:r>
      <w:r w:rsidR="00546ABC">
        <w:rPr>
          <w:noProof/>
          <w:lang w:val="en-US"/>
        </w:rPr>
        <w:t>(</w:t>
      </w:r>
      <w:hyperlink w:anchor="_ENREF_11" w:tooltip="Brand, 2012 #819" w:history="1">
        <w:r w:rsidR="00D67197">
          <w:rPr>
            <w:noProof/>
            <w:lang w:val="en-US"/>
          </w:rPr>
          <w:t>2012</w:t>
        </w:r>
      </w:hyperlink>
      <w:r w:rsidR="00546ABC">
        <w:rPr>
          <w:noProof/>
          <w:lang w:val="en-US"/>
        </w:rPr>
        <w:t>)</w:t>
      </w:r>
      <w:r w:rsidR="00880B2F" w:rsidRPr="000D65CF">
        <w:rPr>
          <w:lang w:val="en-US"/>
        </w:rPr>
        <w:fldChar w:fldCharType="end"/>
      </w:r>
      <w:r w:rsidR="000D65CF" w:rsidRPr="000D65CF">
        <w:rPr>
          <w:lang w:val="en-US"/>
        </w:rPr>
        <w:t xml:space="preserve">; further details can be obtained from the Reference Guide </w:t>
      </w:r>
      <w:r w:rsidR="00880B2F" w:rsidRPr="000D65CF">
        <w:rPr>
          <w:lang w:val="en-US"/>
        </w:rPr>
        <w:fldChar w:fldCharType="begin"/>
      </w:r>
      <w:r w:rsidR="00C2662B">
        <w:rPr>
          <w:lang w:val="en-US"/>
        </w:rPr>
        <w:instrText xml:space="preserve"> ADDIN EN.CITE &lt;EndNote&gt;&lt;Cite&gt;&lt;Author&gt;Brand&lt;/Author&gt;&lt;Year&gt;2010&lt;/Year&gt;&lt;RecNum&gt;752&lt;/RecNum&gt;&lt;DisplayText&gt;(Brand, 2010a)&lt;/DisplayText&gt;&lt;record&gt;&lt;rec-number&gt;752&lt;/rec-number&gt;&lt;foreign-keys&gt;&lt;key app="EN" db-id="a0wpest2552swgezzsnxxwsnpp9axwswpaww"&gt;752&lt;/key&gt;&lt;/foreign-keys&gt;&lt;ref-type name="Report"&gt;27&lt;/ref-type&gt;&lt;contributors&gt;&lt;authors&gt;&lt;author&gt;Brand, C.&lt;/author&gt;&lt;/authors&gt;&lt;/contributors&gt;&lt;titles&gt;&lt;title&gt;UK Transport Carbon Model: Reference Guide v1.0&lt;/title&gt;&lt;/titles&gt;&lt;dates&gt;&lt;year&gt;2010&lt;/year&gt;&lt;/dates&gt;&lt;pub-location&gt;Oxford&lt;/pub-location&gt;&lt;publisher&gt;UK Energy Research Centre, Energy Demand Theme&lt;/publisher&gt;&lt;urls&gt;&lt;/urls&gt;&lt;/record&gt;&lt;/Cite&gt;&lt;/EndNote&gt;</w:instrText>
      </w:r>
      <w:r w:rsidR="00880B2F" w:rsidRPr="000D65CF">
        <w:rPr>
          <w:lang w:val="en-US"/>
        </w:rPr>
        <w:fldChar w:fldCharType="separate"/>
      </w:r>
      <w:r w:rsidR="00C2662B">
        <w:rPr>
          <w:noProof/>
          <w:lang w:val="en-US"/>
        </w:rPr>
        <w:t>(</w:t>
      </w:r>
      <w:hyperlink w:anchor="_ENREF_9" w:tooltip="Brand, 2010 #752" w:history="1">
        <w:r w:rsidR="00D67197">
          <w:rPr>
            <w:noProof/>
            <w:lang w:val="en-US"/>
          </w:rPr>
          <w:t>Brand, 2010a</w:t>
        </w:r>
      </w:hyperlink>
      <w:r w:rsidR="00C2662B">
        <w:rPr>
          <w:noProof/>
          <w:lang w:val="en-US"/>
        </w:rPr>
        <w:t>)</w:t>
      </w:r>
      <w:r w:rsidR="00880B2F" w:rsidRPr="000D65CF">
        <w:rPr>
          <w:lang w:val="en-US"/>
        </w:rPr>
        <w:fldChar w:fldCharType="end"/>
      </w:r>
      <w:r w:rsidR="000D65CF" w:rsidRPr="000D65CF">
        <w:rPr>
          <w:lang w:val="en-US"/>
        </w:rPr>
        <w:t xml:space="preserve"> and User Guide </w:t>
      </w:r>
      <w:r w:rsidR="00880B2F" w:rsidRPr="000D65CF">
        <w:rPr>
          <w:lang w:val="en-US"/>
        </w:rPr>
        <w:fldChar w:fldCharType="begin"/>
      </w:r>
      <w:r w:rsidR="00C2662B">
        <w:rPr>
          <w:lang w:val="en-US"/>
        </w:rPr>
        <w:instrText xml:space="preserve"> ADDIN EN.CITE &lt;EndNote&gt;&lt;Cite&gt;&lt;Author&gt;Brand&lt;/Author&gt;&lt;Year&gt;2010&lt;/Year&gt;&lt;RecNum&gt;751&lt;/RecNum&gt;&lt;DisplayText&gt;(Brand, 2010b)&lt;/DisplayText&gt;&lt;record&gt;&lt;rec-number&gt;751&lt;/rec-number&gt;&lt;foreign-keys&gt;&lt;key app="EN" db-id="a0wpest2552swgezzsnxxwsnpp9axwswpaww"&gt;751&lt;/key&gt;&lt;/foreign-keys&gt;&lt;ref-type name="Report"&gt;27&lt;/ref-type&gt;&lt;contributors&gt;&lt;authors&gt;&lt;author&gt;Brand, C.&lt;/author&gt;&lt;/authors&gt;&lt;/contributors&gt;&lt;titles&gt;&lt;title&gt;UK Transport Carbon Model: User Guide v1.0&lt;/title&gt;&lt;/titles&gt;&lt;dates&gt;&lt;year&gt;2010&lt;/year&gt;&lt;/dates&gt;&lt;pub-location&gt;Oxford&lt;/pub-location&gt;&lt;publisher&gt;UK Energy Research Centre, Energy Demand Theme&lt;/publisher&gt;&lt;urls&gt;&lt;/urls&gt;&lt;/record&gt;&lt;/Cite&gt;&lt;/EndNote&gt;</w:instrText>
      </w:r>
      <w:r w:rsidR="00880B2F" w:rsidRPr="000D65CF">
        <w:rPr>
          <w:lang w:val="en-US"/>
        </w:rPr>
        <w:fldChar w:fldCharType="separate"/>
      </w:r>
      <w:r w:rsidR="00C2662B">
        <w:rPr>
          <w:noProof/>
          <w:lang w:val="en-US"/>
        </w:rPr>
        <w:t>(</w:t>
      </w:r>
      <w:hyperlink w:anchor="_ENREF_10" w:tooltip="Brand, 2010 #751" w:history="1">
        <w:r w:rsidR="00D67197">
          <w:rPr>
            <w:noProof/>
            <w:lang w:val="en-US"/>
          </w:rPr>
          <w:t>Brand, 2010b</w:t>
        </w:r>
      </w:hyperlink>
      <w:r w:rsidR="00C2662B">
        <w:rPr>
          <w:noProof/>
          <w:lang w:val="en-US"/>
        </w:rPr>
        <w:t>)</w:t>
      </w:r>
      <w:r w:rsidR="00880B2F" w:rsidRPr="000D65CF">
        <w:rPr>
          <w:lang w:val="en-US"/>
        </w:rPr>
        <w:fldChar w:fldCharType="end"/>
      </w:r>
      <w:r w:rsidR="000D65CF" w:rsidRPr="000D65CF">
        <w:rPr>
          <w:lang w:val="en-US"/>
        </w:rPr>
        <w:t>.</w:t>
      </w:r>
    </w:p>
    <w:p w14:paraId="2CB0A0AB" w14:textId="77777777" w:rsidR="002845A5" w:rsidRPr="00C64BF5" w:rsidRDefault="002845A5" w:rsidP="002845A5">
      <w:pPr>
        <w:rPr>
          <w:lang w:val="en-US"/>
        </w:rPr>
      </w:pPr>
    </w:p>
    <w:p w14:paraId="068E367B" w14:textId="40669899" w:rsidR="00AC2830" w:rsidRDefault="000D65CF" w:rsidP="00A018D1">
      <w:pPr>
        <w:rPr>
          <w:lang w:val="en-GB"/>
        </w:rPr>
      </w:pPr>
      <w:r w:rsidRPr="000D65CF">
        <w:rPr>
          <w:lang w:val="en-US"/>
        </w:rPr>
        <w:t xml:space="preserve">Within the UKTCM </w:t>
      </w:r>
      <w:r w:rsidR="005D4598" w:rsidRPr="000D65CF">
        <w:rPr>
          <w:lang w:val="en-US"/>
        </w:rPr>
        <w:t>modeling</w:t>
      </w:r>
      <w:r w:rsidRPr="000D65CF">
        <w:rPr>
          <w:lang w:val="en-US"/>
        </w:rPr>
        <w:t xml:space="preserve"> framework, changing car purchase and ownership costs essentially affects three areas of </w:t>
      </w:r>
      <w:r w:rsidR="005D4598" w:rsidRPr="000D65CF">
        <w:rPr>
          <w:lang w:val="en-US"/>
        </w:rPr>
        <w:t>modeling</w:t>
      </w:r>
      <w:r w:rsidRPr="000D65CF">
        <w:rPr>
          <w:lang w:val="en-US"/>
        </w:rPr>
        <w:t>: (1) the household car ownership model, (2) the car choice model (built around a discrete choice model that includes purchase price and operating costs as choice attributes)</w:t>
      </w:r>
      <w:r w:rsidR="00AF3D3B">
        <w:rPr>
          <w:rStyle w:val="FootnoteReference"/>
          <w:lang w:val="en-US"/>
        </w:rPr>
        <w:footnoteReference w:id="7"/>
      </w:r>
      <w:r w:rsidRPr="000D65CF">
        <w:rPr>
          <w:lang w:val="en-US"/>
        </w:rPr>
        <w:t xml:space="preserve"> and (3) the demand model (built around an elastic demand model </w:t>
      </w:r>
      <w:r w:rsidRPr="000D65CF">
        <w:rPr>
          <w:lang w:val="en-US"/>
        </w:rPr>
        <w:lastRenderedPageBreak/>
        <w:t xml:space="preserve">with average </w:t>
      </w:r>
      <w:r w:rsidR="005D4598">
        <w:rPr>
          <w:lang w:val="en-US"/>
        </w:rPr>
        <w:t>transport costs as a key</w:t>
      </w:r>
      <w:r w:rsidRPr="000D65CF">
        <w:rPr>
          <w:lang w:val="en-US"/>
        </w:rPr>
        <w:t xml:space="preserve"> </w:t>
      </w:r>
      <w:r w:rsidR="005D4598">
        <w:rPr>
          <w:lang w:val="en-US"/>
        </w:rPr>
        <w:t>feedback</w:t>
      </w:r>
      <w:r w:rsidRPr="000D65CF">
        <w:rPr>
          <w:lang w:val="en-US"/>
        </w:rPr>
        <w:t xml:space="preserve"> parameter</w:t>
      </w:r>
      <w:r w:rsidR="005D4598">
        <w:rPr>
          <w:lang w:val="en-US"/>
        </w:rPr>
        <w:t xml:space="preserve"> between demand and supply</w:t>
      </w:r>
      <w:r w:rsidRPr="000D65CF">
        <w:rPr>
          <w:lang w:val="en-US"/>
        </w:rPr>
        <w:t>).</w:t>
      </w:r>
      <w:r w:rsidR="003C229A">
        <w:rPr>
          <w:lang w:val="en-US"/>
        </w:rPr>
        <w:t xml:space="preserve"> </w:t>
      </w:r>
      <w:r w:rsidR="003C229A" w:rsidRPr="003C229A">
        <w:rPr>
          <w:lang w:val="en-GB"/>
        </w:rPr>
        <w:t xml:space="preserve">Building on an extensive literature on </w:t>
      </w:r>
      <w:r w:rsidR="003317AC">
        <w:rPr>
          <w:lang w:val="en-GB"/>
        </w:rPr>
        <w:t xml:space="preserve">modelling </w:t>
      </w:r>
      <w:r w:rsidR="003C229A" w:rsidRPr="003C229A">
        <w:rPr>
          <w:lang w:val="en-GB"/>
        </w:rPr>
        <w:t>private consumer energy investments</w:t>
      </w:r>
      <w:r w:rsidR="003317AC">
        <w:rPr>
          <w:lang w:val="en-GB"/>
        </w:rPr>
        <w:t xml:space="preserve"> in discrete choice models</w:t>
      </w:r>
      <w:r w:rsidR="003C229A">
        <w:rPr>
          <w:lang w:val="en-GB"/>
        </w:rPr>
        <w:t xml:space="preserve"> </w:t>
      </w:r>
      <w:r w:rsidR="003C229A">
        <w:rPr>
          <w:lang w:val="en-GB"/>
        </w:rPr>
        <w:fldChar w:fldCharType="begin">
          <w:fldData xml:space="preserve">PEVuZE5vdGU+PENpdGU+PEF1dGhvcj5UcmFpbjwvQXV0aG9yPjxZZWFyPjE5ODU8L1llYXI+PFJl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</w:fldData>
        </w:fldChar>
      </w:r>
      <w:r w:rsidR="003317AC">
        <w:rPr>
          <w:lang w:val="en-GB"/>
        </w:rPr>
        <w:instrText xml:space="preserve"> ADDIN EN.CITE </w:instrText>
      </w:r>
      <w:r w:rsidR="003317AC">
        <w:rPr>
          <w:lang w:val="en-GB"/>
        </w:rPr>
        <w:fldChar w:fldCharType="begin">
          <w:fldData xml:space="preserve">PEVuZE5vdGU+PENpdGU+PEF1dGhvcj5UcmFpbjwvQXV0aG9yPjxZZWFyPjE5ODU8L1llYXI+PFJl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</w:fldData>
        </w:fldChar>
      </w:r>
      <w:r w:rsidR="003317AC">
        <w:rPr>
          <w:lang w:val="en-GB"/>
        </w:rPr>
        <w:instrText xml:space="preserve"> ADDIN EN.CITE.DATA </w:instrText>
      </w:r>
      <w:r w:rsidR="003317AC">
        <w:rPr>
          <w:lang w:val="en-GB"/>
        </w:rPr>
      </w:r>
      <w:r w:rsidR="003317AC">
        <w:rPr>
          <w:lang w:val="en-GB"/>
        </w:rPr>
        <w:fldChar w:fldCharType="end"/>
      </w:r>
      <w:r w:rsidR="003C229A">
        <w:rPr>
          <w:lang w:val="en-GB"/>
        </w:rPr>
      </w:r>
      <w:r w:rsidR="003C229A">
        <w:rPr>
          <w:lang w:val="en-GB"/>
        </w:rPr>
        <w:fldChar w:fldCharType="separate"/>
      </w:r>
      <w:r w:rsidR="003317AC">
        <w:rPr>
          <w:noProof/>
          <w:lang w:val="en-GB"/>
        </w:rPr>
        <w:t>(</w:t>
      </w:r>
      <w:hyperlink w:anchor="_ENREF_12" w:tooltip="Brownstone, 2000 #713" w:history="1">
        <w:r w:rsidR="00D67197">
          <w:rPr>
            <w:noProof/>
            <w:lang w:val="en-GB"/>
          </w:rPr>
          <w:t>Brownstone et al., 2000</w:t>
        </w:r>
      </w:hyperlink>
      <w:r w:rsidR="003317AC">
        <w:rPr>
          <w:noProof/>
          <w:lang w:val="en-GB"/>
        </w:rPr>
        <w:t xml:space="preserve">; </w:t>
      </w:r>
      <w:hyperlink w:anchor="_ENREF_28" w:tooltip="Ewing, 1998 #991" w:history="1">
        <w:r w:rsidR="00D67197">
          <w:rPr>
            <w:noProof/>
            <w:lang w:val="en-GB"/>
          </w:rPr>
          <w:t>Ewing and Sarigollu, 1998</w:t>
        </w:r>
      </w:hyperlink>
      <w:r w:rsidR="003317AC">
        <w:rPr>
          <w:noProof/>
          <w:lang w:val="en-GB"/>
        </w:rPr>
        <w:t xml:space="preserve">; </w:t>
      </w:r>
      <w:hyperlink w:anchor="_ENREF_33" w:tooltip="Golob, 1997 #992" w:history="1">
        <w:r w:rsidR="00D67197">
          <w:rPr>
            <w:noProof/>
            <w:lang w:val="en-GB"/>
          </w:rPr>
          <w:t>Golob et al., 1997</w:t>
        </w:r>
      </w:hyperlink>
      <w:r w:rsidR="003317AC">
        <w:rPr>
          <w:noProof/>
          <w:lang w:val="en-GB"/>
        </w:rPr>
        <w:t xml:space="preserve">; </w:t>
      </w:r>
      <w:hyperlink w:anchor="_ENREF_44" w:tooltip="Horne, 2005 #714" w:history="1">
        <w:r w:rsidR="00D67197">
          <w:rPr>
            <w:noProof/>
            <w:lang w:val="en-GB"/>
          </w:rPr>
          <w:t>Horne et al., 2005</w:t>
        </w:r>
      </w:hyperlink>
      <w:r w:rsidR="003317AC">
        <w:rPr>
          <w:noProof/>
          <w:lang w:val="en-GB"/>
        </w:rPr>
        <w:t xml:space="preserve">; </w:t>
      </w:r>
      <w:hyperlink w:anchor="_ENREF_76" w:tooltip="Train, 1985 #986" w:history="1">
        <w:r w:rsidR="00D67197">
          <w:rPr>
            <w:noProof/>
            <w:lang w:val="en-GB"/>
          </w:rPr>
          <w:t>Train, 1985</w:t>
        </w:r>
      </w:hyperlink>
      <w:r w:rsidR="003317AC">
        <w:rPr>
          <w:noProof/>
          <w:lang w:val="en-GB"/>
        </w:rPr>
        <w:t>)</w:t>
      </w:r>
      <w:r w:rsidR="003C229A">
        <w:rPr>
          <w:lang w:val="en-GB"/>
        </w:rPr>
        <w:fldChar w:fldCharType="end"/>
      </w:r>
      <w:r w:rsidR="003C229A" w:rsidRPr="003C229A">
        <w:rPr>
          <w:lang w:val="en-GB"/>
        </w:rPr>
        <w:t xml:space="preserve">, </w:t>
      </w:r>
      <w:proofErr w:type="spellStart"/>
      <w:r w:rsidR="003C229A" w:rsidRPr="003C229A">
        <w:rPr>
          <w:lang w:val="en-GB"/>
        </w:rPr>
        <w:t>a mid</w:t>
      </w:r>
      <w:proofErr w:type="spellEnd"/>
      <w:r w:rsidR="003C229A" w:rsidRPr="003C229A">
        <w:rPr>
          <w:lang w:val="en-GB"/>
        </w:rPr>
        <w:t xml:space="preserve"> range discount rate of 30% is applied to the private car market and is used to represent investment behaviour and mimic non-cost barriers including lack of information.</w:t>
      </w:r>
      <w:r w:rsidR="003C229A">
        <w:rPr>
          <w:rStyle w:val="FootnoteReference"/>
          <w:lang w:val="en-GB"/>
        </w:rPr>
        <w:footnoteReference w:id="8"/>
      </w:r>
      <w:r w:rsidR="003C229A" w:rsidRPr="003C229A">
        <w:rPr>
          <w:lang w:val="en-GB"/>
        </w:rPr>
        <w:t xml:space="preserve"> </w:t>
      </w:r>
    </w:p>
    <w:p w14:paraId="08ECA894" w14:textId="77777777" w:rsidR="003C229A" w:rsidRPr="00C64BF5" w:rsidRDefault="003C229A" w:rsidP="00A018D1">
      <w:pPr>
        <w:rPr>
          <w:lang w:val="en-US"/>
        </w:rPr>
      </w:pPr>
    </w:p>
    <w:p w14:paraId="18CCBBAB" w14:textId="3E98557F" w:rsidR="008A36A2" w:rsidRPr="00C64BF5" w:rsidRDefault="000D65CF" w:rsidP="00A018D1">
      <w:pPr>
        <w:rPr>
          <w:lang w:val="en-US"/>
        </w:rPr>
      </w:pPr>
      <w:r w:rsidRPr="000D65CF">
        <w:rPr>
          <w:lang w:val="en-US"/>
        </w:rPr>
        <w:t>For the analysis presented in this paper</w:t>
      </w:r>
      <w:r w:rsidR="00C11050">
        <w:rPr>
          <w:lang w:val="en-US"/>
        </w:rPr>
        <w:t xml:space="preserve"> the</w:t>
      </w:r>
      <w:r w:rsidRPr="000D65CF">
        <w:rPr>
          <w:lang w:val="en-US"/>
        </w:rPr>
        <w:t xml:space="preserve"> UKTCM has been developed, updated and recalibrated from version 1 </w:t>
      </w:r>
      <w:r w:rsidR="00880B2F">
        <w:rPr>
          <w:lang w:val="en-US"/>
        </w:rPr>
        <w:fldChar w:fldCharType="begin"/>
      </w:r>
      <w:r w:rsidR="00653C01">
        <w:rPr>
          <w:lang w:val="en-US"/>
        </w:rPr>
        <w:instrText xml:space="preserve"> ADDIN EN.CITE &lt;EndNote&gt;&lt;Cite&gt;&lt;Author&gt;Brand&lt;/Author&gt;&lt;Year&gt;2010&lt;/Year&gt;&lt;RecNum&gt;752&lt;/RecNum&gt;&lt;DisplayText&gt;(Brand, 2010a; Brand et al., 2012)&lt;/DisplayText&gt;&lt;record&gt;&lt;rec-number&gt;752&lt;/rec-number&gt;&lt;foreign-keys&gt;&lt;key app="EN" db-id="a0wpest2552swgezzsnxxwsnpp9axwswpaww"&gt;752&lt;/key&gt;&lt;/foreign-keys&gt;&lt;ref-type name="Report"&gt;27&lt;/ref-type&gt;&lt;contributors&gt;&lt;authors&gt;&lt;author&gt;Brand, C.&lt;/author&gt;&lt;/authors&gt;&lt;/contributors&gt;&lt;titles&gt;&lt;title&gt;UK Transport Carbon Model: Reference Guide v1.0&lt;/title&gt;&lt;/titles&gt;&lt;dates&gt;&lt;year&gt;2010&lt;/year&gt;&lt;/dates&gt;&lt;pub-location&gt;Oxford&lt;/pub-location&gt;&lt;publisher&gt;UK Energy Research Centre, Energy Demand Theme&lt;/publisher&gt;&lt;urls&gt;&lt;/urls&gt;&lt;/record&gt;&lt;/Cite&gt;&lt;Cite&gt;&lt;Author&gt;Brand&lt;/Author&gt;&lt;Year&gt;2012&lt;/Year&gt;&lt;RecNum&gt;819&lt;/RecNum&gt;&lt;record&gt;&lt;rec-number&gt;819&lt;/rec-number&gt;&lt;foreign-keys&gt;&lt;key app="EN" db-id="a0wpest2552swgezzsnxxwsnpp9axwswpaww"&gt;819&lt;/key&gt;&lt;/foreign-keys&gt;&lt;ref-type name="Journal Article"&gt;17&lt;/ref-type&gt;&lt;contributors&gt;&lt;authors&gt;&lt;author&gt;Brand, Christian&lt;/author&gt;&lt;author&gt;Tran, Martino&lt;/author&gt;&lt;author&gt;Anable, Jillian&lt;/author&gt;&lt;/authors&gt;&lt;/contributors&gt;&lt;titles&gt;&lt;title&gt;The UK transport carbon model: An integrated life cycle approach to explore low carbon futures&lt;/title&gt;&lt;secondary-title&gt;Energy Policy&lt;/secondary-title&gt;&lt;/titles&gt;&lt;periodical&gt;&lt;full-title&gt;Energy Policy&lt;/full-title&gt;&lt;/periodical&gt;&lt;pages&gt;107-124&lt;/pages&gt;&lt;volume&gt;41&lt;/volume&gt;&lt;keywords&gt;&lt;keyword&gt;Transport energy modelling&lt;/keyword&gt;&lt;keyword&gt;Strategic policy analysis&lt;/keyword&gt;&lt;keyword&gt;Scenario development&lt;/keyword&gt;&lt;/keywords&gt;&lt;dates&gt;&lt;year&gt;2012&lt;/year&gt;&lt;/dates&gt;&lt;isbn&gt;0301-4215&lt;/isbn&gt;&lt;urls&gt;&lt;related-urls&gt;&lt;url&gt;http://www.sciencedirect.com/science/article/B6V2W-51066NF-4/2/cc03d5c454040f61aa82124296a00904&lt;/url&gt;&lt;/related-urls&gt;&lt;/urls&gt;&lt;/record&gt;&lt;/Cite&gt;&lt;/EndNote&gt;</w:instrText>
      </w:r>
      <w:r w:rsidR="00880B2F">
        <w:rPr>
          <w:lang w:val="en-US"/>
        </w:rPr>
        <w:fldChar w:fldCharType="separate"/>
      </w:r>
      <w:r w:rsidR="00546ABC">
        <w:rPr>
          <w:noProof/>
          <w:lang w:val="en-US"/>
        </w:rPr>
        <w:t>(</w:t>
      </w:r>
      <w:hyperlink w:anchor="_ENREF_9" w:tooltip="Brand, 2010 #752" w:history="1">
        <w:r w:rsidR="00D67197">
          <w:rPr>
            <w:noProof/>
            <w:lang w:val="en-US"/>
          </w:rPr>
          <w:t>Brand, 2010a</w:t>
        </w:r>
      </w:hyperlink>
      <w:r w:rsidR="00546ABC">
        <w:rPr>
          <w:noProof/>
          <w:lang w:val="en-US"/>
        </w:rPr>
        <w:t xml:space="preserve">; </w:t>
      </w:r>
      <w:hyperlink w:anchor="_ENREF_11" w:tooltip="Brand, 2012 #819" w:history="1">
        <w:r w:rsidR="00D67197">
          <w:rPr>
            <w:noProof/>
            <w:lang w:val="en-US"/>
          </w:rPr>
          <w:t>Brand et al., 2012</w:t>
        </w:r>
      </w:hyperlink>
      <w:r w:rsidR="00546ABC">
        <w:rPr>
          <w:noProof/>
          <w:lang w:val="en-US"/>
        </w:rPr>
        <w:t>)</w:t>
      </w:r>
      <w:r w:rsidR="00880B2F">
        <w:rPr>
          <w:lang w:val="en-US"/>
        </w:rPr>
        <w:fldChar w:fldCharType="end"/>
      </w:r>
      <w:r w:rsidRPr="000D65CF">
        <w:rPr>
          <w:lang w:val="en-US"/>
        </w:rPr>
        <w:t xml:space="preserve"> to </w:t>
      </w:r>
      <w:r w:rsidR="00C11050">
        <w:rPr>
          <w:lang w:val="en-US"/>
        </w:rPr>
        <w:t xml:space="preserve">the current </w:t>
      </w:r>
      <w:r w:rsidRPr="000D65CF">
        <w:rPr>
          <w:lang w:val="en-US"/>
        </w:rPr>
        <w:t xml:space="preserve">version 2 (V2). The main developmental change was the reclassification and extension of 59 (out of 604) vehicle technologies; UKTCM V2 now includes higher resolution and </w:t>
      </w:r>
      <w:proofErr w:type="spellStart"/>
      <w:r w:rsidRPr="000D65CF">
        <w:rPr>
          <w:lang w:val="en-US"/>
        </w:rPr>
        <w:t>vintaging</w:t>
      </w:r>
      <w:proofErr w:type="spellEnd"/>
      <w:r w:rsidRPr="000D65CF">
        <w:rPr>
          <w:lang w:val="en-US"/>
        </w:rPr>
        <w:t xml:space="preserve"> of small and medium sized battery electric vehicle (BEV) cars, mini and urban BEV buses, BEV vans and BEV medium trucks.  The </w:t>
      </w:r>
      <w:r w:rsidR="00C11050" w:rsidRPr="000D65CF">
        <w:rPr>
          <w:lang w:val="en-US"/>
        </w:rPr>
        <w:t>modeling</w:t>
      </w:r>
      <w:r w:rsidRPr="000D65CF">
        <w:rPr>
          <w:lang w:val="en-US"/>
        </w:rPr>
        <w:t xml:space="preserve"> databases were updated to the latest historic data sources and projections into the future of key </w:t>
      </w:r>
      <w:r w:rsidR="00C11050" w:rsidRPr="000D65CF">
        <w:rPr>
          <w:lang w:val="en-US"/>
        </w:rPr>
        <w:t>modeling</w:t>
      </w:r>
      <w:r w:rsidRPr="000D65CF">
        <w:rPr>
          <w:lang w:val="en-US"/>
        </w:rPr>
        <w:t xml:space="preserve"> inputs, including economic, demographic, transport demand, energy and vehicle technology data, which are </w:t>
      </w:r>
      <w:r w:rsidR="00C11050" w:rsidRPr="000D65CF">
        <w:rPr>
          <w:lang w:val="en-US"/>
        </w:rPr>
        <w:t>summarized</w:t>
      </w:r>
      <w:r w:rsidRPr="000D65CF">
        <w:rPr>
          <w:lang w:val="en-US"/>
        </w:rPr>
        <w:t xml:space="preserve"> in the next Section. UKTCM V2 has been calibrated to UK national statistics for the year 2008 </w:t>
      </w:r>
      <w:r w:rsidR="00880B2F" w:rsidRPr="000D65CF">
        <w:rPr>
          <w:lang w:val="en-US"/>
        </w:rPr>
        <w:fldChar w:fldCharType="begin"/>
      </w:r>
      <w:r w:rsidR="00546ABC">
        <w:rPr>
          <w:lang w:val="en-US"/>
        </w:rPr>
        <w:instrText xml:space="preserve"> ADDIN EN.CITE &lt;EndNote&gt;&lt;Cite&gt;&lt;Author&gt;DfT&lt;/Author&gt;&lt;Year&gt;2010&lt;/Year&gt;&lt;RecNum&gt;832&lt;/RecNum&gt;&lt;DisplayText&gt;(DfT, 2010)&lt;/DisplayText&gt;&lt;record&gt;&lt;rec-number&gt;832&lt;/rec-number&gt;&lt;foreign-keys&gt;&lt;key app="EN" db-id="a0wpest2552swgezzsnxxwsnpp9axwswpaww"&gt;832&lt;/key&gt;&lt;/foreign-keys&gt;&lt;ref-type name="Report"&gt;27&lt;/ref-type&gt;&lt;contributors&gt;&lt;authors&gt;&lt;author&gt;DfT&lt;/author&gt;&lt;/authors&gt;&lt;/contributors&gt;&lt;titles&gt;&lt;title&gt;Transport Statistics Great Britain: 2010 edition&lt;/title&gt;&lt;/titles&gt;&lt;dates&gt;&lt;year&gt;2010&lt;/year&gt;&lt;/dates&gt;&lt;pub-location&gt;London&lt;/pub-location&gt;&lt;publisher&gt;Department for Transport (DfT), The Stationary Office&lt;/publisher&gt;&lt;urls&gt;&lt;/urls&gt;&lt;/record&gt;&lt;/Cite&gt;&lt;/EndNote&gt;</w:instrText>
      </w:r>
      <w:r w:rsidR="00880B2F" w:rsidRPr="000D65CF">
        <w:rPr>
          <w:lang w:val="en-US"/>
        </w:rPr>
        <w:fldChar w:fldCharType="separate"/>
      </w:r>
      <w:r w:rsidR="00546ABC">
        <w:rPr>
          <w:noProof/>
          <w:lang w:val="en-US"/>
        </w:rPr>
        <w:t>(</w:t>
      </w:r>
      <w:hyperlink w:anchor="_ENREF_19" w:tooltip="DfT, 2010 #832" w:history="1">
        <w:r w:rsidR="00D67197">
          <w:rPr>
            <w:noProof/>
            <w:lang w:val="en-US"/>
          </w:rPr>
          <w:t>DfT, 2010</w:t>
        </w:r>
      </w:hyperlink>
      <w:r w:rsidR="00546ABC">
        <w:rPr>
          <w:noProof/>
          <w:lang w:val="en-US"/>
        </w:rPr>
        <w:t>)</w:t>
      </w:r>
      <w:r w:rsidR="00880B2F" w:rsidRPr="000D65CF">
        <w:rPr>
          <w:lang w:val="en-US"/>
        </w:rPr>
        <w:fldChar w:fldCharType="end"/>
      </w:r>
      <w:r w:rsidRPr="000D65CF">
        <w:rPr>
          <w:lang w:val="en-US"/>
        </w:rPr>
        <w:t>.</w:t>
      </w:r>
    </w:p>
    <w:p w14:paraId="01483E54" w14:textId="77777777" w:rsidR="00697B23" w:rsidRPr="0035260F" w:rsidRDefault="00697B23" w:rsidP="00A018D1">
      <w:pPr>
        <w:rPr>
          <w:sz w:val="12"/>
          <w:lang w:val="en-US"/>
        </w:rPr>
      </w:pPr>
    </w:p>
    <w:p w14:paraId="4B8BE0A0" w14:textId="77777777" w:rsidR="008A36A2" w:rsidRPr="00C64BF5" w:rsidRDefault="000D65CF" w:rsidP="00697B23">
      <w:pPr>
        <w:pStyle w:val="Heading2"/>
        <w:rPr>
          <w:lang w:val="en-US"/>
        </w:rPr>
      </w:pPr>
      <w:r w:rsidRPr="000D65CF">
        <w:rPr>
          <w:lang w:val="en-US"/>
        </w:rPr>
        <w:t>3.</w:t>
      </w:r>
      <w:r w:rsidR="00BD152D">
        <w:rPr>
          <w:lang w:val="en-US"/>
        </w:rPr>
        <w:t>2</w:t>
      </w:r>
      <w:r w:rsidRPr="000D65CF">
        <w:rPr>
          <w:lang w:val="en-US"/>
        </w:rPr>
        <w:t xml:space="preserve"> The Policy Scenarios</w:t>
      </w:r>
    </w:p>
    <w:p w14:paraId="5035383C" w14:textId="77777777" w:rsidR="008A36A2" w:rsidRPr="00C64BF5" w:rsidRDefault="000D65CF" w:rsidP="00697B23">
      <w:pPr>
        <w:pStyle w:val="Heading3"/>
        <w:rPr>
          <w:lang w:val="en-US"/>
        </w:rPr>
      </w:pPr>
      <w:r w:rsidRPr="000D65CF">
        <w:rPr>
          <w:lang w:val="en-US"/>
        </w:rPr>
        <w:t>3.</w:t>
      </w:r>
      <w:r w:rsidR="00BD152D">
        <w:rPr>
          <w:lang w:val="en-US"/>
        </w:rPr>
        <w:t>2</w:t>
      </w:r>
      <w:r w:rsidRPr="000D65CF">
        <w:rPr>
          <w:lang w:val="en-US"/>
        </w:rPr>
        <w:t>.1 Overview</w:t>
      </w:r>
    </w:p>
    <w:p w14:paraId="24BB407F" w14:textId="51F98ABD" w:rsidR="008A36A2" w:rsidRPr="00C64BF5" w:rsidRDefault="000D65CF" w:rsidP="00A018D1">
      <w:pPr>
        <w:rPr>
          <w:lang w:val="en-US"/>
        </w:rPr>
      </w:pPr>
      <w:r w:rsidRPr="000D65CF">
        <w:rPr>
          <w:lang w:val="en-US"/>
        </w:rPr>
        <w:t xml:space="preserve">The core element of the analysis investigated three fiscal policies: (a) purchase taxes and feebates, (b) scrappage rebates and (c) vehicle excise duties (road taxes). For each policy three purely subjective </w:t>
      </w:r>
      <w:r w:rsidRPr="000D65CF">
        <w:rPr>
          <w:i/>
          <w:lang w:val="en-US"/>
        </w:rPr>
        <w:t>‘policy ambitions’</w:t>
      </w:r>
      <w:r w:rsidRPr="000D65CF">
        <w:rPr>
          <w:lang w:val="en-US"/>
        </w:rPr>
        <w:t xml:space="preserve"> were explored, ranging from </w:t>
      </w:r>
      <w:r w:rsidRPr="000D65CF">
        <w:rPr>
          <w:i/>
          <w:lang w:val="en-US"/>
        </w:rPr>
        <w:t>‘low’</w:t>
      </w:r>
      <w:r w:rsidRPr="000D65CF">
        <w:rPr>
          <w:lang w:val="en-US"/>
        </w:rPr>
        <w:t xml:space="preserve"> (more likely, politically feasible) to </w:t>
      </w:r>
      <w:r w:rsidRPr="000D65CF">
        <w:rPr>
          <w:i/>
          <w:lang w:val="en-US"/>
        </w:rPr>
        <w:t>‘high’</w:t>
      </w:r>
      <w:r w:rsidRPr="000D65CF">
        <w:rPr>
          <w:lang w:val="en-US"/>
        </w:rPr>
        <w:t xml:space="preserve"> (less likely, politically not feasible in current climate, but potentially an option if a natural disaster happened /social norms changed significantly). Thus the core analysis involved nine scenarios, as shown in </w:t>
      </w:r>
      <w:r w:rsidR="001A38D3">
        <w:fldChar w:fldCharType="begin"/>
      </w:r>
      <w:r w:rsidR="001A38D3">
        <w:instrText xml:space="preserve"> REF _Ref161303888 \h  \* MERGEFORMAT </w:instrText>
      </w:r>
      <w:r w:rsidR="001A38D3">
        <w:fldChar w:fldCharType="separate"/>
      </w:r>
      <w:r w:rsidRPr="000D65CF">
        <w:rPr>
          <w:lang w:val="en-US"/>
        </w:rPr>
        <w:t>Table 1</w:t>
      </w:r>
      <w:r w:rsidR="001A38D3">
        <w:fldChar w:fldCharType="end"/>
      </w:r>
      <w:r w:rsidRPr="000D65CF">
        <w:rPr>
          <w:lang w:val="en-US"/>
        </w:rPr>
        <w:t xml:space="preserve">. </w:t>
      </w:r>
      <w:r w:rsidR="00BB43B7">
        <w:rPr>
          <w:lang w:val="en-US"/>
        </w:rPr>
        <w:t xml:space="preserve">To explore the inherent unpredictability in policy making and response during the lifetime of a policy </w:t>
      </w:r>
      <w:r w:rsidR="00BB43B7">
        <w:rPr>
          <w:lang w:val="en-US"/>
        </w:rPr>
        <w:fldChar w:fldCharType="begin"/>
      </w:r>
      <w:r w:rsidR="00BB43B7">
        <w:rPr>
          <w:lang w:val="en-US"/>
        </w:rPr>
        <w:instrText xml:space="preserve"> ADDIN EN.CITE &lt;EndNote&gt;&lt;Cite&gt;&lt;Author&gt;Bastani&lt;/Author&gt;&lt;Year&gt;2012&lt;/Year&gt;&lt;RecNum&gt;984&lt;/RecNum&gt;&lt;DisplayText&gt;(Bastani et al., 2012)&lt;/DisplayText&gt;&lt;record&gt;&lt;rec-number&gt;984&lt;/rec-number&gt;&lt;foreign-keys&gt;&lt;key app="EN" db-id="a0wpest2552swgezzsnxxwsnpp9axwswpaww"&gt;984&lt;/key&gt;&lt;/foreign-keys&gt;&lt;ref-type name="Journal Article"&gt;17&lt;/ref-type&gt;&lt;contributors&gt;&lt;authors&gt;&lt;author&gt;Bastani, Parisa&lt;/author&gt;&lt;author&gt;Heywood, John B.&lt;/author&gt;&lt;author&gt;Hope, Chris&lt;/author&gt;&lt;/authors&gt;&lt;/contributors&gt;&lt;titles&gt;&lt;title&gt;The effect of uncertainty on US transport-related GHG emissions and fuel consumption out to 2050&lt;/title&gt;&lt;secondary-title&gt;Transportation Research Part A: Policy and Practice&lt;/secondary-title&gt;&lt;/titles&gt;&lt;periodical&gt;&lt;full-title&gt;Transportation Research Part A: Policy and Practice&lt;/full-title&gt;&lt;abbr-1&gt;Transp. Res.: Part A: Pol. Practice&lt;/abbr-1&gt;&lt;/periodical&gt;&lt;pages&gt;517-548&lt;/pages&gt;&lt;volume&gt;46&lt;/volume&gt;&lt;number&gt;3&lt;/number&gt;&lt;keywords&gt;&lt;keyword&gt;Life-cycle GHG emissions&lt;/keyword&gt;&lt;keyword&gt;Fuel consumption&lt;/keyword&gt;&lt;keyword&gt;Light-duty vehicle fleet&lt;/keyword&gt;&lt;keyword&gt;Uncertainty&lt;/keyword&gt;&lt;keyword&gt;Stochastic policy model&lt;/keyword&gt;&lt;keyword&gt;STEP&lt;/keyword&gt;&lt;/keywords&gt;&lt;dates&gt;&lt;year&gt;2012&lt;/year&gt;&lt;/dates&gt;&lt;isbn&gt;0965-8564&lt;/isbn&gt;&lt;urls&gt;&lt;related-urls&gt;&lt;url&gt;http://www.sciencedirect.com/science/article/pii/S0965856411001807&lt;/url&gt;&lt;/related-urls&gt;&lt;/urls&gt;&lt;electronic-resource-num&gt;10.1016/j.tra.2011.11.011&lt;/electronic-resource-num&gt;&lt;/record&gt;&lt;/Cite&gt;&lt;/EndNote&gt;</w:instrText>
      </w:r>
      <w:r w:rsidR="00BB43B7">
        <w:rPr>
          <w:lang w:val="en-US"/>
        </w:rPr>
        <w:fldChar w:fldCharType="separate"/>
      </w:r>
      <w:r w:rsidR="00BB43B7">
        <w:rPr>
          <w:noProof/>
          <w:lang w:val="en-US"/>
        </w:rPr>
        <w:t>(</w:t>
      </w:r>
      <w:hyperlink w:anchor="_ENREF_5" w:tooltip="Bastani, 2012 #984" w:history="1">
        <w:r w:rsidR="00D67197">
          <w:rPr>
            <w:noProof/>
            <w:lang w:val="en-US"/>
          </w:rPr>
          <w:t>Bastani et al., 2012</w:t>
        </w:r>
      </w:hyperlink>
      <w:r w:rsidR="00BB43B7">
        <w:rPr>
          <w:noProof/>
          <w:lang w:val="en-US"/>
        </w:rPr>
        <w:t>)</w:t>
      </w:r>
      <w:r w:rsidR="00BB43B7">
        <w:rPr>
          <w:lang w:val="en-US"/>
        </w:rPr>
        <w:fldChar w:fldCharType="end"/>
      </w:r>
      <w:r w:rsidRPr="000D65CF">
        <w:rPr>
          <w:lang w:val="en-US"/>
        </w:rPr>
        <w:t xml:space="preserve">, five </w:t>
      </w:r>
      <w:r w:rsidR="00BB43B7">
        <w:rPr>
          <w:lang w:val="en-US"/>
        </w:rPr>
        <w:t xml:space="preserve">scenario </w:t>
      </w:r>
      <w:r w:rsidRPr="000D65CF">
        <w:rPr>
          <w:lang w:val="en-US"/>
        </w:rPr>
        <w:t xml:space="preserve">variants were </w:t>
      </w:r>
      <w:r w:rsidR="00BD152D" w:rsidRPr="000D65CF">
        <w:rPr>
          <w:lang w:val="en-US"/>
        </w:rPr>
        <w:t>modeled</w:t>
      </w:r>
      <w:r w:rsidRPr="000D65CF">
        <w:rPr>
          <w:lang w:val="en-US"/>
        </w:rPr>
        <w:t xml:space="preserve"> as part of the sensitivity analysis of key </w:t>
      </w:r>
      <w:r w:rsidR="00BD152D" w:rsidRPr="000D65CF">
        <w:rPr>
          <w:lang w:val="en-US"/>
        </w:rPr>
        <w:t>modeling</w:t>
      </w:r>
      <w:r w:rsidRPr="000D65CF">
        <w:rPr>
          <w:lang w:val="en-US"/>
        </w:rPr>
        <w:t xml:space="preserve"> parameters. </w:t>
      </w:r>
      <w:r w:rsidR="0035260F">
        <w:rPr>
          <w:lang w:val="en-US"/>
        </w:rPr>
        <w:t>E</w:t>
      </w:r>
      <w:r w:rsidR="00E86DB6" w:rsidRPr="000D65CF">
        <w:rPr>
          <w:lang w:val="en-US"/>
        </w:rPr>
        <w:t xml:space="preserve">lectricity </w:t>
      </w:r>
      <w:r w:rsidR="00E86DB6">
        <w:rPr>
          <w:lang w:val="en-US"/>
        </w:rPr>
        <w:t xml:space="preserve">as a road transport fuel </w:t>
      </w:r>
      <w:r w:rsidR="00E86DB6" w:rsidRPr="000D65CF">
        <w:rPr>
          <w:lang w:val="en-US"/>
        </w:rPr>
        <w:t>is currently not taxed</w:t>
      </w:r>
      <w:r w:rsidR="00E86DB6">
        <w:rPr>
          <w:lang w:val="en-US"/>
        </w:rPr>
        <w:t xml:space="preserve"> in the UK</w:t>
      </w:r>
      <w:r w:rsidR="0035260F">
        <w:rPr>
          <w:lang w:val="en-US"/>
        </w:rPr>
        <w:t>, so to simulate a level playing field</w:t>
      </w:r>
      <w:r w:rsidR="0035260F" w:rsidRPr="000D65CF">
        <w:rPr>
          <w:lang w:val="en-US"/>
        </w:rPr>
        <w:t xml:space="preserve"> </w:t>
      </w:r>
      <w:r w:rsidR="0035260F">
        <w:rPr>
          <w:lang w:val="en-US"/>
        </w:rPr>
        <w:t xml:space="preserve">with liquid fossil fuel duties </w:t>
      </w:r>
      <w:r w:rsidR="00E86DB6" w:rsidRPr="000D65CF">
        <w:rPr>
          <w:lang w:val="en-US"/>
        </w:rPr>
        <w:t>two of the sensitivity variants include</w:t>
      </w:r>
      <w:r w:rsidR="0035260F">
        <w:rPr>
          <w:lang w:val="en-US"/>
        </w:rPr>
        <w:t>d</w:t>
      </w:r>
      <w:r w:rsidR="00E86DB6" w:rsidRPr="000D65CF">
        <w:rPr>
          <w:lang w:val="en-US"/>
        </w:rPr>
        <w:t xml:space="preserve"> the gradual phasing in of a GBP0.06/kWh fuel duty between 2021 and 2030.</w:t>
      </w:r>
      <w:r w:rsidRPr="000D65CF">
        <w:rPr>
          <w:lang w:val="en-US"/>
        </w:rPr>
        <w:t xml:space="preserve">  </w:t>
      </w:r>
    </w:p>
    <w:p w14:paraId="3EA614CA" w14:textId="77777777" w:rsidR="00456309" w:rsidRPr="0035260F" w:rsidRDefault="00456309" w:rsidP="00A018D1">
      <w:pPr>
        <w:rPr>
          <w:sz w:val="12"/>
          <w:szCs w:val="12"/>
          <w:lang w:val="en-US"/>
        </w:rPr>
      </w:pPr>
    </w:p>
    <w:p w14:paraId="04785C42" w14:textId="77777777" w:rsidR="008A36A2" w:rsidRPr="00C64BF5" w:rsidRDefault="008A36A2" w:rsidP="008672D9">
      <w:pPr>
        <w:pStyle w:val="Caption"/>
      </w:pPr>
      <w:bookmarkStart w:id="2" w:name="_Ref161303888"/>
      <w:r w:rsidRPr="00C64BF5">
        <w:lastRenderedPageBreak/>
        <w:t xml:space="preserve">Table </w:t>
      </w:r>
      <w:r w:rsidR="00880B2F">
        <w:fldChar w:fldCharType="begin"/>
      </w:r>
      <w:r w:rsidR="000A64E7">
        <w:instrText xml:space="preserve"> SEQ Table \* ARABIC </w:instrText>
      </w:r>
      <w:r w:rsidR="00880B2F">
        <w:fldChar w:fldCharType="separate"/>
      </w:r>
      <w:r w:rsidR="000D65CF" w:rsidRPr="000D65CF">
        <w:rPr>
          <w:noProof/>
        </w:rPr>
        <w:t>1</w:t>
      </w:r>
      <w:r w:rsidR="00880B2F">
        <w:rPr>
          <w:noProof/>
        </w:rPr>
        <w:fldChar w:fldCharType="end"/>
      </w:r>
      <w:bookmarkEnd w:id="2"/>
      <w:r w:rsidR="000D65CF" w:rsidRPr="000D65CF">
        <w:t xml:space="preserve">: Overview of policy scenarios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96"/>
        <w:gridCol w:w="2735"/>
        <w:gridCol w:w="2735"/>
        <w:gridCol w:w="2736"/>
      </w:tblGrid>
      <w:tr w:rsidR="00145D1B" w:rsidRPr="00C64BF5" w14:paraId="3B4D90DB" w14:textId="77777777" w:rsidTr="00BC77E3">
        <w:tc>
          <w:tcPr>
            <w:tcW w:w="1296" w:type="dxa"/>
            <w:shd w:val="clear" w:color="auto" w:fill="auto"/>
          </w:tcPr>
          <w:p w14:paraId="1877FF69" w14:textId="77777777" w:rsidR="00145D1B" w:rsidRPr="00C64BF5" w:rsidRDefault="00145D1B" w:rsidP="0035260F">
            <w:pPr>
              <w:keepNext/>
              <w:spacing w:line="240" w:lineRule="auto"/>
              <w:outlineLvl w:val="0"/>
              <w:rPr>
                <w:b/>
                <w:lang w:val="en-US"/>
              </w:rPr>
            </w:pPr>
          </w:p>
        </w:tc>
        <w:tc>
          <w:tcPr>
            <w:tcW w:w="8206" w:type="dxa"/>
            <w:gridSpan w:val="3"/>
            <w:shd w:val="clear" w:color="auto" w:fill="auto"/>
          </w:tcPr>
          <w:p w14:paraId="4E8E11CC" w14:textId="77777777" w:rsidR="00145D1B" w:rsidRPr="00C64BF5" w:rsidRDefault="000D65CF" w:rsidP="0035260F">
            <w:pPr>
              <w:keepNext/>
              <w:spacing w:line="240" w:lineRule="auto"/>
              <w:jc w:val="center"/>
              <w:rPr>
                <w:b/>
                <w:lang w:val="en-US"/>
              </w:rPr>
            </w:pPr>
            <w:r w:rsidRPr="000D65CF">
              <w:rPr>
                <w:b/>
                <w:lang w:val="en-US"/>
              </w:rPr>
              <w:t>Policy ambition</w:t>
            </w:r>
          </w:p>
        </w:tc>
      </w:tr>
      <w:tr w:rsidR="00145D1B" w:rsidRPr="00C64BF5" w14:paraId="5D8AC813" w14:textId="77777777" w:rsidTr="007625B8">
        <w:tc>
          <w:tcPr>
            <w:tcW w:w="1296" w:type="dxa"/>
            <w:shd w:val="clear" w:color="auto" w:fill="auto"/>
          </w:tcPr>
          <w:p w14:paraId="29BB01EB" w14:textId="77777777" w:rsidR="00145D1B" w:rsidRPr="00C64BF5" w:rsidRDefault="000D65CF" w:rsidP="001564BC">
            <w:pPr>
              <w:keepNext/>
              <w:spacing w:line="240" w:lineRule="atLeast"/>
              <w:rPr>
                <w:b/>
                <w:lang w:val="en-US"/>
              </w:rPr>
            </w:pPr>
            <w:r w:rsidRPr="000D65CF">
              <w:rPr>
                <w:b/>
                <w:lang w:val="en-US"/>
              </w:rPr>
              <w:t>Policies</w:t>
            </w:r>
          </w:p>
        </w:tc>
        <w:tc>
          <w:tcPr>
            <w:tcW w:w="2735" w:type="dxa"/>
            <w:shd w:val="clear" w:color="auto" w:fill="auto"/>
          </w:tcPr>
          <w:p w14:paraId="06455E7B" w14:textId="77777777" w:rsidR="00145D1B" w:rsidRPr="00C64BF5" w:rsidRDefault="000D65CF" w:rsidP="001564BC">
            <w:pPr>
              <w:keepNext/>
              <w:spacing w:line="240" w:lineRule="atLeast"/>
              <w:jc w:val="center"/>
              <w:rPr>
                <w:b/>
                <w:lang w:val="en-US"/>
              </w:rPr>
            </w:pPr>
            <w:r w:rsidRPr="000D65CF">
              <w:rPr>
                <w:b/>
                <w:lang w:val="en-US"/>
              </w:rPr>
              <w:t>‘Low’</w:t>
            </w:r>
          </w:p>
        </w:tc>
        <w:tc>
          <w:tcPr>
            <w:tcW w:w="2735" w:type="dxa"/>
            <w:shd w:val="clear" w:color="auto" w:fill="auto"/>
          </w:tcPr>
          <w:p w14:paraId="2E463A73" w14:textId="77777777" w:rsidR="00145D1B" w:rsidRPr="00C64BF5" w:rsidRDefault="000D65CF" w:rsidP="001564BC">
            <w:pPr>
              <w:keepNext/>
              <w:spacing w:line="240" w:lineRule="atLeast"/>
              <w:jc w:val="center"/>
              <w:rPr>
                <w:b/>
                <w:lang w:val="en-US"/>
              </w:rPr>
            </w:pPr>
            <w:r w:rsidRPr="000D65CF">
              <w:rPr>
                <w:b/>
                <w:lang w:val="en-US"/>
              </w:rPr>
              <w:t>‘Medium’</w:t>
            </w:r>
          </w:p>
        </w:tc>
        <w:tc>
          <w:tcPr>
            <w:tcW w:w="2736" w:type="dxa"/>
            <w:shd w:val="clear" w:color="auto" w:fill="auto"/>
          </w:tcPr>
          <w:p w14:paraId="573D163B" w14:textId="77777777" w:rsidR="00145D1B" w:rsidRPr="00C64BF5" w:rsidRDefault="000D65CF" w:rsidP="001564BC">
            <w:pPr>
              <w:keepNext/>
              <w:spacing w:line="240" w:lineRule="atLeast"/>
              <w:jc w:val="center"/>
              <w:rPr>
                <w:b/>
                <w:lang w:val="en-US"/>
              </w:rPr>
            </w:pPr>
            <w:r w:rsidRPr="000D65CF">
              <w:rPr>
                <w:b/>
                <w:lang w:val="en-US"/>
              </w:rPr>
              <w:t>‘High’</w:t>
            </w:r>
          </w:p>
        </w:tc>
      </w:tr>
      <w:tr w:rsidR="009D28AE" w:rsidRPr="00C64BF5" w14:paraId="0C0ACE60" w14:textId="77777777" w:rsidTr="007625B8">
        <w:trPr>
          <w:trHeight w:val="1603"/>
        </w:trPr>
        <w:tc>
          <w:tcPr>
            <w:tcW w:w="1296" w:type="dxa"/>
            <w:vMerge w:val="restart"/>
            <w:shd w:val="clear" w:color="auto" w:fill="FFFFFF" w:themeFill="background1"/>
          </w:tcPr>
          <w:p w14:paraId="302A574C" w14:textId="77777777" w:rsidR="009D28AE" w:rsidRPr="00C64BF5" w:rsidRDefault="009D28AE" w:rsidP="001564BC">
            <w:pPr>
              <w:keepNext/>
              <w:spacing w:line="240" w:lineRule="atLeast"/>
              <w:rPr>
                <w:b/>
                <w:lang w:val="en-US"/>
              </w:rPr>
            </w:pPr>
            <w:r w:rsidRPr="000D65CF">
              <w:rPr>
                <w:b/>
                <w:lang w:val="en-US"/>
              </w:rPr>
              <w:t>Purchase tax/</w:t>
            </w:r>
          </w:p>
          <w:p w14:paraId="6363C2A4" w14:textId="77777777" w:rsidR="009D28AE" w:rsidRPr="00C64BF5" w:rsidRDefault="009D28AE" w:rsidP="001564BC">
            <w:pPr>
              <w:keepNext/>
              <w:spacing w:line="240" w:lineRule="atLeast"/>
              <w:rPr>
                <w:b/>
                <w:lang w:val="en-US"/>
              </w:rPr>
            </w:pPr>
            <w:proofErr w:type="spellStart"/>
            <w:r w:rsidRPr="000D65CF">
              <w:rPr>
                <w:b/>
                <w:lang w:val="en-US"/>
              </w:rPr>
              <w:t>feebate</w:t>
            </w:r>
            <w:proofErr w:type="spellEnd"/>
          </w:p>
        </w:tc>
        <w:tc>
          <w:tcPr>
            <w:tcW w:w="2735" w:type="dxa"/>
            <w:shd w:val="clear" w:color="auto" w:fill="FFFFFF" w:themeFill="background1"/>
          </w:tcPr>
          <w:p w14:paraId="052F0B16" w14:textId="77777777" w:rsidR="009D28AE" w:rsidRPr="009D28AE" w:rsidRDefault="009D28AE" w:rsidP="001564BC">
            <w:pPr>
              <w:keepNext/>
              <w:spacing w:line="240" w:lineRule="atLeast"/>
              <w:rPr>
                <w:sz w:val="20"/>
                <w:lang w:val="en-US"/>
              </w:rPr>
            </w:pPr>
            <w:r w:rsidRPr="000D65CF">
              <w:rPr>
                <w:b/>
                <w:sz w:val="20"/>
                <w:lang w:val="en-US"/>
              </w:rPr>
              <w:t>CPT1</w:t>
            </w:r>
            <w:r w:rsidRPr="000D65CF">
              <w:rPr>
                <w:sz w:val="20"/>
                <w:lang w:val="en-US"/>
              </w:rPr>
              <w:t xml:space="preserve"> – simple tax of GBP2,000 for new cars with CO</w:t>
            </w:r>
            <w:r w:rsidRPr="000D65CF">
              <w:rPr>
                <w:sz w:val="20"/>
                <w:vertAlign w:val="subscript"/>
                <w:lang w:val="en-US"/>
              </w:rPr>
              <w:t>2</w:t>
            </w:r>
            <w:r w:rsidRPr="000D65CF">
              <w:rPr>
                <w:sz w:val="20"/>
                <w:lang w:val="en-US"/>
              </w:rPr>
              <w:t xml:space="preserve"> &gt;225g/km, tightening every 5 years by one CO</w:t>
            </w:r>
            <w:r w:rsidRPr="000D65CF">
              <w:rPr>
                <w:sz w:val="20"/>
                <w:vertAlign w:val="subscript"/>
                <w:lang w:val="en-US"/>
              </w:rPr>
              <w:t>2</w:t>
            </w:r>
            <w:r w:rsidRPr="000D65CF">
              <w:rPr>
                <w:sz w:val="20"/>
                <w:lang w:val="en-US"/>
              </w:rPr>
              <w:t xml:space="preserve"> band</w:t>
            </w:r>
          </w:p>
        </w:tc>
        <w:tc>
          <w:tcPr>
            <w:tcW w:w="2735" w:type="dxa"/>
            <w:shd w:val="clear" w:color="auto" w:fill="FFFFFF" w:themeFill="background1"/>
          </w:tcPr>
          <w:p w14:paraId="78C907FB" w14:textId="77777777" w:rsidR="009D28AE" w:rsidRPr="00C64BF5" w:rsidRDefault="009D28AE" w:rsidP="001564BC">
            <w:pPr>
              <w:keepNext/>
              <w:spacing w:line="240" w:lineRule="atLeast"/>
              <w:rPr>
                <w:sz w:val="20"/>
                <w:lang w:val="en-US"/>
              </w:rPr>
            </w:pPr>
            <w:r w:rsidRPr="000D65CF">
              <w:rPr>
                <w:b/>
                <w:sz w:val="20"/>
                <w:lang w:val="en-US"/>
              </w:rPr>
              <w:t>CPT2</w:t>
            </w:r>
            <w:r w:rsidRPr="000D65CF">
              <w:rPr>
                <w:sz w:val="20"/>
                <w:lang w:val="en-US"/>
              </w:rPr>
              <w:t xml:space="preserve"> – </w:t>
            </w:r>
            <w:proofErr w:type="spellStart"/>
            <w:r w:rsidRPr="000D65CF">
              <w:rPr>
                <w:sz w:val="20"/>
                <w:lang w:val="en-US"/>
              </w:rPr>
              <w:t>feebate</w:t>
            </w:r>
            <w:proofErr w:type="spellEnd"/>
            <w:r w:rsidRPr="000D65CF">
              <w:rPr>
                <w:sz w:val="20"/>
                <w:lang w:val="en-US"/>
              </w:rPr>
              <w:t xml:space="preserve"> graded by fuel type and CO</w:t>
            </w:r>
            <w:r w:rsidRPr="000D65CF">
              <w:rPr>
                <w:sz w:val="20"/>
                <w:vertAlign w:val="subscript"/>
                <w:lang w:val="en-US"/>
              </w:rPr>
              <w:t>2</w:t>
            </w:r>
            <w:r w:rsidRPr="000D65CF">
              <w:rPr>
                <w:sz w:val="20"/>
                <w:lang w:val="en-US"/>
              </w:rPr>
              <w:t>, tightening over time:</w:t>
            </w:r>
          </w:p>
          <w:p w14:paraId="534422D7" w14:textId="77777777" w:rsidR="009D28AE" w:rsidRPr="00C64BF5" w:rsidRDefault="009D28AE" w:rsidP="001564BC">
            <w:pPr>
              <w:keepNext/>
              <w:spacing w:line="240" w:lineRule="atLeast"/>
              <w:rPr>
                <w:sz w:val="20"/>
                <w:lang w:val="en-US"/>
              </w:rPr>
            </w:pPr>
            <w:r w:rsidRPr="000D65CF">
              <w:rPr>
                <w:sz w:val="20"/>
                <w:lang w:val="en-US"/>
              </w:rPr>
              <w:t>(a) CO</w:t>
            </w:r>
            <w:r w:rsidRPr="000D65CF">
              <w:rPr>
                <w:sz w:val="20"/>
                <w:vertAlign w:val="subscript"/>
                <w:lang w:val="en-US"/>
              </w:rPr>
              <w:t>2</w:t>
            </w:r>
            <w:r w:rsidRPr="000D65CF">
              <w:rPr>
                <w:sz w:val="20"/>
                <w:lang w:val="en-US"/>
              </w:rPr>
              <w:t>-graded tax up to GBP4,000 (&gt;200g/km)</w:t>
            </w:r>
          </w:p>
          <w:p w14:paraId="77F97947" w14:textId="77777777" w:rsidR="009D28AE" w:rsidRPr="00C64BF5" w:rsidRDefault="009D28AE" w:rsidP="001564BC">
            <w:pPr>
              <w:keepNext/>
              <w:spacing w:line="240" w:lineRule="atLeast"/>
              <w:rPr>
                <w:sz w:val="20"/>
                <w:lang w:val="en-US"/>
              </w:rPr>
            </w:pPr>
            <w:r w:rsidRPr="000D65CF">
              <w:rPr>
                <w:sz w:val="20"/>
                <w:lang w:val="en-US"/>
              </w:rPr>
              <w:t>(b) rebate up to GBP2,000 (&lt;100g/km)</w:t>
            </w:r>
          </w:p>
          <w:p w14:paraId="38AE9D91" w14:textId="77777777" w:rsidR="009D28AE" w:rsidRPr="00C64BF5" w:rsidRDefault="009D28AE" w:rsidP="001564BC">
            <w:pPr>
              <w:keepNext/>
              <w:spacing w:line="240" w:lineRule="atLeast"/>
              <w:rPr>
                <w:sz w:val="20"/>
                <w:lang w:val="en-US"/>
              </w:rPr>
            </w:pPr>
            <w:r w:rsidRPr="000D65CF">
              <w:rPr>
                <w:sz w:val="20"/>
                <w:lang w:val="en-US"/>
              </w:rPr>
              <w:t>(c) 50% tax discount for alternative fuels</w:t>
            </w:r>
          </w:p>
        </w:tc>
        <w:tc>
          <w:tcPr>
            <w:tcW w:w="2736" w:type="dxa"/>
            <w:shd w:val="clear" w:color="auto" w:fill="FFFFFF" w:themeFill="background1"/>
          </w:tcPr>
          <w:p w14:paraId="1DDF986C" w14:textId="77777777" w:rsidR="009D28AE" w:rsidRPr="00C64BF5" w:rsidRDefault="009D28AE" w:rsidP="001564BC">
            <w:pPr>
              <w:keepNext/>
              <w:spacing w:line="240" w:lineRule="atLeast"/>
              <w:rPr>
                <w:sz w:val="20"/>
                <w:lang w:val="en-US"/>
              </w:rPr>
            </w:pPr>
            <w:r w:rsidRPr="000D65CF">
              <w:rPr>
                <w:b/>
                <w:sz w:val="20"/>
                <w:lang w:val="en-US"/>
              </w:rPr>
              <w:t>CPT3</w:t>
            </w:r>
            <w:r w:rsidRPr="000D65CF">
              <w:rPr>
                <w:sz w:val="20"/>
                <w:lang w:val="en-US"/>
              </w:rPr>
              <w:t xml:space="preserve"> – </w:t>
            </w:r>
            <w:proofErr w:type="spellStart"/>
            <w:r w:rsidRPr="000D65CF">
              <w:rPr>
                <w:sz w:val="20"/>
                <w:lang w:val="en-US"/>
              </w:rPr>
              <w:t>feebate</w:t>
            </w:r>
            <w:proofErr w:type="spellEnd"/>
            <w:r w:rsidRPr="000D65CF">
              <w:rPr>
                <w:sz w:val="20"/>
                <w:lang w:val="en-US"/>
              </w:rPr>
              <w:t xml:space="preserve"> graded by fuel type and CO</w:t>
            </w:r>
            <w:r w:rsidRPr="000D65CF">
              <w:rPr>
                <w:sz w:val="20"/>
                <w:vertAlign w:val="subscript"/>
                <w:lang w:val="en-US"/>
              </w:rPr>
              <w:t>2</w:t>
            </w:r>
            <w:r w:rsidRPr="000D65CF">
              <w:rPr>
                <w:sz w:val="20"/>
                <w:lang w:val="en-US"/>
              </w:rPr>
              <w:t>, tightening over time:</w:t>
            </w:r>
          </w:p>
          <w:p w14:paraId="25E72B6C" w14:textId="77777777" w:rsidR="009D28AE" w:rsidRPr="00C64BF5" w:rsidRDefault="009D28AE" w:rsidP="001564BC">
            <w:pPr>
              <w:keepNext/>
              <w:spacing w:line="240" w:lineRule="atLeast"/>
              <w:rPr>
                <w:sz w:val="20"/>
                <w:lang w:val="en-US"/>
              </w:rPr>
            </w:pPr>
            <w:r w:rsidRPr="000D65CF">
              <w:rPr>
                <w:sz w:val="20"/>
                <w:lang w:val="en-US"/>
              </w:rPr>
              <w:t>(a) CO</w:t>
            </w:r>
            <w:r w:rsidRPr="000D65CF">
              <w:rPr>
                <w:sz w:val="20"/>
                <w:vertAlign w:val="subscript"/>
                <w:lang w:val="en-US"/>
              </w:rPr>
              <w:t>2</w:t>
            </w:r>
            <w:r w:rsidRPr="000D65CF">
              <w:rPr>
                <w:sz w:val="20"/>
                <w:lang w:val="en-US"/>
              </w:rPr>
              <w:t>-graded tax up to GBP8,000 (&gt;200g/km)</w:t>
            </w:r>
          </w:p>
          <w:p w14:paraId="30798CF3" w14:textId="77777777" w:rsidR="009D28AE" w:rsidRPr="00C64BF5" w:rsidRDefault="009D28AE" w:rsidP="001564BC">
            <w:pPr>
              <w:keepNext/>
              <w:spacing w:line="240" w:lineRule="atLeast"/>
              <w:rPr>
                <w:sz w:val="20"/>
                <w:lang w:val="en-US"/>
              </w:rPr>
            </w:pPr>
            <w:r w:rsidRPr="000D65CF">
              <w:rPr>
                <w:sz w:val="20"/>
                <w:lang w:val="en-US"/>
              </w:rPr>
              <w:t>(b) rebate up to GBP4,000 (&lt;100g/km)</w:t>
            </w:r>
          </w:p>
          <w:p w14:paraId="42212164" w14:textId="77777777" w:rsidR="009D28AE" w:rsidRPr="00C64BF5" w:rsidRDefault="009D28AE" w:rsidP="009D28AE">
            <w:pPr>
              <w:keepNext/>
              <w:spacing w:line="240" w:lineRule="atLeast"/>
              <w:rPr>
                <w:sz w:val="20"/>
                <w:lang w:val="en-US"/>
              </w:rPr>
            </w:pPr>
            <w:r w:rsidRPr="000D65CF">
              <w:rPr>
                <w:sz w:val="20"/>
                <w:lang w:val="en-US"/>
              </w:rPr>
              <w:t>(c) 50% tax discount for alternative fuels</w:t>
            </w:r>
          </w:p>
        </w:tc>
      </w:tr>
      <w:tr w:rsidR="009D28AE" w:rsidRPr="00C64BF5" w14:paraId="2ABF6768" w14:textId="77777777" w:rsidTr="007625B8">
        <w:trPr>
          <w:trHeight w:val="20"/>
        </w:trPr>
        <w:tc>
          <w:tcPr>
            <w:tcW w:w="1296" w:type="dxa"/>
            <w:vMerge/>
            <w:shd w:val="clear" w:color="auto" w:fill="FFFFFF" w:themeFill="background1"/>
          </w:tcPr>
          <w:p w14:paraId="159BF293" w14:textId="77777777" w:rsidR="009D28AE" w:rsidRPr="000D65CF" w:rsidRDefault="009D28AE" w:rsidP="001564BC">
            <w:pPr>
              <w:keepNext/>
              <w:spacing w:line="240" w:lineRule="atLeast"/>
              <w:rPr>
                <w:b/>
                <w:lang w:val="en-US"/>
              </w:rPr>
            </w:pPr>
          </w:p>
        </w:tc>
        <w:tc>
          <w:tcPr>
            <w:tcW w:w="2735" w:type="dxa"/>
            <w:shd w:val="clear" w:color="auto" w:fill="FFFFFF" w:themeFill="background1"/>
          </w:tcPr>
          <w:p w14:paraId="1AB59FA3" w14:textId="77777777" w:rsidR="009D28AE" w:rsidRPr="000D65CF" w:rsidRDefault="009D28AE" w:rsidP="001564BC">
            <w:pPr>
              <w:keepNext/>
              <w:spacing w:line="240" w:lineRule="atLeast"/>
              <w:rPr>
                <w:b/>
                <w:sz w:val="20"/>
                <w:lang w:val="en-US"/>
              </w:rPr>
            </w:pPr>
            <w:r w:rsidRPr="000D65CF">
              <w:rPr>
                <w:b/>
                <w:i/>
                <w:sz w:val="20"/>
                <w:lang w:val="en-US"/>
              </w:rPr>
              <w:t>CPT1a</w:t>
            </w:r>
            <w:r w:rsidRPr="000D65CF">
              <w:rPr>
                <w:i/>
                <w:sz w:val="20"/>
                <w:lang w:val="en-US"/>
              </w:rPr>
              <w:t>: variant with tighter limit of CO</w:t>
            </w:r>
            <w:r w:rsidRPr="000D65CF">
              <w:rPr>
                <w:i/>
                <w:sz w:val="20"/>
                <w:vertAlign w:val="subscript"/>
                <w:lang w:val="en-US"/>
              </w:rPr>
              <w:t>2</w:t>
            </w:r>
            <w:r w:rsidRPr="000D65CF">
              <w:rPr>
                <w:i/>
                <w:sz w:val="20"/>
                <w:lang w:val="en-US"/>
              </w:rPr>
              <w:t xml:space="preserve"> &gt;175g/km</w:t>
            </w:r>
          </w:p>
        </w:tc>
        <w:tc>
          <w:tcPr>
            <w:tcW w:w="2735" w:type="dxa"/>
            <w:shd w:val="clear" w:color="auto" w:fill="FFFFFF" w:themeFill="background1"/>
          </w:tcPr>
          <w:p w14:paraId="44B9E677" w14:textId="77777777" w:rsidR="009D28AE" w:rsidRPr="00C64BF5" w:rsidRDefault="009D28AE" w:rsidP="009D28AE">
            <w:pPr>
              <w:keepNext/>
              <w:spacing w:line="240" w:lineRule="atLeast"/>
              <w:rPr>
                <w:i/>
                <w:sz w:val="20"/>
                <w:lang w:val="en-US"/>
              </w:rPr>
            </w:pPr>
            <w:r w:rsidRPr="000D65CF">
              <w:rPr>
                <w:b/>
                <w:i/>
                <w:sz w:val="20"/>
                <w:lang w:val="en-US"/>
              </w:rPr>
              <w:t>CPT2a</w:t>
            </w:r>
            <w:r w:rsidRPr="000D65CF">
              <w:rPr>
                <w:i/>
                <w:sz w:val="20"/>
                <w:lang w:val="en-US"/>
              </w:rPr>
              <w:t>:higher top rebate of GBP4,000</w:t>
            </w:r>
          </w:p>
          <w:p w14:paraId="2ACB2A30" w14:textId="77777777" w:rsidR="009D28AE" w:rsidRPr="00C64BF5" w:rsidRDefault="009D28AE" w:rsidP="009D28AE">
            <w:pPr>
              <w:keepNext/>
              <w:spacing w:line="240" w:lineRule="atLeast"/>
              <w:rPr>
                <w:b/>
                <w:i/>
                <w:sz w:val="20"/>
                <w:lang w:val="en-US"/>
              </w:rPr>
            </w:pPr>
          </w:p>
          <w:p w14:paraId="4F1E4DCD" w14:textId="77777777" w:rsidR="009D28AE" w:rsidRPr="000D65CF" w:rsidRDefault="009D28AE" w:rsidP="009D28AE">
            <w:pPr>
              <w:keepNext/>
              <w:spacing w:line="240" w:lineRule="atLeast"/>
              <w:rPr>
                <w:b/>
                <w:sz w:val="20"/>
                <w:lang w:val="en-US"/>
              </w:rPr>
            </w:pPr>
            <w:r w:rsidRPr="000D65CF">
              <w:rPr>
                <w:b/>
                <w:i/>
                <w:sz w:val="20"/>
                <w:lang w:val="en-US"/>
              </w:rPr>
              <w:t>CPT2b</w:t>
            </w:r>
            <w:r w:rsidRPr="000D65CF">
              <w:rPr>
                <w:i/>
                <w:sz w:val="20"/>
                <w:lang w:val="en-US"/>
              </w:rPr>
              <w:t>: higher top rebate of GBP3,000; GBP0.06/kWh electric fuel duty</w:t>
            </w:r>
          </w:p>
        </w:tc>
        <w:tc>
          <w:tcPr>
            <w:tcW w:w="2736" w:type="dxa"/>
            <w:shd w:val="clear" w:color="auto" w:fill="FFFFFF" w:themeFill="background1"/>
          </w:tcPr>
          <w:p w14:paraId="589B8D8F" w14:textId="77777777" w:rsidR="009D28AE" w:rsidRPr="00C64BF5" w:rsidRDefault="009D28AE" w:rsidP="009D28AE">
            <w:pPr>
              <w:keepNext/>
              <w:spacing w:line="240" w:lineRule="atLeast"/>
              <w:rPr>
                <w:i/>
                <w:sz w:val="20"/>
                <w:lang w:val="en-US"/>
              </w:rPr>
            </w:pPr>
            <w:r w:rsidRPr="000D65CF">
              <w:rPr>
                <w:b/>
                <w:i/>
                <w:sz w:val="20"/>
                <w:lang w:val="en-US"/>
              </w:rPr>
              <w:t>CPT3a</w:t>
            </w:r>
            <w:r w:rsidRPr="000D65CF">
              <w:rPr>
                <w:i/>
                <w:sz w:val="20"/>
                <w:lang w:val="en-US"/>
              </w:rPr>
              <w:t>: GBP0.06/kWh electric fuel duty</w:t>
            </w:r>
          </w:p>
          <w:p w14:paraId="629289DA" w14:textId="77777777" w:rsidR="009D28AE" w:rsidRPr="000D65CF" w:rsidRDefault="009D28AE" w:rsidP="001564BC">
            <w:pPr>
              <w:keepNext/>
              <w:spacing w:line="240" w:lineRule="atLeast"/>
              <w:rPr>
                <w:b/>
                <w:sz w:val="20"/>
                <w:lang w:val="en-US"/>
              </w:rPr>
            </w:pPr>
          </w:p>
        </w:tc>
      </w:tr>
      <w:tr w:rsidR="00145D1B" w:rsidRPr="00C64BF5" w14:paraId="62868EA9" w14:textId="77777777" w:rsidTr="007625B8">
        <w:tc>
          <w:tcPr>
            <w:tcW w:w="1296" w:type="dxa"/>
            <w:shd w:val="clear" w:color="auto" w:fill="FFFFFF" w:themeFill="background1"/>
          </w:tcPr>
          <w:p w14:paraId="0BEEDA40" w14:textId="77777777" w:rsidR="00145D1B" w:rsidRPr="00C64BF5" w:rsidRDefault="000D65CF" w:rsidP="001564BC">
            <w:pPr>
              <w:keepNext/>
              <w:spacing w:line="240" w:lineRule="atLeast"/>
              <w:rPr>
                <w:b/>
                <w:lang w:val="en-US"/>
              </w:rPr>
            </w:pPr>
            <w:r w:rsidRPr="000D65CF">
              <w:rPr>
                <w:b/>
                <w:lang w:val="en-US"/>
              </w:rPr>
              <w:t>Vehicle excise duty/ road tax</w:t>
            </w:r>
          </w:p>
        </w:tc>
        <w:tc>
          <w:tcPr>
            <w:tcW w:w="2735" w:type="dxa"/>
            <w:shd w:val="clear" w:color="auto" w:fill="FFFFFF" w:themeFill="background1"/>
          </w:tcPr>
          <w:p w14:paraId="65377814" w14:textId="77777777" w:rsidR="00145D1B" w:rsidRPr="00C64BF5" w:rsidRDefault="000D65CF" w:rsidP="001564BC">
            <w:pPr>
              <w:keepNext/>
              <w:spacing w:line="240" w:lineRule="atLeast"/>
              <w:rPr>
                <w:sz w:val="20"/>
                <w:lang w:val="en-US"/>
              </w:rPr>
            </w:pPr>
            <w:r w:rsidRPr="000D65CF">
              <w:rPr>
                <w:b/>
                <w:sz w:val="20"/>
                <w:lang w:val="en-US"/>
              </w:rPr>
              <w:t>VED1</w:t>
            </w:r>
            <w:r w:rsidRPr="000D65CF">
              <w:rPr>
                <w:sz w:val="20"/>
                <w:lang w:val="en-US"/>
              </w:rPr>
              <w:t xml:space="preserve"> – road tax graded by fuel type, CO</w:t>
            </w:r>
            <w:r w:rsidRPr="000D65CF">
              <w:rPr>
                <w:sz w:val="20"/>
                <w:vertAlign w:val="subscript"/>
                <w:lang w:val="en-US"/>
              </w:rPr>
              <w:t>2</w:t>
            </w:r>
            <w:r w:rsidRPr="000D65CF">
              <w:rPr>
                <w:sz w:val="20"/>
                <w:lang w:val="en-US"/>
              </w:rPr>
              <w:t xml:space="preserve"> rating and year of first registration (first year tax is higher)</w:t>
            </w:r>
          </w:p>
        </w:tc>
        <w:tc>
          <w:tcPr>
            <w:tcW w:w="2735" w:type="dxa"/>
            <w:shd w:val="clear" w:color="auto" w:fill="FFFFFF" w:themeFill="background1"/>
          </w:tcPr>
          <w:p w14:paraId="1C068543" w14:textId="77777777" w:rsidR="00145D1B" w:rsidRPr="00C64BF5" w:rsidRDefault="000D65CF" w:rsidP="001564BC">
            <w:pPr>
              <w:keepNext/>
              <w:spacing w:line="240" w:lineRule="atLeast"/>
              <w:rPr>
                <w:sz w:val="20"/>
                <w:lang w:val="en-US"/>
              </w:rPr>
            </w:pPr>
            <w:r w:rsidRPr="000D65CF">
              <w:rPr>
                <w:b/>
                <w:sz w:val="20"/>
                <w:lang w:val="en-US"/>
              </w:rPr>
              <w:t>VED2</w:t>
            </w:r>
            <w:r w:rsidRPr="000D65CF">
              <w:rPr>
                <w:sz w:val="20"/>
                <w:lang w:val="en-US"/>
              </w:rPr>
              <w:t xml:space="preserve"> – as VED1 but tightening of CO</w:t>
            </w:r>
            <w:r w:rsidRPr="000D65CF">
              <w:rPr>
                <w:sz w:val="20"/>
                <w:vertAlign w:val="subscript"/>
                <w:lang w:val="en-US"/>
              </w:rPr>
              <w:t>2</w:t>
            </w:r>
            <w:r w:rsidRPr="000D65CF">
              <w:rPr>
                <w:sz w:val="20"/>
                <w:lang w:val="en-US"/>
              </w:rPr>
              <w:t xml:space="preserve"> limits over time</w:t>
            </w:r>
          </w:p>
        </w:tc>
        <w:tc>
          <w:tcPr>
            <w:tcW w:w="2736" w:type="dxa"/>
            <w:shd w:val="clear" w:color="auto" w:fill="FFFFFF" w:themeFill="background1"/>
          </w:tcPr>
          <w:p w14:paraId="413327B1" w14:textId="77777777" w:rsidR="00145D1B" w:rsidRPr="00C64BF5" w:rsidRDefault="000D65CF" w:rsidP="001564BC">
            <w:pPr>
              <w:keepNext/>
              <w:spacing w:line="240" w:lineRule="atLeast"/>
              <w:rPr>
                <w:sz w:val="20"/>
                <w:lang w:val="en-US"/>
              </w:rPr>
            </w:pPr>
            <w:r w:rsidRPr="000D65CF">
              <w:rPr>
                <w:b/>
                <w:sz w:val="20"/>
                <w:lang w:val="en-US"/>
              </w:rPr>
              <w:t>VED3</w:t>
            </w:r>
            <w:r w:rsidRPr="000D65CF">
              <w:rPr>
                <w:sz w:val="20"/>
                <w:lang w:val="en-US"/>
              </w:rPr>
              <w:t xml:space="preserve"> – as VED2 but with double duty rates</w:t>
            </w:r>
          </w:p>
        </w:tc>
      </w:tr>
      <w:tr w:rsidR="009D28AE" w:rsidRPr="00C64BF5" w14:paraId="63577DEF" w14:textId="77777777" w:rsidTr="007625B8">
        <w:trPr>
          <w:trHeight w:val="701"/>
        </w:trPr>
        <w:tc>
          <w:tcPr>
            <w:tcW w:w="1296" w:type="dxa"/>
            <w:vMerge w:val="restart"/>
            <w:shd w:val="clear" w:color="auto" w:fill="FFFFFF" w:themeFill="background1"/>
          </w:tcPr>
          <w:p w14:paraId="5F1BCFAC" w14:textId="77777777" w:rsidR="009D28AE" w:rsidRPr="00C64BF5" w:rsidRDefault="009D28AE" w:rsidP="005C3A20">
            <w:pPr>
              <w:spacing w:line="240" w:lineRule="atLeast"/>
              <w:rPr>
                <w:b/>
                <w:lang w:val="en-US"/>
              </w:rPr>
            </w:pPr>
            <w:r w:rsidRPr="000D65CF">
              <w:rPr>
                <w:b/>
                <w:lang w:val="en-US"/>
              </w:rPr>
              <w:t>Scrappage rebate</w:t>
            </w:r>
          </w:p>
        </w:tc>
        <w:tc>
          <w:tcPr>
            <w:tcW w:w="2735" w:type="dxa"/>
            <w:shd w:val="clear" w:color="auto" w:fill="FFFFFF" w:themeFill="background1"/>
          </w:tcPr>
          <w:p w14:paraId="48FAD100" w14:textId="701FFD2E" w:rsidR="009D28AE" w:rsidRPr="00C64BF5" w:rsidRDefault="009D28AE" w:rsidP="00D67197">
            <w:pPr>
              <w:spacing w:line="240" w:lineRule="atLeast"/>
              <w:rPr>
                <w:sz w:val="20"/>
                <w:lang w:val="en-US"/>
              </w:rPr>
            </w:pPr>
            <w:r w:rsidRPr="000D65CF">
              <w:rPr>
                <w:b/>
                <w:sz w:val="20"/>
                <w:lang w:val="en-US"/>
              </w:rPr>
              <w:t>SCR1</w:t>
            </w:r>
            <w:r w:rsidRPr="000D65CF">
              <w:rPr>
                <w:sz w:val="20"/>
                <w:lang w:val="en-US"/>
              </w:rPr>
              <w:t xml:space="preserve">: simple, threshold-based rebate of GBP2,000, 2009-2010 only </w:t>
            </w:r>
            <w:r w:rsidR="00880B2F">
              <w:rPr>
                <w:sz w:val="20"/>
                <w:lang w:val="en-US"/>
              </w:rPr>
              <w:fldChar w:fldCharType="begin"/>
            </w:r>
            <w:r>
              <w:rPr>
                <w:sz w:val="20"/>
                <w:lang w:val="en-US"/>
              </w:rPr>
              <w:instrText xml:space="preserve"> ADDIN EN.CITE &lt;EndNote&gt;&lt;Cite&gt;&lt;Author&gt;SMMT&lt;/Author&gt;&lt;Year&gt;2010&lt;/Year&gt;&lt;RecNum&gt;833&lt;/RecNum&gt;&lt;DisplayText&gt;(SMMT, 2010)&lt;/DisplayText&gt;&lt;record&gt;&lt;rec-number&gt;833&lt;/rec-number&gt;&lt;foreign-keys&gt;&lt;key app="EN" db-id="a0wpest2552swgezzsnxxwsnpp9axwswpaww"&gt;833&lt;/key&gt;&lt;/foreign-keys&gt;&lt;ref-type name="Web Page"&gt;12&lt;/ref-type&gt;&lt;contributors&gt;&lt;authors&gt;&lt;author&gt;SMMT&lt;/author&gt;&lt;/authors&gt;&lt;/contributors&gt;&lt;titles&gt;&lt;title&gt;Scrappage scheme comes to an end&lt;/title&gt;&lt;/titles&gt;&lt;number&gt;11/02/2011&lt;/number&gt;&lt;dates&gt;&lt;year&gt;2010&lt;/year&gt;&lt;/dates&gt;&lt;pub-location&gt;London&lt;/pub-location&gt;&lt;publisher&gt;Society of Motor Manufacturers and Traders (SMMT)&lt;/publisher&gt;&lt;urls&gt;&lt;related-urls&gt;&lt;url&gt;http://www.smmt.co.uk/2010/03/scrappage-scheme-comes-to-an-end/&lt;/url&gt;&lt;/related-urls&gt;&lt;/urls&gt;&lt;/record&gt;&lt;/Cite&gt;&lt;/EndNote&gt;</w:instrText>
            </w:r>
            <w:r w:rsidR="00880B2F">
              <w:rPr>
                <w:sz w:val="20"/>
                <w:lang w:val="en-US"/>
              </w:rPr>
              <w:fldChar w:fldCharType="separate"/>
            </w:r>
            <w:r>
              <w:rPr>
                <w:noProof/>
                <w:sz w:val="20"/>
                <w:lang w:val="en-US"/>
              </w:rPr>
              <w:t>(</w:t>
            </w:r>
            <w:hyperlink w:anchor="_ENREF_69" w:tooltip="SMMT, 2010 #833" w:history="1">
              <w:r w:rsidR="00D67197">
                <w:rPr>
                  <w:noProof/>
                  <w:sz w:val="20"/>
                  <w:lang w:val="en-US"/>
                </w:rPr>
                <w:t>SMMT, 2010</w:t>
              </w:r>
            </w:hyperlink>
            <w:r>
              <w:rPr>
                <w:noProof/>
                <w:sz w:val="20"/>
                <w:lang w:val="en-US"/>
              </w:rPr>
              <w:t>)</w:t>
            </w:r>
            <w:r w:rsidR="00880B2F">
              <w:rPr>
                <w:sz w:val="20"/>
                <w:lang w:val="en-US"/>
              </w:rPr>
              <w:fldChar w:fldCharType="end"/>
            </w:r>
          </w:p>
        </w:tc>
        <w:tc>
          <w:tcPr>
            <w:tcW w:w="2735" w:type="dxa"/>
            <w:shd w:val="clear" w:color="auto" w:fill="FFFFFF" w:themeFill="background1"/>
          </w:tcPr>
          <w:p w14:paraId="5930CCD5" w14:textId="77777777" w:rsidR="009D28AE" w:rsidRPr="009D28AE" w:rsidRDefault="009D28AE" w:rsidP="001D1055">
            <w:pPr>
              <w:spacing w:line="240" w:lineRule="atLeast"/>
              <w:rPr>
                <w:sz w:val="20"/>
                <w:lang w:val="en-US"/>
              </w:rPr>
            </w:pPr>
            <w:r w:rsidRPr="000D65CF">
              <w:rPr>
                <w:b/>
                <w:sz w:val="20"/>
                <w:lang w:val="en-US"/>
              </w:rPr>
              <w:t>SCR2</w:t>
            </w:r>
            <w:r w:rsidRPr="000D65CF">
              <w:rPr>
                <w:sz w:val="20"/>
                <w:lang w:val="en-US"/>
              </w:rPr>
              <w:t>: simple, threshold-based rebate of GBP2,000, 2011-2050, tightening by CO</w:t>
            </w:r>
            <w:r w:rsidRPr="000D65CF">
              <w:rPr>
                <w:sz w:val="20"/>
                <w:vertAlign w:val="subscript"/>
                <w:lang w:val="en-US"/>
              </w:rPr>
              <w:t>2</w:t>
            </w:r>
            <w:r w:rsidRPr="000D65CF">
              <w:rPr>
                <w:sz w:val="20"/>
                <w:lang w:val="en-US"/>
              </w:rPr>
              <w:t xml:space="preserve"> limits over time</w:t>
            </w:r>
          </w:p>
        </w:tc>
        <w:tc>
          <w:tcPr>
            <w:tcW w:w="2736" w:type="dxa"/>
            <w:shd w:val="clear" w:color="auto" w:fill="FFFFFF" w:themeFill="background1"/>
          </w:tcPr>
          <w:p w14:paraId="402EED6E" w14:textId="77777777" w:rsidR="009D28AE" w:rsidRPr="00C64BF5" w:rsidRDefault="009D28AE" w:rsidP="001D1055">
            <w:pPr>
              <w:spacing w:line="240" w:lineRule="atLeast"/>
              <w:rPr>
                <w:sz w:val="20"/>
                <w:lang w:val="en-US"/>
              </w:rPr>
            </w:pPr>
            <w:r w:rsidRPr="000D65CF">
              <w:rPr>
                <w:b/>
                <w:sz w:val="20"/>
                <w:lang w:val="en-US"/>
              </w:rPr>
              <w:t>SCR3</w:t>
            </w:r>
            <w:r w:rsidRPr="000D65CF">
              <w:rPr>
                <w:sz w:val="20"/>
                <w:lang w:val="en-US"/>
              </w:rPr>
              <w:t>: rebate of up to GBP2,000 graded by CO</w:t>
            </w:r>
            <w:r w:rsidRPr="000D65CF">
              <w:rPr>
                <w:sz w:val="20"/>
                <w:vertAlign w:val="subscript"/>
                <w:lang w:val="en-US"/>
              </w:rPr>
              <w:t>2</w:t>
            </w:r>
            <w:r w:rsidRPr="000D65CF">
              <w:rPr>
                <w:sz w:val="20"/>
                <w:lang w:val="en-US"/>
              </w:rPr>
              <w:t>, 2011-2050, tightening by CO</w:t>
            </w:r>
            <w:r w:rsidRPr="000D65CF">
              <w:rPr>
                <w:sz w:val="20"/>
                <w:vertAlign w:val="subscript"/>
                <w:lang w:val="en-US"/>
              </w:rPr>
              <w:t>2</w:t>
            </w:r>
            <w:r w:rsidRPr="000D65CF">
              <w:rPr>
                <w:sz w:val="20"/>
                <w:lang w:val="en-US"/>
              </w:rPr>
              <w:t xml:space="preserve"> limits over time</w:t>
            </w:r>
          </w:p>
        </w:tc>
      </w:tr>
      <w:tr w:rsidR="009D28AE" w:rsidRPr="00C64BF5" w14:paraId="07B2DFE5" w14:textId="77777777" w:rsidTr="007625B8">
        <w:trPr>
          <w:trHeight w:val="20"/>
        </w:trPr>
        <w:tc>
          <w:tcPr>
            <w:tcW w:w="1296" w:type="dxa"/>
            <w:vMerge/>
            <w:shd w:val="clear" w:color="auto" w:fill="FFFFFF" w:themeFill="background1"/>
          </w:tcPr>
          <w:p w14:paraId="2E872606" w14:textId="77777777" w:rsidR="009D28AE" w:rsidRPr="000D65CF" w:rsidRDefault="009D28AE" w:rsidP="005C3A20">
            <w:pPr>
              <w:spacing w:line="240" w:lineRule="atLeast"/>
              <w:rPr>
                <w:b/>
                <w:lang w:val="en-US"/>
              </w:rPr>
            </w:pPr>
          </w:p>
        </w:tc>
        <w:tc>
          <w:tcPr>
            <w:tcW w:w="2735" w:type="dxa"/>
            <w:shd w:val="clear" w:color="auto" w:fill="FFFFFF" w:themeFill="background1"/>
          </w:tcPr>
          <w:p w14:paraId="11CA72BF" w14:textId="77777777" w:rsidR="009D28AE" w:rsidRPr="000D65CF" w:rsidRDefault="009D28AE" w:rsidP="00C2662B">
            <w:pPr>
              <w:spacing w:line="240" w:lineRule="atLeast"/>
              <w:rPr>
                <w:b/>
                <w:sz w:val="20"/>
                <w:lang w:val="en-US"/>
              </w:rPr>
            </w:pPr>
          </w:p>
        </w:tc>
        <w:tc>
          <w:tcPr>
            <w:tcW w:w="2735" w:type="dxa"/>
            <w:shd w:val="clear" w:color="auto" w:fill="FFFFFF" w:themeFill="background1"/>
          </w:tcPr>
          <w:p w14:paraId="1EA0D691" w14:textId="77777777" w:rsidR="009D28AE" w:rsidRPr="000D65CF" w:rsidRDefault="009D28AE" w:rsidP="005C3A20">
            <w:pPr>
              <w:spacing w:line="240" w:lineRule="atLeast"/>
              <w:rPr>
                <w:b/>
                <w:sz w:val="20"/>
                <w:lang w:val="en-US"/>
              </w:rPr>
            </w:pPr>
            <w:r w:rsidRPr="000D65CF">
              <w:rPr>
                <w:b/>
                <w:i/>
                <w:sz w:val="20"/>
                <w:lang w:val="en-US"/>
              </w:rPr>
              <w:t>SCR2a</w:t>
            </w:r>
            <w:r w:rsidRPr="000D65CF">
              <w:rPr>
                <w:i/>
                <w:sz w:val="20"/>
                <w:lang w:val="en-US"/>
              </w:rPr>
              <w:t>: variant assuming lower expected car life</w:t>
            </w:r>
          </w:p>
        </w:tc>
        <w:tc>
          <w:tcPr>
            <w:tcW w:w="2736" w:type="dxa"/>
            <w:shd w:val="clear" w:color="auto" w:fill="FFFFFF" w:themeFill="background1"/>
          </w:tcPr>
          <w:p w14:paraId="1B542F9A" w14:textId="77777777" w:rsidR="009D28AE" w:rsidRPr="000D65CF" w:rsidRDefault="009D28AE" w:rsidP="001D1055">
            <w:pPr>
              <w:spacing w:line="240" w:lineRule="atLeast"/>
              <w:rPr>
                <w:b/>
                <w:sz w:val="20"/>
                <w:lang w:val="en-US"/>
              </w:rPr>
            </w:pPr>
          </w:p>
        </w:tc>
      </w:tr>
    </w:tbl>
    <w:p w14:paraId="74440976" w14:textId="77777777" w:rsidR="0068566F" w:rsidRPr="007625B8" w:rsidRDefault="007625B8" w:rsidP="00A018D1">
      <w:pPr>
        <w:rPr>
          <w:sz w:val="22"/>
          <w:lang w:val="en-US"/>
        </w:rPr>
      </w:pPr>
      <w:r w:rsidRPr="007625B8">
        <w:rPr>
          <w:sz w:val="22"/>
          <w:lang w:val="en-US"/>
        </w:rPr>
        <w:t>Note: normal typeface denotes core policy scenario; italic typeface denotes variant / sensitivity scenario</w:t>
      </w:r>
    </w:p>
    <w:p w14:paraId="712BF9B0" w14:textId="77777777" w:rsidR="007625B8" w:rsidRPr="00C64BF5" w:rsidRDefault="007625B8" w:rsidP="00A018D1">
      <w:pPr>
        <w:rPr>
          <w:lang w:val="en-US"/>
        </w:rPr>
      </w:pPr>
    </w:p>
    <w:p w14:paraId="3F16BEA9" w14:textId="77777777" w:rsidR="008A36A2" w:rsidRPr="00C64BF5" w:rsidRDefault="000D65CF" w:rsidP="00697B23">
      <w:pPr>
        <w:pStyle w:val="Heading3"/>
        <w:rPr>
          <w:lang w:val="en-US"/>
        </w:rPr>
      </w:pPr>
      <w:r w:rsidRPr="000D65CF">
        <w:rPr>
          <w:lang w:val="en-US"/>
        </w:rPr>
        <w:t>3.</w:t>
      </w:r>
      <w:r w:rsidR="00BD152D">
        <w:rPr>
          <w:lang w:val="en-US"/>
        </w:rPr>
        <w:t>2</w:t>
      </w:r>
      <w:r w:rsidRPr="000D65CF">
        <w:rPr>
          <w:lang w:val="en-US"/>
        </w:rPr>
        <w:t>.2 Reference scenario (REF)</w:t>
      </w:r>
    </w:p>
    <w:p w14:paraId="4B1D14DA" w14:textId="669803F0" w:rsidR="003642D0" w:rsidRDefault="000D65CF" w:rsidP="00A018D1">
      <w:pPr>
        <w:rPr>
          <w:lang w:val="en-GB"/>
        </w:rPr>
      </w:pPr>
      <w:r w:rsidRPr="000D65CF">
        <w:rPr>
          <w:lang w:val="en-US"/>
        </w:rPr>
        <w:t xml:space="preserve">To assess the effects of changes in policy against some reference situation, a ‘reference scenario’ for the outlook period up to 2050 </w:t>
      </w:r>
      <w:r w:rsidR="0068453C">
        <w:rPr>
          <w:lang w:val="en-US"/>
        </w:rPr>
        <w:t>was</w:t>
      </w:r>
      <w:r w:rsidRPr="000D65CF">
        <w:rPr>
          <w:lang w:val="en-US"/>
        </w:rPr>
        <w:t xml:space="preserve"> required.</w:t>
      </w:r>
      <w:r w:rsidR="0068453C">
        <w:rPr>
          <w:lang w:val="en-US"/>
        </w:rPr>
        <w:t xml:space="preserve"> </w:t>
      </w:r>
      <w:r w:rsidR="0035260F">
        <w:rPr>
          <w:lang w:val="en-US"/>
        </w:rPr>
        <w:t xml:space="preserve">This scenario broadly depicts </w:t>
      </w:r>
      <w:r w:rsidRPr="000D65CF">
        <w:rPr>
          <w:lang w:val="en-US"/>
        </w:rPr>
        <w:t>a projection of transport activity, energy use and emissions as if there were no changes to transport (and fiscal) policy beyond March 2010.</w:t>
      </w:r>
      <w:r w:rsidR="0076025E">
        <w:rPr>
          <w:lang w:val="en-US"/>
        </w:rPr>
        <w:t xml:space="preserve"> </w:t>
      </w:r>
      <w:r w:rsidR="0021148F">
        <w:rPr>
          <w:lang w:val="en-US"/>
        </w:rPr>
        <w:t xml:space="preserve">It was modeled using UKTCM </w:t>
      </w:r>
      <w:r w:rsidR="0076025E" w:rsidRPr="0076025E">
        <w:rPr>
          <w:lang w:val="en-GB"/>
        </w:rPr>
        <w:t xml:space="preserve">based on exogenous assumptions </w:t>
      </w:r>
      <w:r w:rsidR="0076025E">
        <w:rPr>
          <w:lang w:val="en-GB"/>
        </w:rPr>
        <w:t xml:space="preserve">and projections of </w:t>
      </w:r>
      <w:r w:rsidR="0076025E" w:rsidRPr="0076025E">
        <w:rPr>
          <w:lang w:val="en-GB"/>
        </w:rPr>
        <w:t>socio-demographic</w:t>
      </w:r>
      <w:r w:rsidR="0076025E">
        <w:rPr>
          <w:lang w:val="en-GB"/>
        </w:rPr>
        <w:t xml:space="preserve">, </w:t>
      </w:r>
      <w:r w:rsidR="0076025E" w:rsidRPr="0076025E">
        <w:rPr>
          <w:lang w:val="en-GB"/>
        </w:rPr>
        <w:t>economic, technological</w:t>
      </w:r>
      <w:r w:rsidR="0076025E">
        <w:rPr>
          <w:lang w:val="en-GB"/>
        </w:rPr>
        <w:t xml:space="preserve"> </w:t>
      </w:r>
      <w:r w:rsidR="0076025E" w:rsidRPr="0076025E">
        <w:rPr>
          <w:lang w:val="en-GB"/>
        </w:rPr>
        <w:t xml:space="preserve">and </w:t>
      </w:r>
      <w:r w:rsidR="0076025E">
        <w:rPr>
          <w:lang w:val="en-GB"/>
        </w:rPr>
        <w:t>(</w:t>
      </w:r>
      <w:r w:rsidR="0076025E" w:rsidRPr="0076025E">
        <w:rPr>
          <w:lang w:val="en-GB"/>
        </w:rPr>
        <w:t>firm and committed</w:t>
      </w:r>
      <w:r w:rsidR="0076025E">
        <w:rPr>
          <w:lang w:val="en-GB"/>
        </w:rPr>
        <w:t>)</w:t>
      </w:r>
      <w:r w:rsidR="0076025E" w:rsidRPr="0076025E">
        <w:rPr>
          <w:lang w:val="en-GB"/>
        </w:rPr>
        <w:t xml:space="preserve"> policy developments.</w:t>
      </w:r>
      <w:r w:rsidR="0071218C">
        <w:rPr>
          <w:lang w:val="en-GB"/>
        </w:rPr>
        <w:t xml:space="preserve"> While it included the relatively complex (fuel type and CO</w:t>
      </w:r>
      <w:r w:rsidR="0071218C" w:rsidRPr="0071218C">
        <w:rPr>
          <w:vertAlign w:val="subscript"/>
          <w:lang w:val="en-GB"/>
        </w:rPr>
        <w:t>2</w:t>
      </w:r>
      <w:r w:rsidR="0071218C">
        <w:rPr>
          <w:lang w:val="en-GB"/>
        </w:rPr>
        <w:t xml:space="preserve"> graded) VED scheme as of 2009/2010</w:t>
      </w:r>
      <w:r w:rsidR="00DD0B36">
        <w:rPr>
          <w:lang w:val="en-GB"/>
        </w:rPr>
        <w:t xml:space="preserve"> </w:t>
      </w:r>
      <w:r w:rsidR="00DD0B36">
        <w:rPr>
          <w:lang w:val="en-GB"/>
        </w:rPr>
        <w:fldChar w:fldCharType="begin"/>
      </w:r>
      <w:r w:rsidR="003C229A">
        <w:rPr>
          <w:lang w:val="en-GB"/>
        </w:rPr>
        <w:instrText xml:space="preserve"> ADDIN EN.CITE &lt;EndNote&gt;&lt;Cite&gt;&lt;Author&gt;UK House of Commons&lt;/Author&gt;&lt;Year&gt;2010&lt;/Year&gt;&lt;RecNum&gt;990&lt;/RecNum&gt;&lt;DisplayText&gt;(UK House of Commons, 2010)&lt;/DisplayText&gt;&lt;record&gt;&lt;rec-number&gt;990&lt;/rec-number&gt;&lt;foreign-keys&gt;&lt;key app="EN" db-id="a0wpest2552swgezzsnxxwsnpp9axwswpaww"&gt;990&lt;/key&gt;&lt;/foreign-keys&gt;&lt;ref-type name="Report"&gt;27&lt;/ref-type&gt;&lt;contributors&gt;&lt;authors&gt;&lt;author&gt;UK House of Commons,&lt;/author&gt;&lt;/authors&gt;&lt;/contributors&gt;&lt;titles&gt;&lt;title&gt;Vehicle Excise Duty (VED), Standard Note: SN/BT/1482&lt;/title&gt;&lt;/titles&gt;&lt;dates&gt;&lt;year&gt;2010&lt;/year&gt;&lt;/dates&gt;&lt;pub-location&gt;London&lt;/pub-location&gt;&lt;publisher&gt;UK House of Commons&lt;/publisher&gt;&lt;urls&gt;&lt;/urls&gt;&lt;/record&gt;&lt;/Cite&gt;&lt;/EndNote&gt;</w:instrText>
      </w:r>
      <w:r w:rsidR="00DD0B36">
        <w:rPr>
          <w:lang w:val="en-GB"/>
        </w:rPr>
        <w:fldChar w:fldCharType="separate"/>
      </w:r>
      <w:r w:rsidR="003C229A">
        <w:rPr>
          <w:noProof/>
          <w:lang w:val="en-GB"/>
        </w:rPr>
        <w:t>(</w:t>
      </w:r>
      <w:hyperlink w:anchor="_ENREF_84" w:tooltip="UK House of Commons, 2010 #990" w:history="1">
        <w:r w:rsidR="00D67197">
          <w:rPr>
            <w:noProof/>
            <w:lang w:val="en-GB"/>
          </w:rPr>
          <w:t>UK House of Commons, 2010</w:t>
        </w:r>
      </w:hyperlink>
      <w:r w:rsidR="003C229A">
        <w:rPr>
          <w:noProof/>
          <w:lang w:val="en-GB"/>
        </w:rPr>
        <w:t>)</w:t>
      </w:r>
      <w:r w:rsidR="00DD0B36">
        <w:rPr>
          <w:lang w:val="en-GB"/>
        </w:rPr>
        <w:fldChar w:fldCharType="end"/>
      </w:r>
      <w:r w:rsidR="0071218C">
        <w:rPr>
          <w:lang w:val="en-GB"/>
        </w:rPr>
        <w:t xml:space="preserve">, it did not include any scrappage rebates or purchase taxes/feebates. </w:t>
      </w:r>
    </w:p>
    <w:p w14:paraId="19F9AF6D" w14:textId="77777777" w:rsidR="003642D0" w:rsidRDefault="003642D0" w:rsidP="00A018D1">
      <w:pPr>
        <w:rPr>
          <w:lang w:val="en-GB"/>
        </w:rPr>
      </w:pPr>
    </w:p>
    <w:p w14:paraId="55A7F25D" w14:textId="72F47C74" w:rsidR="00697B23" w:rsidRPr="00C64BF5" w:rsidRDefault="0068453C" w:rsidP="00A018D1">
      <w:pPr>
        <w:rPr>
          <w:lang w:val="en-US"/>
        </w:rPr>
      </w:pPr>
      <w:r>
        <w:rPr>
          <w:lang w:val="en-US"/>
        </w:rPr>
        <w:t>While t</w:t>
      </w:r>
      <w:r w:rsidR="000D65CF" w:rsidRPr="000D65CF">
        <w:rPr>
          <w:lang w:val="en-US"/>
        </w:rPr>
        <w:t xml:space="preserve">he assumptions and data sources given in Brand et al. </w:t>
      </w:r>
      <w:r w:rsidR="00880B2F" w:rsidRPr="000D65CF">
        <w:rPr>
          <w:lang w:val="en-US"/>
        </w:rPr>
        <w:fldChar w:fldCharType="begin"/>
      </w:r>
      <w:r w:rsidR="00653C01">
        <w:rPr>
          <w:lang w:val="en-US"/>
        </w:rPr>
        <w:instrText xml:space="preserve"> ADDIN EN.CITE &lt;EndNote&gt;&lt;Cite ExcludeAuth="1"&gt;&lt;Author&gt;Brand&lt;/Author&gt;&lt;Year&gt;2012&lt;/Year&gt;&lt;RecNum&gt;819&lt;/RecNum&gt;&lt;DisplayText&gt;(2012)&lt;/DisplayText&gt;&lt;record&gt;&lt;rec-number&gt;819&lt;/rec-number&gt;&lt;foreign-keys&gt;&lt;key app="EN" db-id="a0wpest2552swgezzsnxxwsnpp9axwswpaww"&gt;819&lt;/key&gt;&lt;/foreign-keys&gt;&lt;ref-type name="Journal Article"&gt;17&lt;/ref-type&gt;&lt;contributors&gt;&lt;authors&gt;&lt;author&gt;Brand, Christian&lt;/author&gt;&lt;author&gt;Tran, Martino&lt;/author&gt;&lt;author&gt;Anable, Jillian&lt;/author&gt;&lt;/authors&gt;&lt;/contributors&gt;&lt;titles&gt;&lt;title&gt;The UK transport carbon model: An integrated life cycle approach to explore low carbon futures&lt;/title&gt;&lt;secondary-title&gt;Energy Policy&lt;/secondary-title&gt;&lt;/titles&gt;&lt;periodical&gt;&lt;full-title&gt;Energy Policy&lt;/full-title&gt;&lt;/periodical&gt;&lt;pages&gt;107-124&lt;/pages&gt;&lt;volume&gt;41&lt;/volume&gt;&lt;keywords&gt;&lt;keyword&gt;Transport energy modelling&lt;/keyword&gt;&lt;keyword&gt;Strategic policy analysis&lt;/keyword&gt;&lt;keyword&gt;Scenario development&lt;/keyword&gt;&lt;/keywords&gt;&lt;dates&gt;&lt;year&gt;2012&lt;/year&gt;&lt;/dates&gt;&lt;isbn&gt;0301-4215&lt;/isbn&gt;&lt;urls&gt;&lt;related-urls&gt;&lt;url&gt;http://www.sciencedirect.com/science/article/B6V2W-51066NF-4/2/cc03d5c454040f61aa82124296a00904&lt;/url&gt;&lt;/related-urls&gt;&lt;/urls&gt;&lt;/record&gt;&lt;/Cite&gt;&lt;/EndNote&gt;</w:instrText>
      </w:r>
      <w:r w:rsidR="00880B2F" w:rsidRPr="000D65CF">
        <w:rPr>
          <w:lang w:val="en-US"/>
        </w:rPr>
        <w:fldChar w:fldCharType="separate"/>
      </w:r>
      <w:r w:rsidR="00546ABC">
        <w:rPr>
          <w:noProof/>
          <w:lang w:val="en-US"/>
        </w:rPr>
        <w:t>(</w:t>
      </w:r>
      <w:hyperlink w:anchor="_ENREF_11" w:tooltip="Brand, 2012 #819" w:history="1">
        <w:r w:rsidR="00D67197">
          <w:rPr>
            <w:noProof/>
            <w:lang w:val="en-US"/>
          </w:rPr>
          <w:t>2012</w:t>
        </w:r>
      </w:hyperlink>
      <w:r w:rsidR="00546ABC">
        <w:rPr>
          <w:noProof/>
          <w:lang w:val="en-US"/>
        </w:rPr>
        <w:t>)</w:t>
      </w:r>
      <w:r w:rsidR="00880B2F" w:rsidRPr="000D65CF">
        <w:rPr>
          <w:lang w:val="en-US"/>
        </w:rPr>
        <w:fldChar w:fldCharType="end"/>
      </w:r>
      <w:r w:rsidR="000D65CF" w:rsidRPr="000D65CF">
        <w:rPr>
          <w:lang w:val="en-US"/>
        </w:rPr>
        <w:t xml:space="preserve"> and Brand </w:t>
      </w:r>
      <w:r w:rsidR="00880B2F" w:rsidRPr="000D65CF">
        <w:rPr>
          <w:lang w:val="en-US"/>
        </w:rPr>
        <w:fldChar w:fldCharType="begin"/>
      </w:r>
      <w:r w:rsidR="00C2662B">
        <w:rPr>
          <w:lang w:val="en-US"/>
        </w:rPr>
        <w:instrText xml:space="preserve"> ADDIN EN.CITE &lt;EndNote&gt;&lt;Cite ExcludeAuth="1"&gt;&lt;Author&gt;Brand&lt;/Author&gt;&lt;Year&gt;2010&lt;/Year&gt;&lt;RecNum&gt;752&lt;/RecNum&gt;&lt;DisplayText&gt;(2010a)&lt;/DisplayText&gt;&lt;record&gt;&lt;rec-number&gt;752&lt;/rec-number&gt;&lt;foreign-keys&gt;&lt;key app="EN" db-id="a0wpest2552swgezzsnxxwsnpp9axwswpaww"&gt;752&lt;/key&gt;&lt;/foreign-keys&gt;&lt;ref-type name="Report"&gt;27&lt;/ref-type&gt;&lt;contributors&gt;&lt;authors&gt;&lt;author&gt;Brand, C.&lt;/author&gt;&lt;/authors&gt;&lt;/contributors&gt;&lt;titles&gt;&lt;title&gt;UK Transport Carbon Model: Reference Guide v1.0&lt;/title&gt;&lt;/titles&gt;&lt;dates&gt;&lt;year&gt;2010&lt;/year&gt;&lt;/dates&gt;&lt;pub-location&gt;Oxford&lt;/pub-location&gt;&lt;publisher&gt;UK Energy Research Centre, Energy Demand Theme&lt;/publisher&gt;&lt;urls&gt;&lt;/urls&gt;&lt;/record&gt;&lt;/Cite&gt;&lt;/EndNote&gt;</w:instrText>
      </w:r>
      <w:r w:rsidR="00880B2F" w:rsidRPr="000D65CF">
        <w:rPr>
          <w:lang w:val="en-US"/>
        </w:rPr>
        <w:fldChar w:fldCharType="separate"/>
      </w:r>
      <w:r w:rsidR="00C2662B">
        <w:rPr>
          <w:noProof/>
          <w:lang w:val="en-US"/>
        </w:rPr>
        <w:t>(</w:t>
      </w:r>
      <w:hyperlink w:anchor="_ENREF_9" w:tooltip="Brand, 2010 #752" w:history="1">
        <w:r w:rsidR="00D67197">
          <w:rPr>
            <w:noProof/>
            <w:lang w:val="en-US"/>
          </w:rPr>
          <w:t>2010a</w:t>
        </w:r>
      </w:hyperlink>
      <w:r w:rsidR="00C2662B">
        <w:rPr>
          <w:noProof/>
          <w:lang w:val="en-US"/>
        </w:rPr>
        <w:t>)</w:t>
      </w:r>
      <w:r w:rsidR="00880B2F" w:rsidRPr="000D65CF">
        <w:rPr>
          <w:lang w:val="en-US"/>
        </w:rPr>
        <w:fldChar w:fldCharType="end"/>
      </w:r>
      <w:r w:rsidR="000D65CF" w:rsidRPr="000D65CF">
        <w:rPr>
          <w:lang w:val="en-US"/>
        </w:rPr>
        <w:t xml:space="preserve"> served as a starting point for this scenario</w:t>
      </w:r>
      <w:r>
        <w:rPr>
          <w:lang w:val="en-US"/>
        </w:rPr>
        <w:t>, a</w:t>
      </w:r>
      <w:r w:rsidR="000D65CF" w:rsidRPr="000D65CF">
        <w:rPr>
          <w:lang w:val="en-US"/>
        </w:rPr>
        <w:t xml:space="preserve"> number of key data inputs were updated for this work. Economic growth up to 2011 </w:t>
      </w:r>
      <w:r>
        <w:rPr>
          <w:lang w:val="en-US"/>
        </w:rPr>
        <w:t>were</w:t>
      </w:r>
      <w:r w:rsidR="000D65CF" w:rsidRPr="000D65CF">
        <w:rPr>
          <w:lang w:val="en-US"/>
        </w:rPr>
        <w:t xml:space="preserve"> based on UK government figures, including the recent recession </w:t>
      </w:r>
      <w:r w:rsidR="00880B2F" w:rsidRPr="000D65CF">
        <w:rPr>
          <w:lang w:val="en-US"/>
        </w:rPr>
        <w:fldChar w:fldCharType="begin"/>
      </w:r>
      <w:r w:rsidR="00C2662B">
        <w:rPr>
          <w:lang w:val="en-US"/>
        </w:rPr>
        <w:instrText xml:space="preserve"> ADDIN EN.CITE &lt;EndNote&gt;&lt;Cite&gt;&lt;Author&gt;HM Treasury&lt;/Author&gt;&lt;Year&gt;2010&lt;/Year&gt;&lt;RecNum&gt;827&lt;/RecNum&gt;&lt;DisplayText&gt;(HM Treasury, 2010)&lt;/DisplayText&gt;&lt;record&gt;&lt;rec-number&gt;827&lt;/rec-number&gt;&lt;foreign-keys&gt;&lt;key app="EN" db-id="a0wpest2552swgezzsnxxwsnpp9axwswpaww"&gt;827&lt;/key&gt;&lt;/foreign-keys&gt;&lt;ref-type name="Report"&gt;27&lt;/ref-type&gt;&lt;contributors&gt;&lt;authors&gt;&lt;author&gt;HM Treasury,&lt;/author&gt;&lt;/authors&gt;&lt;/contributors&gt;&lt;titles&gt;&lt;title&gt;Pocket Databank&lt;/title&gt;&lt;/titles&gt;&lt;dates&gt;&lt;year&gt;2010&lt;/year&gt;&lt;/dates&gt;&lt;pub-location&gt;London&lt;/pub-location&gt;&lt;publisher&gt;HM Treasury&lt;/publisher&gt;&lt;urls&gt;&lt;/urls&gt;&lt;/record&gt;&lt;/Cite&gt;&lt;/EndNote&gt;</w:instrText>
      </w:r>
      <w:r w:rsidR="00880B2F" w:rsidRPr="000D65CF">
        <w:rPr>
          <w:lang w:val="en-US"/>
        </w:rPr>
        <w:fldChar w:fldCharType="separate"/>
      </w:r>
      <w:r w:rsidR="00C2662B">
        <w:rPr>
          <w:noProof/>
          <w:lang w:val="en-US"/>
        </w:rPr>
        <w:t>(</w:t>
      </w:r>
      <w:hyperlink w:anchor="_ENREF_43" w:tooltip="HM Treasury, 2010 #827" w:history="1">
        <w:r w:rsidR="00D67197">
          <w:rPr>
            <w:noProof/>
            <w:lang w:val="en-US"/>
          </w:rPr>
          <w:t>HM Treasury, 2010</w:t>
        </w:r>
      </w:hyperlink>
      <w:r w:rsidR="00C2662B">
        <w:rPr>
          <w:noProof/>
          <w:lang w:val="en-US"/>
        </w:rPr>
        <w:t>)</w:t>
      </w:r>
      <w:r w:rsidR="00880B2F" w:rsidRPr="000D65CF">
        <w:rPr>
          <w:lang w:val="en-US"/>
        </w:rPr>
        <w:fldChar w:fldCharType="end"/>
      </w:r>
      <w:r w:rsidR="000D65CF" w:rsidRPr="000D65CF">
        <w:rPr>
          <w:lang w:val="en-US"/>
        </w:rPr>
        <w:t xml:space="preserve">. Future GDP growth </w:t>
      </w:r>
      <w:r>
        <w:rPr>
          <w:lang w:val="en-US"/>
        </w:rPr>
        <w:t>were</w:t>
      </w:r>
      <w:r w:rsidR="000D65CF" w:rsidRPr="000D65CF">
        <w:rPr>
          <w:lang w:val="en-US"/>
        </w:rPr>
        <w:t xml:space="preserve"> assumed to average 2.25% up to 2050 – in line with the historic 50-year average for the UK. Operating the UKTCM in </w:t>
      </w:r>
      <w:r>
        <w:rPr>
          <w:lang w:val="en-US"/>
        </w:rPr>
        <w:t>‘</w:t>
      </w:r>
      <w:r w:rsidR="000D65CF" w:rsidRPr="000D65CF">
        <w:rPr>
          <w:lang w:val="en-US"/>
        </w:rPr>
        <w:t>simulation mode</w:t>
      </w:r>
      <w:r>
        <w:rPr>
          <w:lang w:val="en-US"/>
        </w:rPr>
        <w:t>’</w:t>
      </w:r>
      <w:r w:rsidR="000D65CF" w:rsidRPr="000D65CF">
        <w:rPr>
          <w:lang w:val="en-US"/>
        </w:rPr>
        <w:t xml:space="preserve">, transport demand projections were </w:t>
      </w:r>
      <w:r w:rsidR="000D65CF" w:rsidRPr="000D65CF">
        <w:rPr>
          <w:i/>
          <w:lang w:val="en-US"/>
        </w:rPr>
        <w:t>exogenously</w:t>
      </w:r>
      <w:r w:rsidR="000D65CF" w:rsidRPr="000D65CF">
        <w:rPr>
          <w:lang w:val="en-US"/>
        </w:rPr>
        <w:t xml:space="preserve"> aligned to the most recent government projections. For road transport, this was based on the ‘central’ 2009 Road Transport Forecasts </w:t>
      </w:r>
      <w:r w:rsidR="00880B2F" w:rsidRPr="000D65CF">
        <w:rPr>
          <w:lang w:val="en-US"/>
        </w:rPr>
        <w:fldChar w:fldCharType="begin"/>
      </w:r>
      <w:r w:rsidR="00546ABC">
        <w:rPr>
          <w:lang w:val="en-US"/>
        </w:rPr>
        <w:instrText xml:space="preserve"> ADDIN EN.CITE &lt;EndNote&gt;&lt;Cite&gt;&lt;Author&gt;UK DfT&lt;/Author&gt;&lt;Year&gt;2010&lt;/Year&gt;&lt;RecNum&gt;828&lt;/RecNum&gt;&lt;DisplayText&gt;(UK DfT, 2010)&lt;/DisplayText&gt;&lt;record&gt;&lt;rec-number&gt;828&lt;/rec-number&gt;&lt;foreign-keys&gt;&lt;key app="EN" db-id="a0wpest2552swgezzsnxxwsnpp9axwswpaww"&gt;828&lt;/key&gt;&lt;/foreign-keys&gt;&lt;ref-type name="Report"&gt;27&lt;/ref-type&gt;&lt;contributors&gt;&lt;authors&gt;&lt;author&gt;UK DfT,&lt;/author&gt;&lt;/authors&gt;&lt;/contributors&gt;&lt;titles&gt;&lt;title&gt;Road Transport Forecasts 2009&lt;/title&gt;&lt;/titles&gt;&lt;dates&gt;&lt;year&gt;2010&lt;/year&gt;&lt;/dates&gt;&lt;pub-location&gt;London&lt;/pub-location&gt;&lt;publisher&gt;Department for Transport (DfT), The Stationary Office&lt;/publisher&gt;&lt;urls&gt;&lt;/urls&gt;&lt;/record&gt;&lt;/Cite&gt;&lt;/EndNote&gt;</w:instrText>
      </w:r>
      <w:r w:rsidR="00880B2F" w:rsidRPr="000D65CF">
        <w:rPr>
          <w:lang w:val="en-US"/>
        </w:rPr>
        <w:fldChar w:fldCharType="separate"/>
      </w:r>
      <w:r w:rsidR="00546ABC">
        <w:rPr>
          <w:noProof/>
          <w:lang w:val="en-US"/>
        </w:rPr>
        <w:t>(</w:t>
      </w:r>
      <w:hyperlink w:anchor="_ENREF_82" w:tooltip="UK DfT, 2010 #828" w:history="1">
        <w:r w:rsidR="00D67197">
          <w:rPr>
            <w:noProof/>
            <w:lang w:val="en-US"/>
          </w:rPr>
          <w:t>UK DfT, 2010</w:t>
        </w:r>
      </w:hyperlink>
      <w:r w:rsidR="00546ABC">
        <w:rPr>
          <w:noProof/>
          <w:lang w:val="en-US"/>
        </w:rPr>
        <w:t>)</w:t>
      </w:r>
      <w:r w:rsidR="00880B2F" w:rsidRPr="000D65CF">
        <w:rPr>
          <w:lang w:val="en-US"/>
        </w:rPr>
        <w:fldChar w:fldCharType="end"/>
      </w:r>
      <w:r w:rsidR="000D65CF" w:rsidRPr="000D65CF">
        <w:rPr>
          <w:lang w:val="en-US"/>
        </w:rPr>
        <w:t xml:space="preserve"> to 2035 and extrapolated to 2050. Reference energy resource price projections </w:t>
      </w:r>
      <w:r>
        <w:rPr>
          <w:lang w:val="en-US"/>
        </w:rPr>
        <w:t>were</w:t>
      </w:r>
      <w:r w:rsidR="000D65CF" w:rsidRPr="000D65CF">
        <w:rPr>
          <w:lang w:val="en-US"/>
        </w:rPr>
        <w:t xml:space="preserve"> updated to June 2010 UK Government forecasts </w:t>
      </w:r>
      <w:r w:rsidR="00880B2F" w:rsidRPr="000D65CF">
        <w:rPr>
          <w:lang w:val="en-US"/>
        </w:rPr>
        <w:fldChar w:fldCharType="begin"/>
      </w:r>
      <w:r w:rsidR="00C2662B">
        <w:rPr>
          <w:lang w:val="en-US"/>
        </w:rPr>
        <w:instrText xml:space="preserve"> ADDIN EN.CITE &lt;EndNote&gt;&lt;Cite&gt;&lt;Author&gt;UK DECC&lt;/Author&gt;&lt;Year&gt;2010&lt;/Year&gt;&lt;RecNum&gt;825&lt;/RecNum&gt;&lt;DisplayText&gt;(UK DECC, 2010a, b)&lt;/DisplayText&gt;&lt;record&gt;&lt;rec-number&gt;825&lt;/rec-number&gt;&lt;foreign-keys&gt;&lt;key app="EN" db-id="a0wpest2552swgezzsnxxwsnpp9axwswpaww"&gt;825&lt;/key&gt;&lt;/foreign-keys&gt;&lt;ref-type name="Report"&gt;27&lt;/ref-type&gt;&lt;contributors&gt;&lt;authors&gt;&lt;author&gt;UK DECC,&lt;/author&gt;&lt;/authors&gt;&lt;/contributors&gt;&lt;titles&gt;&lt;title&gt;Updated Energy and Emissions Projections, URN 10D/510, Annex D - Major Power Producers generation by source&lt;/title&gt;&lt;/titles&gt;&lt;dates&gt;&lt;year&gt;2010&lt;/year&gt;&lt;/dates&gt;&lt;pub-location&gt;London&lt;/pub-location&gt;&lt;publisher&gt;Department of Energy and Climate Change&lt;/publisher&gt;&lt;urls&gt;&lt;/urls&gt;&lt;/record&gt;&lt;/Cite&gt;&lt;Cite&gt;&lt;Author&gt;UK DECC&lt;/Author&gt;&lt;Year&gt;2010&lt;/Year&gt;&lt;RecNum&gt;826&lt;/RecNum&gt;&lt;record&gt;&lt;rec-number&gt;826&lt;/rec-number&gt;&lt;foreign-keys&gt;&lt;key app="EN" db-id="a0wpest2552swgezzsnxxwsnpp9axwswpaww"&gt;826&lt;/key&gt;&lt;/foreign-keys&gt;&lt;ref-type name="Report"&gt;27&lt;/ref-type&gt;&lt;contributors&gt;&lt;authors&gt;&lt;author&gt;UK DECC,&lt;/author&gt;&lt;/authors&gt;&lt;/contributors&gt;&lt;titles&gt;&lt;title&gt;Updated Energy and Emissions Projections, URN 10D/510, Annex F - Fossil fuel and retail price assumptions&lt;/title&gt;&lt;/titles&gt;&lt;dates&gt;&lt;year&gt;2010&lt;/year&gt;&lt;/dates&gt;&lt;pub-location&gt;London&lt;/pub-location&gt;&lt;publisher&gt;Department of Energy and Climate Change&lt;/publisher&gt;&lt;urls&gt;&lt;/urls&gt;&lt;/record&gt;&lt;/Cite&gt;&lt;/EndNote&gt;</w:instrText>
      </w:r>
      <w:r w:rsidR="00880B2F" w:rsidRPr="000D65CF">
        <w:rPr>
          <w:lang w:val="en-US"/>
        </w:rPr>
        <w:fldChar w:fldCharType="separate"/>
      </w:r>
      <w:r w:rsidR="00C2662B">
        <w:rPr>
          <w:noProof/>
          <w:lang w:val="en-US"/>
        </w:rPr>
        <w:t>(</w:t>
      </w:r>
      <w:hyperlink w:anchor="_ENREF_79" w:tooltip="UK DECC, 2010 #825" w:history="1">
        <w:r w:rsidR="00D67197">
          <w:rPr>
            <w:noProof/>
            <w:lang w:val="en-US"/>
          </w:rPr>
          <w:t>UK DECC, 2010a</w:t>
        </w:r>
      </w:hyperlink>
      <w:r w:rsidR="00C2662B">
        <w:rPr>
          <w:noProof/>
          <w:lang w:val="en-US"/>
        </w:rPr>
        <w:t xml:space="preserve">, </w:t>
      </w:r>
      <w:hyperlink w:anchor="_ENREF_80" w:tooltip="UK DECC, 2010 #826" w:history="1">
        <w:r w:rsidR="00D67197">
          <w:rPr>
            <w:noProof/>
            <w:lang w:val="en-US"/>
          </w:rPr>
          <w:t>b</w:t>
        </w:r>
      </w:hyperlink>
      <w:r w:rsidR="00C2662B">
        <w:rPr>
          <w:noProof/>
          <w:lang w:val="en-US"/>
        </w:rPr>
        <w:t>)</w:t>
      </w:r>
      <w:r w:rsidR="00880B2F" w:rsidRPr="000D65CF">
        <w:rPr>
          <w:lang w:val="en-US"/>
        </w:rPr>
        <w:fldChar w:fldCharType="end"/>
      </w:r>
      <w:r w:rsidR="000D65CF" w:rsidRPr="000D65CF">
        <w:rPr>
          <w:lang w:val="en-US"/>
        </w:rPr>
        <w:t xml:space="preserve">, with the ‘central prices’ forecast projecting the real term oil price to average USD72 per barrel in 2010, then rising gradually to USD82 per barrel in 2020 and increasing further to USD92 per barrel in 2030. </w:t>
      </w:r>
      <w:r w:rsidR="000D65CF" w:rsidRPr="000D65CF">
        <w:rPr>
          <w:lang w:val="en-US"/>
        </w:rPr>
        <w:lastRenderedPageBreak/>
        <w:t>Our reference scenario then extrapolate</w:t>
      </w:r>
      <w:r w:rsidR="008159CB">
        <w:rPr>
          <w:lang w:val="en-US"/>
        </w:rPr>
        <w:t>d</w:t>
      </w:r>
      <w:r w:rsidR="000D65CF" w:rsidRPr="000D65CF">
        <w:rPr>
          <w:lang w:val="en-US"/>
        </w:rPr>
        <w:t xml:space="preserve"> to 2050 where crude oil </w:t>
      </w:r>
      <w:r w:rsidR="008159CB">
        <w:rPr>
          <w:lang w:val="en-US"/>
        </w:rPr>
        <w:t>was</w:t>
      </w:r>
      <w:r w:rsidR="000D65CF" w:rsidRPr="000D65CF">
        <w:rPr>
          <w:lang w:val="en-US"/>
        </w:rPr>
        <w:t xml:space="preserve"> forecast to cost USD113 per barrel.</w:t>
      </w:r>
      <w:r w:rsidR="00426386">
        <w:rPr>
          <w:rStyle w:val="FootnoteReference"/>
          <w:lang w:val="en-US"/>
        </w:rPr>
        <w:footnoteReference w:id="9"/>
      </w:r>
      <w:r w:rsidR="000D65CF" w:rsidRPr="000D65CF">
        <w:rPr>
          <w:lang w:val="en-US"/>
        </w:rPr>
        <w:t xml:space="preserve"> Electricity prices for private consumers </w:t>
      </w:r>
      <w:r w:rsidR="008159CB">
        <w:rPr>
          <w:lang w:val="en-US"/>
        </w:rPr>
        <w:t>were</w:t>
      </w:r>
      <w:r w:rsidR="000D65CF" w:rsidRPr="000D65CF">
        <w:rPr>
          <w:lang w:val="en-US"/>
        </w:rPr>
        <w:t xml:space="preserve"> supply costs at the meter and include</w:t>
      </w:r>
      <w:r w:rsidR="008159CB">
        <w:rPr>
          <w:lang w:val="en-US"/>
        </w:rPr>
        <w:t>d</w:t>
      </w:r>
      <w:r w:rsidR="000D65CF" w:rsidRPr="000D65CF">
        <w:rPr>
          <w:lang w:val="en-US"/>
        </w:rPr>
        <w:t xml:space="preserve"> resource costs </w:t>
      </w:r>
      <w:r w:rsidR="00880B2F" w:rsidRPr="000D65CF">
        <w:rPr>
          <w:lang w:val="en-US"/>
        </w:rPr>
        <w:fldChar w:fldCharType="begin"/>
      </w:r>
      <w:r w:rsidR="00C2662B">
        <w:rPr>
          <w:lang w:val="en-US"/>
        </w:rPr>
        <w:instrText xml:space="preserve"> ADDIN EN.CITE &lt;EndNote&gt;&lt;Cite&gt;&lt;Author&gt;UK DECC&lt;/Author&gt;&lt;Year&gt;2010&lt;/Year&gt;&lt;RecNum&gt;825&lt;/RecNum&gt;&lt;Prefix&gt;as projected in &lt;/Prefix&gt;&lt;DisplayText&gt;(as projected in UK DECC, 2010a, b)&lt;/DisplayText&gt;&lt;record&gt;&lt;rec-number&gt;825&lt;/rec-number&gt;&lt;foreign-keys&gt;&lt;key app="EN" db-id="a0wpest2552swgezzsnxxwsnpp9axwswpaww"&gt;825&lt;/key&gt;&lt;/foreign-keys&gt;&lt;ref-type name="Report"&gt;27&lt;/ref-type&gt;&lt;contributors&gt;&lt;authors&gt;&lt;author&gt;UK DECC,&lt;/author&gt;&lt;/authors&gt;&lt;/contributors&gt;&lt;titles&gt;&lt;title&gt;Updated Energy and Emissions Projections, URN 10D/510, Annex D - Major Power Producers generation by source&lt;/title&gt;&lt;/titles&gt;&lt;dates&gt;&lt;year&gt;2010&lt;/year&gt;&lt;/dates&gt;&lt;pub-location&gt;London&lt;/pub-location&gt;&lt;publisher&gt;Department of Energy and Climate Change&lt;/publisher&gt;&lt;urls&gt;&lt;/urls&gt;&lt;/record&gt;&lt;/Cite&gt;&lt;Cite&gt;&lt;Author&gt;UK DECC&lt;/Author&gt;&lt;Year&gt;2010&lt;/Year&gt;&lt;RecNum&gt;826&lt;/RecNum&gt;&lt;record&gt;&lt;rec-number&gt;826&lt;/rec-number&gt;&lt;foreign-keys&gt;&lt;key app="EN" db-id="a0wpest2552swgezzsnxxwsnpp9axwswpaww"&gt;826&lt;/key&gt;&lt;/foreign-keys&gt;&lt;ref-type name="Report"&gt;27&lt;/ref-type&gt;&lt;contributors&gt;&lt;authors&gt;&lt;author&gt;UK DECC,&lt;/author&gt;&lt;/authors&gt;&lt;/contributors&gt;&lt;titles&gt;&lt;title&gt;Updated Energy and Emissions Projections, URN 10D/510, Annex F - Fossil fuel and retail price assumptions&lt;/title&gt;&lt;/titles&gt;&lt;dates&gt;&lt;year&gt;2010&lt;/year&gt;&lt;/dates&gt;&lt;pub-location&gt;London&lt;/pub-location&gt;&lt;publisher&gt;Department of Energy and Climate Change&lt;/publisher&gt;&lt;urls&gt;&lt;/urls&gt;&lt;/record&gt;&lt;/Cite&gt;&lt;/EndNote&gt;</w:instrText>
      </w:r>
      <w:r w:rsidR="00880B2F" w:rsidRPr="000D65CF">
        <w:rPr>
          <w:lang w:val="en-US"/>
        </w:rPr>
        <w:fldChar w:fldCharType="separate"/>
      </w:r>
      <w:r w:rsidR="00C2662B">
        <w:rPr>
          <w:noProof/>
          <w:lang w:val="en-US"/>
        </w:rPr>
        <w:t xml:space="preserve">(as projected in </w:t>
      </w:r>
      <w:hyperlink w:anchor="_ENREF_79" w:tooltip="UK DECC, 2010 #825" w:history="1">
        <w:r w:rsidR="00D67197">
          <w:rPr>
            <w:noProof/>
            <w:lang w:val="en-US"/>
          </w:rPr>
          <w:t>UK DECC, 2010a</w:t>
        </w:r>
      </w:hyperlink>
      <w:r w:rsidR="00C2662B">
        <w:rPr>
          <w:noProof/>
          <w:lang w:val="en-US"/>
        </w:rPr>
        <w:t xml:space="preserve">, </w:t>
      </w:r>
      <w:hyperlink w:anchor="_ENREF_80" w:tooltip="UK DECC, 2010 #826" w:history="1">
        <w:r w:rsidR="00D67197">
          <w:rPr>
            <w:noProof/>
            <w:lang w:val="en-US"/>
          </w:rPr>
          <w:t>b</w:t>
        </w:r>
      </w:hyperlink>
      <w:r w:rsidR="00C2662B">
        <w:rPr>
          <w:noProof/>
          <w:lang w:val="en-US"/>
        </w:rPr>
        <w:t>)</w:t>
      </w:r>
      <w:r w:rsidR="00880B2F" w:rsidRPr="000D65CF">
        <w:rPr>
          <w:lang w:val="en-US"/>
        </w:rPr>
        <w:fldChar w:fldCharType="end"/>
      </w:r>
      <w:r w:rsidR="000D65CF" w:rsidRPr="000D65CF">
        <w:rPr>
          <w:lang w:val="en-US"/>
        </w:rPr>
        <w:t xml:space="preserve">, duty (currently zero and projected to stay zero for the Reference case) and value added tax (VAT, currently 20%). Vehicle excise and other fuel duties of all vehicle types </w:t>
      </w:r>
      <w:r w:rsidR="008159CB">
        <w:rPr>
          <w:lang w:val="en-US"/>
        </w:rPr>
        <w:t>were</w:t>
      </w:r>
      <w:r w:rsidR="000D65CF" w:rsidRPr="000D65CF">
        <w:rPr>
          <w:lang w:val="en-US"/>
        </w:rPr>
        <w:t xml:space="preserve"> assumed to remain constant at pre-April 2010 levels. </w:t>
      </w:r>
      <w:r w:rsidR="009165CA">
        <w:rPr>
          <w:lang w:val="en-US"/>
        </w:rPr>
        <w:t xml:space="preserve">Following an approach commonly used in technology futures and modeling studies </w:t>
      </w:r>
      <w:r w:rsidR="009165CA">
        <w:rPr>
          <w:lang w:val="en-US"/>
        </w:rPr>
        <w:fldChar w:fldCharType="begin">
          <w:fldData xml:space="preserve">PEVuZE5vdGU+PENpdGU+PEF1dGhvcj5TdHJhY2hhbjwvQXV0aG9yPjxZZWFyPjIwMDg8L1llYXI+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</w:fldData>
        </w:fldChar>
      </w:r>
      <w:r w:rsidR="009165CA">
        <w:rPr>
          <w:lang w:val="en-US"/>
        </w:rPr>
        <w:instrText xml:space="preserve"> ADDIN EN.CITE </w:instrText>
      </w:r>
      <w:r w:rsidR="009165CA">
        <w:rPr>
          <w:lang w:val="en-US"/>
        </w:rPr>
        <w:fldChar w:fldCharType="begin">
          <w:fldData xml:space="preserve">PEVuZE5vdGU+PENpdGU+PEF1dGhvcj5TdHJhY2hhbjwvQXV0aG9yPjxZZWFyPjIwMDg8L1llYXI+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</w:fldData>
        </w:fldChar>
      </w:r>
      <w:r w:rsidR="009165CA">
        <w:rPr>
          <w:lang w:val="en-US"/>
        </w:rPr>
        <w:instrText xml:space="preserve"> ADDIN EN.CITE.DATA </w:instrText>
      </w:r>
      <w:r w:rsidR="009165CA">
        <w:rPr>
          <w:lang w:val="en-US"/>
        </w:rPr>
      </w:r>
      <w:r w:rsidR="009165CA">
        <w:rPr>
          <w:lang w:val="en-US"/>
        </w:rPr>
        <w:fldChar w:fldCharType="end"/>
      </w:r>
      <w:r w:rsidR="009165CA">
        <w:rPr>
          <w:lang w:val="en-US"/>
        </w:rPr>
      </w:r>
      <w:r w:rsidR="009165CA">
        <w:rPr>
          <w:lang w:val="en-US"/>
        </w:rPr>
        <w:fldChar w:fldCharType="separate"/>
      </w:r>
      <w:r w:rsidR="009165CA">
        <w:rPr>
          <w:noProof/>
          <w:lang w:val="en-US"/>
        </w:rPr>
        <w:t>(</w:t>
      </w:r>
      <w:hyperlink w:anchor="_ENREF_27" w:tooltip="European Commission, 2005 #815" w:history="1">
        <w:r w:rsidR="00D67197">
          <w:rPr>
            <w:noProof/>
            <w:lang w:val="en-US"/>
          </w:rPr>
          <w:t>European Commission, 2005</w:t>
        </w:r>
      </w:hyperlink>
      <w:r w:rsidR="009165CA">
        <w:rPr>
          <w:noProof/>
          <w:lang w:val="en-US"/>
        </w:rPr>
        <w:t xml:space="preserve">; </w:t>
      </w:r>
      <w:hyperlink w:anchor="_ENREF_30" w:tooltip="Fulton, 2009 #719" w:history="1">
        <w:r w:rsidR="00D67197">
          <w:rPr>
            <w:noProof/>
            <w:lang w:val="en-US"/>
          </w:rPr>
          <w:t>Fulton et al., 2009</w:t>
        </w:r>
      </w:hyperlink>
      <w:r w:rsidR="009165CA">
        <w:rPr>
          <w:noProof/>
          <w:lang w:val="en-US"/>
        </w:rPr>
        <w:t xml:space="preserve">; </w:t>
      </w:r>
      <w:hyperlink w:anchor="_ENREF_73" w:tooltip="Strachan, 2008 #805" w:history="1">
        <w:r w:rsidR="00D67197">
          <w:rPr>
            <w:noProof/>
            <w:lang w:val="en-US"/>
          </w:rPr>
          <w:t>Strachan and Kannan, 2008</w:t>
        </w:r>
      </w:hyperlink>
      <w:r w:rsidR="009165CA">
        <w:rPr>
          <w:noProof/>
          <w:lang w:val="en-US"/>
        </w:rPr>
        <w:t xml:space="preserve">; </w:t>
      </w:r>
      <w:hyperlink w:anchor="_ENREF_74" w:tooltip="Strachan, 2008 #810" w:history="1">
        <w:r w:rsidR="00D67197">
          <w:rPr>
            <w:noProof/>
            <w:lang w:val="en-US"/>
          </w:rPr>
          <w:t>Strachan et al., 2008</w:t>
        </w:r>
      </w:hyperlink>
      <w:r w:rsidR="009165CA">
        <w:rPr>
          <w:noProof/>
          <w:lang w:val="en-US"/>
        </w:rPr>
        <w:t xml:space="preserve">; </w:t>
      </w:r>
      <w:hyperlink w:anchor="_ENREF_83" w:tooltip="UK Energy Research Centre, 2009 #665" w:history="1">
        <w:r w:rsidR="00D67197">
          <w:rPr>
            <w:noProof/>
            <w:lang w:val="en-US"/>
          </w:rPr>
          <w:t>UK Energy Research Centre, 2009</w:t>
        </w:r>
      </w:hyperlink>
      <w:r w:rsidR="009165CA">
        <w:rPr>
          <w:noProof/>
          <w:lang w:val="en-US"/>
        </w:rPr>
        <w:t xml:space="preserve">; </w:t>
      </w:r>
      <w:hyperlink w:anchor="_ENREF_86" w:tooltip="WEC, 2007 #750" w:history="1">
        <w:r w:rsidR="00D67197">
          <w:rPr>
            <w:noProof/>
            <w:lang w:val="en-US"/>
          </w:rPr>
          <w:t>WEC, 2007</w:t>
        </w:r>
      </w:hyperlink>
      <w:r w:rsidR="009165CA">
        <w:rPr>
          <w:noProof/>
          <w:lang w:val="en-US"/>
        </w:rPr>
        <w:t>)</w:t>
      </w:r>
      <w:r w:rsidR="009165CA">
        <w:rPr>
          <w:lang w:val="en-US"/>
        </w:rPr>
        <w:fldChar w:fldCharType="end"/>
      </w:r>
      <w:r w:rsidR="009165CA">
        <w:rPr>
          <w:lang w:val="en-US"/>
        </w:rPr>
        <w:t xml:space="preserve">, </w:t>
      </w:r>
      <w:r w:rsidR="000D65CF" w:rsidRPr="000D65CF">
        <w:rPr>
          <w:lang w:val="en-US"/>
        </w:rPr>
        <w:t>pre-tax vehicle purchase costs were kept constant over time for established technologies</w:t>
      </w:r>
      <w:r w:rsidR="009165CA">
        <w:rPr>
          <w:lang w:val="en-US"/>
        </w:rPr>
        <w:t xml:space="preserve"> and </w:t>
      </w:r>
      <w:r w:rsidR="000D65CF" w:rsidRPr="000D65CF">
        <w:rPr>
          <w:lang w:val="en-US"/>
        </w:rPr>
        <w:t>gradually decrease</w:t>
      </w:r>
      <w:r w:rsidR="008159CB">
        <w:rPr>
          <w:lang w:val="en-US"/>
        </w:rPr>
        <w:t>d</w:t>
      </w:r>
      <w:r w:rsidR="000D65CF" w:rsidRPr="000D65CF">
        <w:rPr>
          <w:lang w:val="en-US"/>
        </w:rPr>
        <w:t xml:space="preserve"> for advanced and future technologies, thus </w:t>
      </w:r>
      <w:r w:rsidR="000D65CF" w:rsidRPr="000D65CF">
        <w:rPr>
          <w:i/>
          <w:lang w:val="en-US"/>
        </w:rPr>
        <w:t>exogenously</w:t>
      </w:r>
      <w:r w:rsidR="000D65CF" w:rsidRPr="000D65CF">
        <w:rPr>
          <w:lang w:val="en-US"/>
        </w:rPr>
        <w:t xml:space="preserve"> simulating improvements in production costs</w:t>
      </w:r>
      <w:r w:rsidR="00B92362">
        <w:rPr>
          <w:lang w:val="en-US"/>
        </w:rPr>
        <w:t>, economies of scale and market push by manufacturers</w:t>
      </w:r>
      <w:r w:rsidR="000D65CF" w:rsidRPr="000D65CF">
        <w:rPr>
          <w:lang w:val="en-US"/>
        </w:rPr>
        <w:t>.</w:t>
      </w:r>
      <w:r w:rsidR="00B92362">
        <w:rPr>
          <w:rStyle w:val="FootnoteReference"/>
          <w:lang w:val="en-US"/>
        </w:rPr>
        <w:footnoteReference w:id="10"/>
      </w:r>
      <w:r w:rsidR="000D65CF" w:rsidRPr="000D65CF">
        <w:rPr>
          <w:lang w:val="en-US"/>
        </w:rPr>
        <w:t xml:space="preserve"> For example, average purchase price for BEV cars </w:t>
      </w:r>
      <w:r w:rsidR="008159CB">
        <w:rPr>
          <w:lang w:val="en-US"/>
        </w:rPr>
        <w:t>were assumed to decrease</w:t>
      </w:r>
      <w:r w:rsidR="000D65CF" w:rsidRPr="000D65CF">
        <w:rPr>
          <w:lang w:val="en-US"/>
        </w:rPr>
        <w:t xml:space="preserve"> 2% pa from 1996 to 2020, then 1% until 2050. The Reference scenario further assume</w:t>
      </w:r>
      <w:r w:rsidR="008159CB">
        <w:rPr>
          <w:lang w:val="en-US"/>
        </w:rPr>
        <w:t>d</w:t>
      </w:r>
      <w:r w:rsidR="000D65CF" w:rsidRPr="000D65CF">
        <w:rPr>
          <w:lang w:val="en-US"/>
        </w:rPr>
        <w:t xml:space="preserve"> gradual improvements in specific fuel consumption and tailpipe CO</w:t>
      </w:r>
      <w:r w:rsidR="000D65CF" w:rsidRPr="000D65CF">
        <w:rPr>
          <w:vertAlign w:val="subscript"/>
          <w:lang w:val="en-US"/>
        </w:rPr>
        <w:t>2</w:t>
      </w:r>
      <w:r w:rsidR="000D65CF" w:rsidRPr="000D65CF">
        <w:rPr>
          <w:lang w:val="en-US"/>
        </w:rPr>
        <w:t xml:space="preserve"> emissions per distance travelled. The rate</w:t>
      </w:r>
      <w:r w:rsidR="008159CB">
        <w:rPr>
          <w:lang w:val="en-US"/>
        </w:rPr>
        <w:t>s of improvement varied</w:t>
      </w:r>
      <w:r w:rsidR="000D65CF" w:rsidRPr="000D65CF">
        <w:rPr>
          <w:lang w:val="en-US"/>
        </w:rPr>
        <w:t xml:space="preserve"> by vehicle type, size and propulsion technology and, for future years, </w:t>
      </w:r>
      <w:r w:rsidR="008159CB">
        <w:rPr>
          <w:lang w:val="en-US"/>
        </w:rPr>
        <w:t>were</w:t>
      </w:r>
      <w:r w:rsidR="000D65CF" w:rsidRPr="000D65CF">
        <w:rPr>
          <w:lang w:val="en-US"/>
        </w:rPr>
        <w:t xml:space="preserve"> based on technological innovation driven entirely by market competition, not on</w:t>
      </w:r>
      <w:r w:rsidR="008159CB">
        <w:rPr>
          <w:lang w:val="en-US"/>
        </w:rPr>
        <w:t xml:space="preserve"> policy or regulatory push.</w:t>
      </w:r>
      <w:r w:rsidR="000D65CF" w:rsidRPr="000D65CF">
        <w:rPr>
          <w:rStyle w:val="FootnoteReference"/>
          <w:lang w:val="en-US"/>
        </w:rPr>
        <w:footnoteReference w:id="11"/>
      </w:r>
      <w:r w:rsidR="000D65CF" w:rsidRPr="000D65CF">
        <w:rPr>
          <w:lang w:val="en-US"/>
        </w:rPr>
        <w:t xml:space="preserve"> For example, while the fuel consumption improvement rates for new conventional and hybrid electric (HEV) cars are assumed to be around 0.5% p.a. – a lower rate than the average rate of 1.3% p.a. observed for new cars between 2000 and 2007 </w:t>
      </w:r>
      <w:r w:rsidR="00880B2F" w:rsidRPr="000D65CF">
        <w:rPr>
          <w:lang w:val="en-US"/>
        </w:rPr>
        <w:fldChar w:fldCharType="begin"/>
      </w:r>
      <w:r w:rsidR="00C2662B">
        <w:rPr>
          <w:lang w:val="en-US"/>
        </w:rPr>
        <w:instrText xml:space="preserve"> ADDIN EN.CITE &lt;EndNote&gt;&lt;Cite&gt;&lt;Author&gt;SMMT&lt;/Author&gt;&lt;Year&gt;2008&lt;/Year&gt;&lt;RecNum&gt;725&lt;/RecNum&gt;&lt;DisplayText&gt;(SMMT, 2008)&lt;/DisplayText&gt;&lt;record&gt;&lt;rec-number&gt;725&lt;/rec-number&gt;&lt;foreign-keys&gt;&lt;key app="EN" db-id="a0wpest2552swgezzsnxxwsnpp9axwswpaww"&gt;725&lt;/key&gt;&lt;/foreign-keys&gt;&lt;ref-type name="Report"&gt;27&lt;/ref-type&gt;&lt;contributors&gt;&lt;authors&gt;&lt;author&gt;SMMT&lt;/author&gt;&lt;/authors&gt;&lt;/contributors&gt;&lt;titles&gt;&lt;title&gt;New car CO2 report 2008: driving down emissions&lt;/title&gt;&lt;/titles&gt;&lt;dates&gt;&lt;year&gt;2008&lt;/year&gt;&lt;/dates&gt;&lt;pub-location&gt;London&lt;/pub-location&gt;&lt;publisher&gt;The Society of Motor Manufacturers and Traders (SMMT)&lt;/publisher&gt;&lt;urls&gt;&lt;/urls&gt;&lt;/record&gt;&lt;/Cite&gt;&lt;/EndNote&gt;</w:instrText>
      </w:r>
      <w:r w:rsidR="00880B2F" w:rsidRPr="000D65CF">
        <w:rPr>
          <w:lang w:val="en-US"/>
        </w:rPr>
        <w:fldChar w:fldCharType="separate"/>
      </w:r>
      <w:r w:rsidR="00C2662B">
        <w:rPr>
          <w:noProof/>
          <w:lang w:val="en-US"/>
        </w:rPr>
        <w:t>(</w:t>
      </w:r>
      <w:hyperlink w:anchor="_ENREF_68" w:tooltip="SMMT, 2008 #725" w:history="1">
        <w:r w:rsidR="00D67197">
          <w:rPr>
            <w:noProof/>
            <w:lang w:val="en-US"/>
          </w:rPr>
          <w:t>SMMT, 2008</w:t>
        </w:r>
      </w:hyperlink>
      <w:r w:rsidR="00C2662B">
        <w:rPr>
          <w:noProof/>
          <w:lang w:val="en-US"/>
        </w:rPr>
        <w:t>)</w:t>
      </w:r>
      <w:r w:rsidR="00880B2F" w:rsidRPr="000D65CF">
        <w:rPr>
          <w:lang w:val="en-US"/>
        </w:rPr>
        <w:fldChar w:fldCharType="end"/>
      </w:r>
      <w:r w:rsidR="000D65CF" w:rsidRPr="000D65CF">
        <w:rPr>
          <w:lang w:val="en-US"/>
        </w:rPr>
        <w:t xml:space="preserve"> – the rates are higher for BEV, PHEV and FCV (2% pa until 2020, then 1% until 2035, then 0.5% until 2050). </w:t>
      </w:r>
      <w:r w:rsidR="0032616E">
        <w:rPr>
          <w:lang w:val="en-US"/>
        </w:rPr>
        <w:t>T</w:t>
      </w:r>
      <w:r w:rsidR="000D65CF" w:rsidRPr="000D65CF">
        <w:rPr>
          <w:lang w:val="en-US"/>
        </w:rPr>
        <w:t xml:space="preserve">he preference and performance attributes used in the vehicle technology choice model </w:t>
      </w:r>
      <w:r w:rsidR="00880B2F" w:rsidRPr="000D65CF">
        <w:rPr>
          <w:lang w:val="en-US"/>
        </w:rPr>
        <w:fldChar w:fldCharType="begin"/>
      </w:r>
      <w:r w:rsidR="00C2662B">
        <w:rPr>
          <w:lang w:val="en-US"/>
        </w:rPr>
        <w:instrText xml:space="preserve"> ADDIN EN.CITE &lt;EndNote&gt;&lt;Cite&gt;&lt;Author&gt;Brand&lt;/Author&gt;&lt;Year&gt;2010&lt;/Year&gt;&lt;RecNum&gt;752&lt;/RecNum&gt;&lt;Prefix&gt;see &lt;/Prefix&gt;&lt;Suffix&gt; for details&lt;/Suffix&gt;&lt;DisplayText&gt;(see Brand, 2010a for details)&lt;/DisplayText&gt;&lt;record&gt;&lt;rec-number&gt;752&lt;/rec-number&gt;&lt;foreign-keys&gt;&lt;key app="EN" db-id="a0wpest2552swgezzsnxxwsnpp9axwswpaww"&gt;752&lt;/key&gt;&lt;/foreign-keys&gt;&lt;ref-type name="Report"&gt;27&lt;/ref-type&gt;&lt;contributors&gt;&lt;authors&gt;&lt;author&gt;Brand, C.&lt;/author&gt;&lt;/authors&gt;&lt;/contributors&gt;&lt;titles&gt;&lt;title&gt;UK Transport Carbon Model: Reference Guide v1.0&lt;/title&gt;&lt;/titles&gt;&lt;dates&gt;&lt;year&gt;2010&lt;/year&gt;&lt;/dates&gt;&lt;pub-location&gt;Oxford&lt;/pub-location&gt;&lt;publisher&gt;UK Energy Research Centre, Energy Demand Theme&lt;/publisher&gt;&lt;urls&gt;&lt;/urls&gt;&lt;/record&gt;&lt;/Cite&gt;&lt;/EndNote&gt;</w:instrText>
      </w:r>
      <w:r w:rsidR="00880B2F" w:rsidRPr="000D65CF">
        <w:rPr>
          <w:lang w:val="en-US"/>
        </w:rPr>
        <w:fldChar w:fldCharType="separate"/>
      </w:r>
      <w:r w:rsidR="00C2662B">
        <w:rPr>
          <w:noProof/>
          <w:lang w:val="en-US"/>
        </w:rPr>
        <w:t>(</w:t>
      </w:r>
      <w:hyperlink w:anchor="_ENREF_9" w:tooltip="Brand, 2010 #752" w:history="1">
        <w:r w:rsidR="00D67197">
          <w:rPr>
            <w:noProof/>
            <w:lang w:val="en-US"/>
          </w:rPr>
          <w:t>see Brand, 2010a for details</w:t>
        </w:r>
      </w:hyperlink>
      <w:r w:rsidR="00C2662B">
        <w:rPr>
          <w:noProof/>
          <w:lang w:val="en-US"/>
        </w:rPr>
        <w:t>)</w:t>
      </w:r>
      <w:r w:rsidR="00880B2F" w:rsidRPr="000D65CF">
        <w:rPr>
          <w:lang w:val="en-US"/>
        </w:rPr>
        <w:fldChar w:fldCharType="end"/>
      </w:r>
      <w:r w:rsidR="000D65CF" w:rsidRPr="000D65CF">
        <w:rPr>
          <w:lang w:val="en-US"/>
        </w:rPr>
        <w:t xml:space="preserve"> were kept at relatively low values that gradually increase, simulating (a) limited deployment of the charging infrastructure (e.g. only in future ‘low carbon cities’), (b) relatively limited market availability of (PH)EV cars and (c) consumer preference for ‘conventional’ over ‘new/unknown’ technology.</w:t>
      </w:r>
      <w:r w:rsidR="0032616E">
        <w:rPr>
          <w:lang w:val="en-US"/>
        </w:rPr>
        <w:t xml:space="preserve"> Finally, it was assumed that t</w:t>
      </w:r>
      <w:r w:rsidR="000D65CF" w:rsidRPr="000D65CF">
        <w:rPr>
          <w:lang w:val="en-US"/>
        </w:rPr>
        <w:t xml:space="preserve">he carbon content of </w:t>
      </w:r>
      <w:r w:rsidR="0032616E">
        <w:rPr>
          <w:lang w:val="en-US"/>
        </w:rPr>
        <w:t>(</w:t>
      </w:r>
      <w:r w:rsidR="000D65CF" w:rsidRPr="000D65CF">
        <w:rPr>
          <w:lang w:val="en-US"/>
        </w:rPr>
        <w:t>road transport</w:t>
      </w:r>
      <w:r w:rsidR="0032616E">
        <w:rPr>
          <w:lang w:val="en-US"/>
        </w:rPr>
        <w:t>)</w:t>
      </w:r>
      <w:r w:rsidR="000D65CF" w:rsidRPr="000D65CF">
        <w:rPr>
          <w:lang w:val="en-US"/>
        </w:rPr>
        <w:t xml:space="preserve"> electricity does not vary between scenarios and is still around 400gCO</w:t>
      </w:r>
      <w:r w:rsidR="000D65CF" w:rsidRPr="0032616E">
        <w:rPr>
          <w:vertAlign w:val="subscript"/>
          <w:lang w:val="en-US"/>
        </w:rPr>
        <w:t>2</w:t>
      </w:r>
      <w:r w:rsidR="000D65CF" w:rsidRPr="000D65CF">
        <w:rPr>
          <w:lang w:val="en-US"/>
        </w:rPr>
        <w:t xml:space="preserve">/kWh </w:t>
      </w:r>
      <w:r w:rsidR="007554F4">
        <w:rPr>
          <w:lang w:val="en-US"/>
        </w:rPr>
        <w:t>in</w:t>
      </w:r>
      <w:r w:rsidR="0032616E">
        <w:rPr>
          <w:lang w:val="en-US"/>
        </w:rPr>
        <w:t xml:space="preserve"> </w:t>
      </w:r>
      <w:r w:rsidR="000D65CF" w:rsidRPr="000D65CF">
        <w:rPr>
          <w:lang w:val="en-US"/>
        </w:rPr>
        <w:t>2030</w:t>
      </w:r>
      <w:r w:rsidR="007554F4">
        <w:rPr>
          <w:lang w:val="en-US"/>
        </w:rPr>
        <w:t xml:space="preserve"> </w:t>
      </w:r>
      <w:r w:rsidR="007554F4" w:rsidRPr="000D65CF">
        <w:rPr>
          <w:lang w:val="en-US"/>
        </w:rPr>
        <w:t>(as per Government projections)</w:t>
      </w:r>
      <w:r w:rsidR="007554F4">
        <w:rPr>
          <w:lang w:val="en-US"/>
        </w:rPr>
        <w:t xml:space="preserve"> and out to 2050</w:t>
      </w:r>
      <w:r w:rsidR="000D65CF" w:rsidRPr="000D65CF">
        <w:rPr>
          <w:lang w:val="en-US"/>
        </w:rPr>
        <w:t>.</w:t>
      </w:r>
    </w:p>
    <w:p w14:paraId="2709BA98" w14:textId="77777777" w:rsidR="00864653" w:rsidRPr="00C64BF5" w:rsidRDefault="00864653" w:rsidP="00A018D1">
      <w:pPr>
        <w:rPr>
          <w:lang w:val="en-US"/>
        </w:rPr>
      </w:pPr>
    </w:p>
    <w:p w14:paraId="3B4826C5" w14:textId="77777777" w:rsidR="008A36A2" w:rsidRPr="00C64BF5" w:rsidRDefault="000D65CF" w:rsidP="00697B23">
      <w:pPr>
        <w:pStyle w:val="Heading3"/>
        <w:rPr>
          <w:lang w:val="en-US"/>
        </w:rPr>
      </w:pPr>
      <w:r w:rsidRPr="000D65CF">
        <w:rPr>
          <w:lang w:val="en-US"/>
        </w:rPr>
        <w:t>3.</w:t>
      </w:r>
      <w:r w:rsidR="00BD152D">
        <w:rPr>
          <w:lang w:val="en-US"/>
        </w:rPr>
        <w:t>2</w:t>
      </w:r>
      <w:r w:rsidRPr="000D65CF">
        <w:rPr>
          <w:lang w:val="en-US"/>
        </w:rPr>
        <w:t xml:space="preserve">.3 Car purchase tax / </w:t>
      </w:r>
      <w:proofErr w:type="spellStart"/>
      <w:r w:rsidRPr="000D65CF">
        <w:rPr>
          <w:lang w:val="en-US"/>
        </w:rPr>
        <w:t>feebate</w:t>
      </w:r>
      <w:proofErr w:type="spellEnd"/>
      <w:r w:rsidRPr="000D65CF">
        <w:rPr>
          <w:lang w:val="en-US"/>
        </w:rPr>
        <w:t xml:space="preserve"> </w:t>
      </w:r>
    </w:p>
    <w:p w14:paraId="5A042D54" w14:textId="45C93222" w:rsidR="008A36A2" w:rsidRPr="00C64BF5" w:rsidRDefault="000D65CF" w:rsidP="00A018D1">
      <w:pPr>
        <w:rPr>
          <w:lang w:val="en-US"/>
        </w:rPr>
      </w:pPr>
      <w:r w:rsidRPr="000D65CF">
        <w:rPr>
          <w:lang w:val="en-US"/>
        </w:rPr>
        <w:t>Three alternative car purchase tax/</w:t>
      </w:r>
      <w:proofErr w:type="spellStart"/>
      <w:r w:rsidRPr="000D65CF">
        <w:rPr>
          <w:lang w:val="en-US"/>
        </w:rPr>
        <w:t>feebate</w:t>
      </w:r>
      <w:proofErr w:type="spellEnd"/>
      <w:r w:rsidRPr="000D65CF">
        <w:rPr>
          <w:lang w:val="en-US"/>
        </w:rPr>
        <w:t xml:space="preserve"> scenarios were </w:t>
      </w:r>
      <w:r w:rsidR="008159CB" w:rsidRPr="000D65CF">
        <w:rPr>
          <w:lang w:val="en-US"/>
        </w:rPr>
        <w:t>modeled</w:t>
      </w:r>
      <w:r w:rsidRPr="000D65CF">
        <w:rPr>
          <w:lang w:val="en-US"/>
        </w:rPr>
        <w:t>. First, ‘low’ policy ambition was simulated in a car purchase tax with simple grading by CO</w:t>
      </w:r>
      <w:r w:rsidRPr="000D65CF">
        <w:rPr>
          <w:vertAlign w:val="subscript"/>
          <w:lang w:val="en-US"/>
        </w:rPr>
        <w:t>2</w:t>
      </w:r>
      <w:r w:rsidRPr="000D65CF">
        <w:rPr>
          <w:lang w:val="en-US"/>
        </w:rPr>
        <w:t xml:space="preserve"> emissions (</w:t>
      </w:r>
      <w:r w:rsidRPr="000D65CF">
        <w:rPr>
          <w:b/>
          <w:lang w:val="en-US"/>
        </w:rPr>
        <w:t>CPT1</w:t>
      </w:r>
      <w:r w:rsidRPr="000D65CF">
        <w:rPr>
          <w:lang w:val="en-US"/>
        </w:rPr>
        <w:t>), assuming the once proposed (2007/8) but then scrapped level of GBP2,000 for cars emitting more than 225gCO</w:t>
      </w:r>
      <w:r w:rsidRPr="000D65CF">
        <w:rPr>
          <w:vertAlign w:val="subscript"/>
          <w:lang w:val="en-US"/>
        </w:rPr>
        <w:t>2</w:t>
      </w:r>
      <w:r w:rsidRPr="000D65CF">
        <w:rPr>
          <w:lang w:val="en-US"/>
        </w:rPr>
        <w:t xml:space="preserve">/km </w:t>
      </w:r>
      <w:r w:rsidR="00B030BC">
        <w:rPr>
          <w:lang w:val="en-US"/>
        </w:rPr>
        <w:t>(car tax band</w:t>
      </w:r>
      <w:r w:rsidR="00B030BC" w:rsidRPr="000D65CF">
        <w:rPr>
          <w:rStyle w:val="FootnoteReference"/>
          <w:lang w:val="en-US"/>
        </w:rPr>
        <w:footnoteReference w:id="12"/>
      </w:r>
      <w:r w:rsidR="00B030BC">
        <w:rPr>
          <w:lang w:val="en-US"/>
        </w:rPr>
        <w:t xml:space="preserve"> L or M) </w:t>
      </w:r>
      <w:r w:rsidR="0042765A">
        <w:rPr>
          <w:lang w:val="en-US"/>
        </w:rPr>
        <w:t>was</w:t>
      </w:r>
      <w:r w:rsidRPr="000D65CF">
        <w:rPr>
          <w:lang w:val="en-US"/>
        </w:rPr>
        <w:t xml:space="preserve"> put into action </w:t>
      </w:r>
      <w:r w:rsidR="00B030BC">
        <w:rPr>
          <w:lang w:val="en-US"/>
        </w:rPr>
        <w:t>between</w:t>
      </w:r>
      <w:r w:rsidRPr="000D65CF">
        <w:rPr>
          <w:lang w:val="en-US"/>
        </w:rPr>
        <w:t xml:space="preserve"> 2011</w:t>
      </w:r>
      <w:r w:rsidR="00B030BC">
        <w:rPr>
          <w:lang w:val="en-US"/>
        </w:rPr>
        <w:t xml:space="preserve"> and 2014</w:t>
      </w:r>
      <w:r w:rsidRPr="000D65CF">
        <w:rPr>
          <w:lang w:val="en-US"/>
        </w:rPr>
        <w:t>. This CO</w:t>
      </w:r>
      <w:r w:rsidRPr="000D65CF">
        <w:rPr>
          <w:vertAlign w:val="subscript"/>
          <w:lang w:val="en-US"/>
        </w:rPr>
        <w:t>2</w:t>
      </w:r>
      <w:r w:rsidRPr="000D65CF">
        <w:rPr>
          <w:lang w:val="en-US"/>
        </w:rPr>
        <w:t xml:space="preserve"> limit </w:t>
      </w:r>
      <w:r w:rsidR="0042765A">
        <w:rPr>
          <w:lang w:val="en-US"/>
        </w:rPr>
        <w:t>was then tightened every five</w:t>
      </w:r>
      <w:r w:rsidRPr="000D65CF">
        <w:rPr>
          <w:lang w:val="en-US"/>
        </w:rPr>
        <w:t xml:space="preserve"> years by one car tax (VED) band, down to a lower limit of 130gCO</w:t>
      </w:r>
      <w:r w:rsidRPr="000D65CF">
        <w:rPr>
          <w:vertAlign w:val="subscript"/>
          <w:lang w:val="en-US"/>
        </w:rPr>
        <w:t>2</w:t>
      </w:r>
      <w:r w:rsidRPr="000D65CF">
        <w:rPr>
          <w:lang w:val="en-US"/>
        </w:rPr>
        <w:t xml:space="preserve">/km from </w:t>
      </w:r>
      <w:r w:rsidR="00B030BC">
        <w:rPr>
          <w:lang w:val="en-US"/>
        </w:rPr>
        <w:t>2045</w:t>
      </w:r>
      <w:r w:rsidRPr="000D65CF">
        <w:rPr>
          <w:lang w:val="en-US"/>
        </w:rPr>
        <w:t>. Alternative fuelled cars running on hydrogen (gaseous, GH</w:t>
      </w:r>
      <w:r w:rsidRPr="0042765A">
        <w:rPr>
          <w:vertAlign w:val="subscript"/>
          <w:lang w:val="en-US"/>
        </w:rPr>
        <w:t>2</w:t>
      </w:r>
      <w:r w:rsidRPr="000D65CF">
        <w:rPr>
          <w:lang w:val="en-US"/>
        </w:rPr>
        <w:t xml:space="preserve"> and liquid, LH</w:t>
      </w:r>
      <w:r w:rsidRPr="0042765A">
        <w:rPr>
          <w:vertAlign w:val="subscript"/>
          <w:lang w:val="en-US"/>
        </w:rPr>
        <w:t>2</w:t>
      </w:r>
      <w:r w:rsidRPr="000D65CF">
        <w:rPr>
          <w:lang w:val="en-US"/>
        </w:rPr>
        <w:t xml:space="preserve">), electricity, full biodiesel (B100) and bioethanol blends (E85) carry a 50% </w:t>
      </w:r>
      <w:r w:rsidRPr="000D65CF">
        <w:rPr>
          <w:i/>
          <w:lang w:val="en-US"/>
        </w:rPr>
        <w:t>reduction</w:t>
      </w:r>
      <w:r w:rsidRPr="000D65CF">
        <w:rPr>
          <w:lang w:val="en-US"/>
        </w:rPr>
        <w:t xml:space="preserve"> of any purchase tax as they </w:t>
      </w:r>
      <w:r w:rsidR="0042765A">
        <w:rPr>
          <w:lang w:val="en-US"/>
        </w:rPr>
        <w:t>were</w:t>
      </w:r>
      <w:r w:rsidRPr="000D65CF">
        <w:rPr>
          <w:lang w:val="en-US"/>
        </w:rPr>
        <w:t xml:space="preserve"> assumed to save </w:t>
      </w:r>
      <w:r w:rsidRPr="000D65CF">
        <w:rPr>
          <w:i/>
          <w:lang w:val="en-US"/>
        </w:rPr>
        <w:t>net</w:t>
      </w:r>
      <w:r w:rsidRPr="000D65CF">
        <w:rPr>
          <w:lang w:val="en-US"/>
        </w:rPr>
        <w:t xml:space="preserve"> CO</w:t>
      </w:r>
      <w:r w:rsidRPr="000D65CF">
        <w:rPr>
          <w:vertAlign w:val="subscript"/>
          <w:lang w:val="en-US"/>
        </w:rPr>
        <w:t>2</w:t>
      </w:r>
      <w:r w:rsidRPr="000D65CF">
        <w:rPr>
          <w:lang w:val="en-US"/>
        </w:rPr>
        <w:t xml:space="preserve"> emissions when compared to their </w:t>
      </w:r>
      <w:r w:rsidRPr="000D65CF">
        <w:rPr>
          <w:lang w:val="en-US"/>
        </w:rPr>
        <w:lastRenderedPageBreak/>
        <w:t xml:space="preserve">conventional counterparts. </w:t>
      </w:r>
      <w:r w:rsidR="004A109F">
        <w:rPr>
          <w:lang w:val="en-US"/>
        </w:rPr>
        <w:t xml:space="preserve"> </w:t>
      </w:r>
      <w:r w:rsidRPr="000D65CF">
        <w:rPr>
          <w:lang w:val="en-US"/>
        </w:rPr>
        <w:t xml:space="preserve">Secondly, ‘medium’ policy ambition was modeled as a </w:t>
      </w:r>
      <w:proofErr w:type="spellStart"/>
      <w:r w:rsidRPr="000D65CF">
        <w:rPr>
          <w:lang w:val="en-US"/>
        </w:rPr>
        <w:t>feebate</w:t>
      </w:r>
      <w:proofErr w:type="spellEnd"/>
      <w:r w:rsidRPr="000D65CF">
        <w:rPr>
          <w:lang w:val="en-US"/>
        </w:rPr>
        <w:t xml:space="preserve"> scheme, graded by CO</w:t>
      </w:r>
      <w:r w:rsidRPr="000D65CF">
        <w:rPr>
          <w:vertAlign w:val="subscript"/>
          <w:lang w:val="en-US"/>
        </w:rPr>
        <w:t>2</w:t>
      </w:r>
      <w:r w:rsidRPr="000D65CF">
        <w:rPr>
          <w:lang w:val="en-US"/>
        </w:rPr>
        <w:t xml:space="preserve"> emissions and tightened over time (</w:t>
      </w:r>
      <w:r w:rsidRPr="000D65CF">
        <w:rPr>
          <w:b/>
          <w:lang w:val="en-US"/>
        </w:rPr>
        <w:t>CPT2</w:t>
      </w:r>
      <w:r w:rsidRPr="000D65CF">
        <w:rPr>
          <w:lang w:val="en-US"/>
        </w:rPr>
        <w:t xml:space="preserve">). From 2011 until </w:t>
      </w:r>
      <w:r w:rsidR="00B030BC">
        <w:rPr>
          <w:lang w:val="en-US"/>
        </w:rPr>
        <w:t>2014</w:t>
      </w:r>
      <w:r w:rsidRPr="000D65CF">
        <w:rPr>
          <w:lang w:val="en-US"/>
        </w:rPr>
        <w:t xml:space="preserve">, this involved a GBP4,000 </w:t>
      </w:r>
      <w:r w:rsidRPr="000D65CF">
        <w:rPr>
          <w:i/>
          <w:lang w:val="en-US"/>
        </w:rPr>
        <w:t>fee</w:t>
      </w:r>
      <w:r w:rsidRPr="000D65CF">
        <w:rPr>
          <w:lang w:val="en-US"/>
        </w:rPr>
        <w:t xml:space="preserve"> for cars emitting more than 200gCO</w:t>
      </w:r>
      <w:r w:rsidRPr="000D65CF">
        <w:rPr>
          <w:vertAlign w:val="subscript"/>
          <w:lang w:val="en-US"/>
        </w:rPr>
        <w:t>2</w:t>
      </w:r>
      <w:r w:rsidRPr="000D65CF">
        <w:rPr>
          <w:lang w:val="en-US"/>
        </w:rPr>
        <w:t>/km, GBP2,000 for cars emitting more than 175gCO</w:t>
      </w:r>
      <w:r w:rsidRPr="000D65CF">
        <w:rPr>
          <w:vertAlign w:val="subscript"/>
          <w:lang w:val="en-US"/>
        </w:rPr>
        <w:t>2</w:t>
      </w:r>
      <w:r w:rsidRPr="000D65CF">
        <w:rPr>
          <w:lang w:val="en-US"/>
        </w:rPr>
        <w:t>/km (and less than 200), GBP1,000 for cars emitting more than 150gCO</w:t>
      </w:r>
      <w:r w:rsidRPr="000D65CF">
        <w:rPr>
          <w:vertAlign w:val="subscript"/>
          <w:lang w:val="en-US"/>
        </w:rPr>
        <w:t>2</w:t>
      </w:r>
      <w:r w:rsidRPr="000D65CF">
        <w:rPr>
          <w:lang w:val="en-US"/>
        </w:rPr>
        <w:t xml:space="preserve">/km (but less than 175), </w:t>
      </w:r>
      <w:r w:rsidRPr="000D65CF">
        <w:rPr>
          <w:i/>
          <w:lang w:val="en-US"/>
        </w:rPr>
        <w:t>no</w:t>
      </w:r>
      <w:r w:rsidRPr="000D65CF">
        <w:rPr>
          <w:lang w:val="en-US"/>
        </w:rPr>
        <w:t xml:space="preserve"> purchase fee for cars emitting between 140 and 150gCO</w:t>
      </w:r>
      <w:r w:rsidRPr="000D65CF">
        <w:rPr>
          <w:vertAlign w:val="subscript"/>
          <w:lang w:val="en-US"/>
        </w:rPr>
        <w:t>2</w:t>
      </w:r>
      <w:r w:rsidRPr="000D65CF">
        <w:rPr>
          <w:lang w:val="en-US"/>
        </w:rPr>
        <w:t xml:space="preserve">/km, a GBP500 </w:t>
      </w:r>
      <w:r w:rsidRPr="000D65CF">
        <w:rPr>
          <w:i/>
          <w:lang w:val="en-US"/>
        </w:rPr>
        <w:t>rebate</w:t>
      </w:r>
      <w:r w:rsidRPr="000D65CF">
        <w:rPr>
          <w:lang w:val="en-US"/>
        </w:rPr>
        <w:t xml:space="preserve"> for cars emitting between 120 and 140gCO</w:t>
      </w:r>
      <w:r w:rsidRPr="000D65CF">
        <w:rPr>
          <w:vertAlign w:val="subscript"/>
          <w:lang w:val="en-US"/>
        </w:rPr>
        <w:t>2</w:t>
      </w:r>
      <w:r w:rsidRPr="000D65CF">
        <w:rPr>
          <w:lang w:val="en-US"/>
        </w:rPr>
        <w:t>/km, GBP1,000 rebate for cars emitting between 100 and 120gCO</w:t>
      </w:r>
      <w:r w:rsidRPr="000D65CF">
        <w:rPr>
          <w:vertAlign w:val="subscript"/>
          <w:lang w:val="en-US"/>
        </w:rPr>
        <w:t>2</w:t>
      </w:r>
      <w:r w:rsidRPr="000D65CF">
        <w:rPr>
          <w:lang w:val="en-US"/>
        </w:rPr>
        <w:t>/km, and a GBP2,000 rebate for cars emitting less than 100gCO</w:t>
      </w:r>
      <w:r w:rsidRPr="000D65CF">
        <w:rPr>
          <w:vertAlign w:val="subscript"/>
          <w:lang w:val="en-US"/>
        </w:rPr>
        <w:t>2</w:t>
      </w:r>
      <w:r w:rsidRPr="000D65CF">
        <w:rPr>
          <w:lang w:val="en-US"/>
        </w:rPr>
        <w:t>/km (</w:t>
      </w:r>
      <w:r w:rsidR="00880B2F" w:rsidRPr="000D65CF">
        <w:rPr>
          <w:lang w:val="en-US"/>
        </w:rPr>
        <w:fldChar w:fldCharType="begin"/>
      </w:r>
      <w:r w:rsidRPr="000D65CF">
        <w:rPr>
          <w:lang w:val="en-US"/>
        </w:rPr>
        <w:instrText xml:space="preserve"> REF _Ref299373014 \h </w:instrText>
      </w:r>
      <w:r w:rsidR="00880B2F" w:rsidRPr="000D65CF">
        <w:rPr>
          <w:lang w:val="en-US"/>
        </w:rPr>
      </w:r>
      <w:r w:rsidR="00880B2F" w:rsidRPr="000D65CF">
        <w:rPr>
          <w:lang w:val="en-US"/>
        </w:rPr>
        <w:fldChar w:fldCharType="separate"/>
      </w:r>
      <w:r w:rsidRPr="000D65CF">
        <w:rPr>
          <w:lang w:val="en-US"/>
        </w:rPr>
        <w:t xml:space="preserve">Figure </w:t>
      </w:r>
      <w:r w:rsidRPr="000D65CF">
        <w:rPr>
          <w:noProof/>
          <w:lang w:val="en-US"/>
        </w:rPr>
        <w:t>2</w:t>
      </w:r>
      <w:r w:rsidR="00880B2F" w:rsidRPr="000D65CF">
        <w:rPr>
          <w:lang w:val="en-US"/>
        </w:rPr>
        <w:fldChar w:fldCharType="end"/>
      </w:r>
      <w:r w:rsidRPr="000D65CF">
        <w:rPr>
          <w:lang w:val="en-US"/>
        </w:rPr>
        <w:t>). The CO</w:t>
      </w:r>
      <w:r w:rsidRPr="000D65CF">
        <w:rPr>
          <w:vertAlign w:val="subscript"/>
          <w:lang w:val="en-US"/>
        </w:rPr>
        <w:t>2</w:t>
      </w:r>
      <w:r w:rsidR="00DC6105">
        <w:rPr>
          <w:lang w:val="en-US"/>
        </w:rPr>
        <w:t xml:space="preserve"> limits were tightened every five</w:t>
      </w:r>
      <w:r w:rsidRPr="000D65CF">
        <w:rPr>
          <w:lang w:val="en-US"/>
        </w:rPr>
        <w:t xml:space="preserve"> years by one tax band so that from 2045 the top fee is for cars emitting more than 120gCO</w:t>
      </w:r>
      <w:r w:rsidRPr="000D65CF">
        <w:rPr>
          <w:vertAlign w:val="subscript"/>
          <w:lang w:val="en-US"/>
        </w:rPr>
        <w:t>2</w:t>
      </w:r>
      <w:r w:rsidRPr="000D65CF">
        <w:rPr>
          <w:lang w:val="en-US"/>
        </w:rPr>
        <w:t>/km. Biofuel cars (B100, E85) carry a 50% reduction of any fee occurred, but rebates stay at 100%. Hydrogen, BEV and PHEV cars attract the maximum rebate of GBP2</w:t>
      </w:r>
      <w:proofErr w:type="gramStart"/>
      <w:r w:rsidRPr="000D65CF">
        <w:rPr>
          <w:lang w:val="en-US"/>
        </w:rPr>
        <w:t>,000</w:t>
      </w:r>
      <w:proofErr w:type="gramEnd"/>
      <w:r w:rsidRPr="000D65CF">
        <w:rPr>
          <w:lang w:val="en-US"/>
        </w:rPr>
        <w:t xml:space="preserve">.  Thirdly, ‘high’ policy ambition in </w:t>
      </w:r>
      <w:r w:rsidRPr="000D65CF">
        <w:rPr>
          <w:b/>
          <w:lang w:val="en-US"/>
        </w:rPr>
        <w:t>CPT3</w:t>
      </w:r>
      <w:r w:rsidRPr="000D65CF">
        <w:rPr>
          <w:lang w:val="en-US"/>
        </w:rPr>
        <w:t xml:space="preserve"> was simulated by simply doubling the fees/rebates of CPT2, i.e. fees of up to GBP8</w:t>
      </w:r>
      <w:proofErr w:type="gramStart"/>
      <w:r w:rsidRPr="000D65CF">
        <w:rPr>
          <w:lang w:val="en-US"/>
        </w:rPr>
        <w:t>,000</w:t>
      </w:r>
      <w:proofErr w:type="gramEnd"/>
      <w:r w:rsidRPr="000D65CF">
        <w:rPr>
          <w:lang w:val="en-US"/>
        </w:rPr>
        <w:t xml:space="preserve"> and rebates of up to GBP4,000 per car.</w:t>
      </w:r>
    </w:p>
    <w:p w14:paraId="6D4BE094" w14:textId="77777777" w:rsidR="0037210B" w:rsidRPr="00C64BF5" w:rsidRDefault="0037210B" w:rsidP="00A018D1">
      <w:pPr>
        <w:rPr>
          <w:lang w:val="en-US"/>
        </w:rPr>
      </w:pPr>
    </w:p>
    <w:p w14:paraId="12F391A4" w14:textId="77777777" w:rsidR="0037210B" w:rsidRPr="00C64BF5" w:rsidRDefault="00061FDF" w:rsidP="0037210B">
      <w:pPr>
        <w:keepNext/>
        <w:jc w:val="center"/>
        <w:rPr>
          <w:lang w:val="en-US"/>
        </w:rPr>
      </w:pPr>
      <w:r>
        <w:rPr>
          <w:noProof/>
          <w:lang w:val="en-GB" w:eastAsia="zh-CN"/>
        </w:rPr>
        <w:drawing>
          <wp:inline distT="0" distB="0" distL="0" distR="0" wp14:anchorId="59219A9B" wp14:editId="4FD55EFD">
            <wp:extent cx="5580000" cy="3487500"/>
            <wp:effectExtent l="0" t="0" r="1905" b="17780"/>
            <wp:docPr id="7" name="Chart 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25270E6E" w14:textId="05E7BE77" w:rsidR="0037210B" w:rsidRPr="00C64BF5" w:rsidRDefault="0037210B" w:rsidP="008672D9">
      <w:pPr>
        <w:pStyle w:val="Caption"/>
      </w:pPr>
      <w:bookmarkStart w:id="3" w:name="_Ref299373014"/>
      <w:r w:rsidRPr="00C64BF5">
        <w:t xml:space="preserve">Figure </w:t>
      </w:r>
      <w:r w:rsidR="00880B2F">
        <w:fldChar w:fldCharType="begin"/>
      </w:r>
      <w:r w:rsidR="000A64E7">
        <w:instrText xml:space="preserve"> SEQ Figure \* ARABIC </w:instrText>
      </w:r>
      <w:r w:rsidR="00880B2F">
        <w:fldChar w:fldCharType="separate"/>
      </w:r>
      <w:r w:rsidR="003C4C97">
        <w:rPr>
          <w:noProof/>
        </w:rPr>
        <w:t>2</w:t>
      </w:r>
      <w:r w:rsidR="00880B2F">
        <w:rPr>
          <w:noProof/>
        </w:rPr>
        <w:fldChar w:fldCharType="end"/>
      </w:r>
      <w:bookmarkEnd w:id="3"/>
      <w:r w:rsidR="000D65CF" w:rsidRPr="000D65CF">
        <w:t>: Fees and rebates (</w:t>
      </w:r>
      <w:r w:rsidR="00722541">
        <w:t xml:space="preserve">in </w:t>
      </w:r>
      <w:r w:rsidR="000D65CF" w:rsidRPr="000D65CF">
        <w:t xml:space="preserve">GBP) of the 'medium’ policy ambition </w:t>
      </w:r>
      <w:proofErr w:type="spellStart"/>
      <w:r w:rsidR="000D65CF" w:rsidRPr="000D65CF">
        <w:t>feebate</w:t>
      </w:r>
      <w:proofErr w:type="spellEnd"/>
      <w:r w:rsidR="000D65CF" w:rsidRPr="000D65CF">
        <w:t xml:space="preserve"> scheme</w:t>
      </w:r>
      <w:r w:rsidR="00722541">
        <w:t xml:space="preserve"> (CPT2)</w:t>
      </w:r>
      <w:r w:rsidR="000D65CF" w:rsidRPr="000D65CF">
        <w:t xml:space="preserve">, for </w:t>
      </w:r>
      <w:r w:rsidR="00D475B2">
        <w:t xml:space="preserve">conventional fossil fuelled cars between 2011 and </w:t>
      </w:r>
      <w:r w:rsidR="00B030BC">
        <w:t>2014</w:t>
      </w:r>
    </w:p>
    <w:p w14:paraId="6661613C" w14:textId="77777777" w:rsidR="00697B23" w:rsidRPr="00C64BF5" w:rsidRDefault="00697B23" w:rsidP="00A018D1">
      <w:pPr>
        <w:rPr>
          <w:lang w:val="en-US"/>
        </w:rPr>
      </w:pPr>
    </w:p>
    <w:p w14:paraId="40DC1B61" w14:textId="77777777" w:rsidR="008A36A2" w:rsidRPr="00C64BF5" w:rsidRDefault="000D65CF" w:rsidP="00697B23">
      <w:pPr>
        <w:pStyle w:val="Heading3"/>
        <w:rPr>
          <w:lang w:val="en-US"/>
        </w:rPr>
      </w:pPr>
      <w:r w:rsidRPr="000D65CF">
        <w:rPr>
          <w:lang w:val="en-US"/>
        </w:rPr>
        <w:t>3.</w:t>
      </w:r>
      <w:r w:rsidR="00BD152D">
        <w:rPr>
          <w:lang w:val="en-US"/>
        </w:rPr>
        <w:t>2</w:t>
      </w:r>
      <w:r w:rsidRPr="000D65CF">
        <w:rPr>
          <w:lang w:val="en-US"/>
        </w:rPr>
        <w:t>.4 Road tax / vehicl</w:t>
      </w:r>
      <w:r w:rsidR="000D7A60">
        <w:rPr>
          <w:lang w:val="en-US"/>
        </w:rPr>
        <w:t>e excise duty</w:t>
      </w:r>
    </w:p>
    <w:p w14:paraId="5713373F" w14:textId="77777777" w:rsidR="008A36A2" w:rsidRPr="00C64BF5" w:rsidRDefault="000D65CF" w:rsidP="00A018D1">
      <w:pPr>
        <w:rPr>
          <w:lang w:val="en-US"/>
        </w:rPr>
      </w:pPr>
      <w:r w:rsidRPr="000D65CF">
        <w:rPr>
          <w:lang w:val="en-US"/>
        </w:rPr>
        <w:t>The relatively complex scheme that has been in force in Britain since April 2010 serves as the ‘low’ ambition scenario (</w:t>
      </w:r>
      <w:r w:rsidRPr="000D65CF">
        <w:rPr>
          <w:b/>
          <w:lang w:val="en-US"/>
        </w:rPr>
        <w:t>VED1</w:t>
      </w:r>
      <w:r w:rsidRPr="000D65CF">
        <w:rPr>
          <w:lang w:val="en-US"/>
        </w:rPr>
        <w:t>), involving (a) simple rates for cars registered before 1 March 2001 based on engine size and (b) graded rates for cars registered on or after 1 March 2001 based on fuel type and CO</w:t>
      </w:r>
      <w:r w:rsidRPr="000D65CF">
        <w:rPr>
          <w:vertAlign w:val="subscript"/>
          <w:lang w:val="en-US"/>
        </w:rPr>
        <w:t>2</w:t>
      </w:r>
      <w:r w:rsidRPr="000D65CF">
        <w:rPr>
          <w:lang w:val="en-US"/>
        </w:rPr>
        <w:t xml:space="preserve"> emissions (split into 13 bands, from GBP0 for cars &lt;=100gCO</w:t>
      </w:r>
      <w:r w:rsidRPr="000D65CF">
        <w:rPr>
          <w:vertAlign w:val="subscript"/>
          <w:lang w:val="en-US"/>
        </w:rPr>
        <w:t>2</w:t>
      </w:r>
      <w:r w:rsidRPr="000D65CF">
        <w:rPr>
          <w:lang w:val="en-US"/>
        </w:rPr>
        <w:t>/km to GBP435 for &gt;255gCO</w:t>
      </w:r>
      <w:r w:rsidRPr="000D65CF">
        <w:rPr>
          <w:vertAlign w:val="subscript"/>
          <w:lang w:val="en-US"/>
        </w:rPr>
        <w:t>2</w:t>
      </w:r>
      <w:r w:rsidRPr="000D65CF">
        <w:rPr>
          <w:lang w:val="en-US"/>
        </w:rPr>
        <w:t>/km; alternative fuelled cars get GBP10 discount)</w:t>
      </w:r>
      <w:r w:rsidR="00DC6105">
        <w:rPr>
          <w:lang w:val="en-US"/>
        </w:rPr>
        <w:t>. In addition, higher grading was</w:t>
      </w:r>
      <w:r w:rsidRPr="000D65CF">
        <w:rPr>
          <w:lang w:val="en-US"/>
        </w:rPr>
        <w:t xml:space="preserve"> applied </w:t>
      </w:r>
      <w:r w:rsidRPr="000D65CF">
        <w:rPr>
          <w:i/>
          <w:lang w:val="en-US"/>
        </w:rPr>
        <w:t>for the first year only</w:t>
      </w:r>
      <w:r w:rsidRPr="000D65CF">
        <w:rPr>
          <w:lang w:val="en-US"/>
        </w:rPr>
        <w:t xml:space="preserve"> for cars registered on or after 1 April 2010 based on fuel type and CO</w:t>
      </w:r>
      <w:r w:rsidRPr="000D65CF">
        <w:rPr>
          <w:vertAlign w:val="subscript"/>
          <w:lang w:val="en-US"/>
        </w:rPr>
        <w:t>2</w:t>
      </w:r>
      <w:r w:rsidRPr="000D65CF">
        <w:rPr>
          <w:lang w:val="en-US"/>
        </w:rPr>
        <w:t xml:space="preserve"> emissions (higher first year rates for CO</w:t>
      </w:r>
      <w:r w:rsidRPr="000D65CF">
        <w:rPr>
          <w:vertAlign w:val="subscript"/>
          <w:lang w:val="en-US"/>
        </w:rPr>
        <w:t>2</w:t>
      </w:r>
      <w:r w:rsidRPr="000D65CF">
        <w:rPr>
          <w:lang w:val="en-US"/>
        </w:rPr>
        <w:t xml:space="preserve"> &gt; 165gCO</w:t>
      </w:r>
      <w:r w:rsidRPr="000D65CF">
        <w:rPr>
          <w:vertAlign w:val="subscript"/>
          <w:lang w:val="en-US"/>
        </w:rPr>
        <w:t>2</w:t>
      </w:r>
      <w:r w:rsidRPr="000D65CF">
        <w:rPr>
          <w:lang w:val="en-US"/>
        </w:rPr>
        <w:t>/km, up to GBP950 for CO</w:t>
      </w:r>
      <w:r w:rsidRPr="000D65CF">
        <w:rPr>
          <w:vertAlign w:val="subscript"/>
          <w:lang w:val="en-US"/>
        </w:rPr>
        <w:t>2</w:t>
      </w:r>
      <w:r w:rsidRPr="000D65CF">
        <w:rPr>
          <w:lang w:val="en-US"/>
        </w:rPr>
        <w:t>&gt;255g/km).</w:t>
      </w:r>
      <w:r w:rsidR="00DC6105">
        <w:rPr>
          <w:lang w:val="en-US"/>
        </w:rPr>
        <w:t xml:space="preserve"> While the VED1 scenario assumed</w:t>
      </w:r>
      <w:r w:rsidRPr="000D65CF">
        <w:rPr>
          <w:lang w:val="en-US"/>
        </w:rPr>
        <w:t xml:space="preserve"> the limits are </w:t>
      </w:r>
      <w:r w:rsidRPr="000D65CF">
        <w:rPr>
          <w:i/>
          <w:lang w:val="en-US"/>
        </w:rPr>
        <w:t>not</w:t>
      </w:r>
      <w:r w:rsidRPr="000D65CF">
        <w:rPr>
          <w:lang w:val="en-US"/>
        </w:rPr>
        <w:t xml:space="preserve"> tightened over time, scenario </w:t>
      </w:r>
      <w:r w:rsidRPr="000D65CF">
        <w:rPr>
          <w:b/>
          <w:lang w:val="en-US"/>
        </w:rPr>
        <w:t>VED2</w:t>
      </w:r>
      <w:r w:rsidRPr="000D65CF">
        <w:rPr>
          <w:lang w:val="en-US"/>
        </w:rPr>
        <w:t xml:space="preserve"> </w:t>
      </w:r>
      <w:r w:rsidR="00DC6105">
        <w:rPr>
          <w:lang w:val="en-US"/>
        </w:rPr>
        <w:t>was</w:t>
      </w:r>
      <w:r w:rsidRPr="000D65CF">
        <w:rPr>
          <w:lang w:val="en-US"/>
        </w:rPr>
        <w:t xml:space="preserve"> based on VED1 but now with </w:t>
      </w:r>
      <w:r w:rsidRPr="000D65CF">
        <w:rPr>
          <w:i/>
          <w:lang w:val="en-US"/>
        </w:rPr>
        <w:t>decreasing CO</w:t>
      </w:r>
      <w:r w:rsidRPr="000D65CF">
        <w:rPr>
          <w:i/>
          <w:vertAlign w:val="subscript"/>
          <w:lang w:val="en-US"/>
        </w:rPr>
        <w:t>2</w:t>
      </w:r>
      <w:r w:rsidRPr="000D65CF">
        <w:rPr>
          <w:i/>
          <w:lang w:val="en-US"/>
        </w:rPr>
        <w:t xml:space="preserve"> limits</w:t>
      </w:r>
      <w:r w:rsidRPr="000D65CF">
        <w:rPr>
          <w:lang w:val="en-US"/>
        </w:rPr>
        <w:t xml:space="preserve"> for every 5 years. Finally, </w:t>
      </w:r>
      <w:r w:rsidRPr="000D65CF">
        <w:rPr>
          <w:b/>
          <w:lang w:val="en-US"/>
        </w:rPr>
        <w:t>VED3</w:t>
      </w:r>
      <w:r w:rsidRPr="000D65CF">
        <w:rPr>
          <w:lang w:val="en-US"/>
        </w:rPr>
        <w:t xml:space="preserve"> was set up as VED2 but with </w:t>
      </w:r>
      <w:r w:rsidRPr="000D65CF">
        <w:rPr>
          <w:i/>
          <w:lang w:val="en-US"/>
        </w:rPr>
        <w:t>double</w:t>
      </w:r>
      <w:r w:rsidRPr="000D65CF">
        <w:rPr>
          <w:lang w:val="en-US"/>
        </w:rPr>
        <w:t xml:space="preserve"> duty rates (</w:t>
      </w:r>
      <w:r w:rsidR="00880B2F" w:rsidRPr="000D65CF">
        <w:rPr>
          <w:lang w:val="en-US"/>
        </w:rPr>
        <w:fldChar w:fldCharType="begin"/>
      </w:r>
      <w:r w:rsidRPr="000D65CF">
        <w:rPr>
          <w:lang w:val="en-US"/>
        </w:rPr>
        <w:instrText xml:space="preserve"> REF _Ref299373533 \h </w:instrText>
      </w:r>
      <w:r w:rsidR="00880B2F" w:rsidRPr="000D65CF">
        <w:rPr>
          <w:lang w:val="en-US"/>
        </w:rPr>
      </w:r>
      <w:r w:rsidR="00880B2F" w:rsidRPr="000D65CF">
        <w:rPr>
          <w:lang w:val="en-US"/>
        </w:rPr>
        <w:fldChar w:fldCharType="separate"/>
      </w:r>
      <w:proofErr w:type="spellStart"/>
      <w:r w:rsidR="00037E57" w:rsidRPr="00C64BF5">
        <w:t>Figure</w:t>
      </w:r>
      <w:proofErr w:type="spellEnd"/>
      <w:r w:rsidR="00037E57" w:rsidRPr="00C64BF5">
        <w:t xml:space="preserve"> </w:t>
      </w:r>
      <w:r w:rsidR="00037E57" w:rsidRPr="000D65CF">
        <w:rPr>
          <w:noProof/>
        </w:rPr>
        <w:t>3</w:t>
      </w:r>
      <w:r w:rsidR="00880B2F" w:rsidRPr="000D65CF">
        <w:rPr>
          <w:lang w:val="en-US"/>
        </w:rPr>
        <w:fldChar w:fldCharType="end"/>
      </w:r>
      <w:r w:rsidRPr="000D65CF">
        <w:rPr>
          <w:lang w:val="en-US"/>
        </w:rPr>
        <w:t>).</w:t>
      </w:r>
    </w:p>
    <w:p w14:paraId="173B5204" w14:textId="77777777" w:rsidR="00106DE4" w:rsidRPr="00C64BF5" w:rsidRDefault="00106DE4" w:rsidP="00A018D1">
      <w:pPr>
        <w:rPr>
          <w:lang w:val="en-US"/>
        </w:rPr>
      </w:pPr>
    </w:p>
    <w:p w14:paraId="59C62D08" w14:textId="08BA23A4" w:rsidR="00106DE4" w:rsidRPr="00C64BF5" w:rsidRDefault="007F2054" w:rsidP="00106DE4">
      <w:pPr>
        <w:keepNext/>
        <w:rPr>
          <w:lang w:val="en-US"/>
        </w:rPr>
      </w:pPr>
      <w:r>
        <w:rPr>
          <w:noProof/>
          <w:lang w:val="en-GB" w:eastAsia="zh-CN"/>
        </w:rPr>
        <w:drawing>
          <wp:inline distT="0" distB="0" distL="0" distR="0" wp14:anchorId="67F60B77" wp14:editId="1702883D">
            <wp:extent cx="5760000" cy="3600000"/>
            <wp:effectExtent l="0" t="0" r="0" b="635"/>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22BA73FC" w14:textId="77777777" w:rsidR="00106DE4" w:rsidRPr="00C64BF5" w:rsidRDefault="00106DE4" w:rsidP="008672D9">
      <w:pPr>
        <w:pStyle w:val="Caption"/>
      </w:pPr>
      <w:bookmarkStart w:id="4" w:name="_Ref299373533"/>
      <w:r w:rsidRPr="00C64BF5">
        <w:t xml:space="preserve">Figure </w:t>
      </w:r>
      <w:r w:rsidR="00880B2F">
        <w:fldChar w:fldCharType="begin"/>
      </w:r>
      <w:r w:rsidR="000A64E7">
        <w:instrText xml:space="preserve"> SEQ Figure \* ARABIC </w:instrText>
      </w:r>
      <w:r w:rsidR="00880B2F">
        <w:fldChar w:fldCharType="separate"/>
      </w:r>
      <w:r w:rsidR="003C4C97">
        <w:rPr>
          <w:noProof/>
        </w:rPr>
        <w:t>3</w:t>
      </w:r>
      <w:r w:rsidR="00880B2F">
        <w:rPr>
          <w:noProof/>
        </w:rPr>
        <w:fldChar w:fldCharType="end"/>
      </w:r>
      <w:bookmarkEnd w:id="4"/>
      <w:r w:rsidR="000D65CF" w:rsidRPr="000D65CF">
        <w:t xml:space="preserve">: Tax rates </w:t>
      </w:r>
      <w:r w:rsidR="000D7A60">
        <w:t xml:space="preserve">assumed </w:t>
      </w:r>
      <w:r w:rsidR="000D65CF" w:rsidRPr="000D65CF">
        <w:t>for the ‘high’ policy ambition circulation tax scheme (VED3)</w:t>
      </w:r>
    </w:p>
    <w:p w14:paraId="6600497C" w14:textId="77777777" w:rsidR="00697B23" w:rsidRPr="00C64BF5" w:rsidRDefault="00697B23" w:rsidP="00A018D1">
      <w:pPr>
        <w:rPr>
          <w:lang w:val="en-US"/>
        </w:rPr>
      </w:pPr>
    </w:p>
    <w:p w14:paraId="34100A11" w14:textId="77777777" w:rsidR="008A36A2" w:rsidRPr="00C64BF5" w:rsidRDefault="000D65CF" w:rsidP="00697B23">
      <w:pPr>
        <w:pStyle w:val="Heading3"/>
        <w:rPr>
          <w:lang w:val="en-US"/>
        </w:rPr>
      </w:pPr>
      <w:r w:rsidRPr="000D65CF">
        <w:rPr>
          <w:lang w:val="en-US"/>
        </w:rPr>
        <w:t>3.</w:t>
      </w:r>
      <w:r w:rsidR="00BD152D">
        <w:rPr>
          <w:lang w:val="en-US"/>
        </w:rPr>
        <w:t>2</w:t>
      </w:r>
      <w:r w:rsidRPr="000D65CF">
        <w:rPr>
          <w:lang w:val="en-US"/>
        </w:rPr>
        <w:t>.5 Scr</w:t>
      </w:r>
      <w:r w:rsidR="007B6222">
        <w:rPr>
          <w:lang w:val="en-US"/>
        </w:rPr>
        <w:t>appage rebate</w:t>
      </w:r>
    </w:p>
    <w:p w14:paraId="665EF6DB" w14:textId="7593CA3D" w:rsidR="008A36A2" w:rsidRPr="00C64BF5" w:rsidRDefault="000D65CF" w:rsidP="00A018D1">
      <w:pPr>
        <w:rPr>
          <w:lang w:val="en-US"/>
        </w:rPr>
      </w:pPr>
      <w:r w:rsidRPr="000D65CF">
        <w:rPr>
          <w:lang w:val="en-US"/>
        </w:rPr>
        <w:t>First, ‘low’ policy ambition on scrappage was tested in scheme 1 (</w:t>
      </w:r>
      <w:r w:rsidRPr="000D65CF">
        <w:rPr>
          <w:b/>
          <w:lang w:val="en-US"/>
        </w:rPr>
        <w:t>SCR1</w:t>
      </w:r>
      <w:r w:rsidRPr="000D65CF">
        <w:rPr>
          <w:lang w:val="en-US"/>
        </w:rPr>
        <w:t xml:space="preserve">), which simulates the recent UK Government scheme implemented for a period of 10 months during 2009-10. This </w:t>
      </w:r>
      <w:r w:rsidR="00754CCA">
        <w:rPr>
          <w:lang w:val="en-US"/>
        </w:rPr>
        <w:t>involved</w:t>
      </w:r>
      <w:r w:rsidRPr="000D65CF">
        <w:rPr>
          <w:lang w:val="en-US"/>
        </w:rPr>
        <w:t xml:space="preserve"> a GBP</w:t>
      </w:r>
      <w:r w:rsidR="00754CCA">
        <w:rPr>
          <w:lang w:val="en-US"/>
        </w:rPr>
        <w:t>2</w:t>
      </w:r>
      <w:proofErr w:type="gramStart"/>
      <w:r w:rsidRPr="000D65CF">
        <w:rPr>
          <w:lang w:val="en-US"/>
        </w:rPr>
        <w:t>,000</w:t>
      </w:r>
      <w:proofErr w:type="gramEnd"/>
      <w:r w:rsidRPr="000D65CF">
        <w:rPr>
          <w:lang w:val="en-US"/>
        </w:rPr>
        <w:t xml:space="preserve"> cash incentive </w:t>
      </w:r>
      <w:r w:rsidR="00754CCA">
        <w:rPr>
          <w:lang w:val="en-US"/>
        </w:rPr>
        <w:t xml:space="preserve">to new car buyers </w:t>
      </w:r>
      <w:r w:rsidRPr="000D65CF">
        <w:rPr>
          <w:lang w:val="en-US"/>
        </w:rPr>
        <w:t>for scrapping cars older than 9 years</w:t>
      </w:r>
      <w:r w:rsidRPr="000D65CF">
        <w:rPr>
          <w:rStyle w:val="FootnoteReference"/>
          <w:lang w:val="en-US"/>
        </w:rPr>
        <w:footnoteReference w:id="13"/>
      </w:r>
      <w:r w:rsidRPr="000D65CF">
        <w:rPr>
          <w:lang w:val="en-US"/>
        </w:rPr>
        <w:t xml:space="preserve"> </w:t>
      </w:r>
      <w:r w:rsidRPr="000D65CF">
        <w:rPr>
          <w:rFonts w:cstheme="minorHAnsi"/>
          <w:szCs w:val="24"/>
          <w:lang w:val="en-US"/>
        </w:rPr>
        <w:t>with no explicit environmental requirement</w:t>
      </w:r>
      <w:r w:rsidR="000D7A60">
        <w:rPr>
          <w:rFonts w:cstheme="minorHAnsi"/>
          <w:szCs w:val="24"/>
          <w:lang w:val="en-US"/>
        </w:rPr>
        <w:t>s for the new vehicle purchased</w:t>
      </w:r>
      <w:r w:rsidRPr="000D65CF">
        <w:rPr>
          <w:rFonts w:cstheme="minorHAnsi"/>
          <w:szCs w:val="24"/>
          <w:lang w:val="en-US"/>
        </w:rPr>
        <w:t>.</w:t>
      </w:r>
      <w:r w:rsidRPr="000D65CF">
        <w:rPr>
          <w:lang w:val="en-US"/>
        </w:rPr>
        <w:t xml:space="preserve"> Since the scheme was short-lived we assumed that the average car lifetime would not change as a result. The </w:t>
      </w:r>
      <w:r w:rsidR="000D7A60" w:rsidRPr="000D65CF">
        <w:rPr>
          <w:lang w:val="en-US"/>
        </w:rPr>
        <w:t>modeling</w:t>
      </w:r>
      <w:r w:rsidRPr="000D65CF">
        <w:rPr>
          <w:lang w:val="en-US"/>
        </w:rPr>
        <w:t xml:space="preserve"> results allowed for validation against what actually happened. Second, ‘medium’ policy ambition (</w:t>
      </w:r>
      <w:r w:rsidRPr="000D65CF">
        <w:rPr>
          <w:b/>
          <w:lang w:val="en-US"/>
        </w:rPr>
        <w:t>SCR2</w:t>
      </w:r>
      <w:r w:rsidRPr="000D65CF">
        <w:rPr>
          <w:lang w:val="en-US"/>
        </w:rPr>
        <w:t>) was explored in a simple rebate of GBP2,000 for buying a new low carbon car emitting less than 150gCO</w:t>
      </w:r>
      <w:r w:rsidRPr="000D65CF">
        <w:rPr>
          <w:vertAlign w:val="subscript"/>
          <w:lang w:val="en-US"/>
        </w:rPr>
        <w:t>2</w:t>
      </w:r>
      <w:r w:rsidRPr="000D65CF">
        <w:rPr>
          <w:lang w:val="en-US"/>
        </w:rPr>
        <w:t xml:space="preserve">/km between 2011 and </w:t>
      </w:r>
      <w:r w:rsidR="00B030BC">
        <w:rPr>
          <w:lang w:val="en-US"/>
        </w:rPr>
        <w:t>2014</w:t>
      </w:r>
      <w:r w:rsidRPr="000D65CF">
        <w:rPr>
          <w:lang w:val="en-US"/>
        </w:rPr>
        <w:t>, with the threshold decreasing by one CO</w:t>
      </w:r>
      <w:r w:rsidRPr="000D65CF">
        <w:rPr>
          <w:vertAlign w:val="subscript"/>
          <w:lang w:val="en-US"/>
        </w:rPr>
        <w:t>2</w:t>
      </w:r>
      <w:r w:rsidRPr="000D65CF">
        <w:rPr>
          <w:lang w:val="en-US"/>
        </w:rPr>
        <w:t xml:space="preserve"> emissions band</w:t>
      </w:r>
      <w:r w:rsidR="000D7A60">
        <w:rPr>
          <w:lang w:val="en-US"/>
        </w:rPr>
        <w:t xml:space="preserve"> every five</w:t>
      </w:r>
      <w:r w:rsidRPr="000D65CF">
        <w:rPr>
          <w:lang w:val="en-US"/>
        </w:rPr>
        <w:t xml:space="preserve"> years so that from 2045 only cars emitting less than 80gCO</w:t>
      </w:r>
      <w:r w:rsidRPr="000D65CF">
        <w:rPr>
          <w:vertAlign w:val="subscript"/>
          <w:lang w:val="en-US"/>
        </w:rPr>
        <w:t>2</w:t>
      </w:r>
      <w:r w:rsidRPr="000D65CF">
        <w:rPr>
          <w:lang w:val="en-US"/>
        </w:rPr>
        <w:t>/km attract</w:t>
      </w:r>
      <w:r w:rsidR="003F3B2D">
        <w:rPr>
          <w:lang w:val="en-US"/>
        </w:rPr>
        <w:t>ed</w:t>
      </w:r>
      <w:r w:rsidRPr="000D65CF">
        <w:rPr>
          <w:lang w:val="en-US"/>
        </w:rPr>
        <w:t xml:space="preserve"> the rebate.</w:t>
      </w:r>
      <w:r w:rsidR="003F3B2D">
        <w:rPr>
          <w:lang w:val="en-US"/>
        </w:rPr>
        <w:t xml:space="preserve"> </w:t>
      </w:r>
      <w:r w:rsidRPr="000D65CF">
        <w:rPr>
          <w:lang w:val="en-US"/>
        </w:rPr>
        <w:t>Thirdly, ‘high’ policy ambition (</w:t>
      </w:r>
      <w:r w:rsidRPr="000D65CF">
        <w:rPr>
          <w:b/>
          <w:lang w:val="en-US"/>
        </w:rPr>
        <w:t>SCR3</w:t>
      </w:r>
      <w:r w:rsidRPr="000D65CF">
        <w:rPr>
          <w:lang w:val="en-US"/>
        </w:rPr>
        <w:t xml:space="preserve">) was </w:t>
      </w:r>
      <w:r w:rsidR="000D7A60" w:rsidRPr="000D65CF">
        <w:rPr>
          <w:lang w:val="en-US"/>
        </w:rPr>
        <w:t>modeled</w:t>
      </w:r>
      <w:r w:rsidRPr="000D65CF">
        <w:rPr>
          <w:lang w:val="en-US"/>
        </w:rPr>
        <w:t xml:space="preserve"> as a CO</w:t>
      </w:r>
      <w:r w:rsidRPr="000D65CF">
        <w:rPr>
          <w:vertAlign w:val="subscript"/>
          <w:lang w:val="en-US"/>
        </w:rPr>
        <w:t>2</w:t>
      </w:r>
      <w:r w:rsidRPr="000D65CF">
        <w:rPr>
          <w:lang w:val="en-US"/>
        </w:rPr>
        <w:t xml:space="preserve">-graded rebate </w:t>
      </w:r>
      <w:r w:rsidR="007F0E01">
        <w:rPr>
          <w:lang w:val="en-US"/>
        </w:rPr>
        <w:t xml:space="preserve">of </w:t>
      </w:r>
      <w:r w:rsidRPr="000D65CF">
        <w:rPr>
          <w:lang w:val="en-US"/>
        </w:rPr>
        <w:t>up to GBP2</w:t>
      </w:r>
      <w:proofErr w:type="gramStart"/>
      <w:r w:rsidRPr="000D65CF">
        <w:rPr>
          <w:lang w:val="en-US"/>
        </w:rPr>
        <w:t>,000</w:t>
      </w:r>
      <w:proofErr w:type="gramEnd"/>
      <w:r w:rsidRPr="000D65CF">
        <w:rPr>
          <w:lang w:val="en-US"/>
        </w:rPr>
        <w:t xml:space="preserve"> for buying a new low carbon car. </w:t>
      </w:r>
      <w:r w:rsidR="007F0E01">
        <w:rPr>
          <w:lang w:val="en-US"/>
        </w:rPr>
        <w:t xml:space="preserve">The top rebate between 2011 and </w:t>
      </w:r>
      <w:r w:rsidR="00B030BC">
        <w:rPr>
          <w:lang w:val="en-US"/>
        </w:rPr>
        <w:t>2014</w:t>
      </w:r>
      <w:r w:rsidR="007F0E01">
        <w:rPr>
          <w:lang w:val="en-US"/>
        </w:rPr>
        <w:t xml:space="preserve"> was for </w:t>
      </w:r>
      <w:r w:rsidRPr="000D65CF">
        <w:rPr>
          <w:lang w:val="en-US"/>
        </w:rPr>
        <w:t>buying a new car emitting less than 100gCO</w:t>
      </w:r>
      <w:r w:rsidRPr="000D65CF">
        <w:rPr>
          <w:vertAlign w:val="subscript"/>
          <w:lang w:val="en-US"/>
        </w:rPr>
        <w:t>2</w:t>
      </w:r>
      <w:r w:rsidRPr="000D65CF">
        <w:rPr>
          <w:lang w:val="en-US"/>
        </w:rPr>
        <w:t>/km, GBP1</w:t>
      </w:r>
      <w:proofErr w:type="gramStart"/>
      <w:r w:rsidRPr="000D65CF">
        <w:rPr>
          <w:lang w:val="en-US"/>
        </w:rPr>
        <w:t>,000</w:t>
      </w:r>
      <w:proofErr w:type="gramEnd"/>
      <w:r w:rsidRPr="000D65CF">
        <w:rPr>
          <w:lang w:val="en-US"/>
        </w:rPr>
        <w:t xml:space="preserve"> for cars emitting between 100 and 130 grams, GBP500 for cars emitting between 130 and 165 grams, and </w:t>
      </w:r>
      <w:r w:rsidR="007F0E01">
        <w:rPr>
          <w:lang w:val="en-US"/>
        </w:rPr>
        <w:t xml:space="preserve">no rebate </w:t>
      </w:r>
      <w:r w:rsidRPr="000D65CF">
        <w:rPr>
          <w:lang w:val="en-US"/>
        </w:rPr>
        <w:t>for cars emitting more than 165 grams. Th</w:t>
      </w:r>
      <w:r w:rsidR="007F0E01">
        <w:rPr>
          <w:lang w:val="en-US"/>
        </w:rPr>
        <w:t xml:space="preserve">e thresholds </w:t>
      </w:r>
      <w:r w:rsidR="003F3B2D">
        <w:rPr>
          <w:lang w:val="en-US"/>
        </w:rPr>
        <w:t>decreased</w:t>
      </w:r>
      <w:r w:rsidR="003F3B2D" w:rsidRPr="000D65CF">
        <w:rPr>
          <w:lang w:val="en-US"/>
        </w:rPr>
        <w:t xml:space="preserve"> by one CO</w:t>
      </w:r>
      <w:r w:rsidR="003F3B2D" w:rsidRPr="000D65CF">
        <w:rPr>
          <w:vertAlign w:val="subscript"/>
          <w:lang w:val="en-US"/>
        </w:rPr>
        <w:t>2</w:t>
      </w:r>
      <w:r w:rsidR="003F3B2D" w:rsidRPr="000D65CF">
        <w:rPr>
          <w:lang w:val="en-US"/>
        </w:rPr>
        <w:t xml:space="preserve"> emissions band</w:t>
      </w:r>
      <w:r w:rsidR="003F3B2D">
        <w:rPr>
          <w:lang w:val="en-US"/>
        </w:rPr>
        <w:t xml:space="preserve"> every five years so that from 2045 only cars emitting less than </w:t>
      </w:r>
      <w:r w:rsidRPr="000D65CF">
        <w:rPr>
          <w:lang w:val="en-US"/>
        </w:rPr>
        <w:t>30gCO</w:t>
      </w:r>
      <w:r w:rsidRPr="000D65CF">
        <w:rPr>
          <w:vertAlign w:val="subscript"/>
          <w:lang w:val="en-US"/>
        </w:rPr>
        <w:t>2</w:t>
      </w:r>
      <w:r w:rsidRPr="000D65CF">
        <w:rPr>
          <w:lang w:val="en-US"/>
        </w:rPr>
        <w:t xml:space="preserve">/km </w:t>
      </w:r>
      <w:r w:rsidR="003F3B2D">
        <w:rPr>
          <w:lang w:val="en-US"/>
        </w:rPr>
        <w:t>(</w:t>
      </w:r>
      <w:r w:rsidRPr="000D65CF">
        <w:rPr>
          <w:lang w:val="en-US"/>
        </w:rPr>
        <w:t>i.e. mainly for BEV, PHEV and hydrogen FCV</w:t>
      </w:r>
      <w:r w:rsidR="003F3B2D">
        <w:rPr>
          <w:lang w:val="en-US"/>
        </w:rPr>
        <w:t>) attracted the rebate</w:t>
      </w:r>
      <w:r w:rsidRPr="000D65CF">
        <w:rPr>
          <w:lang w:val="en-US"/>
        </w:rPr>
        <w:t>.</w:t>
      </w:r>
    </w:p>
    <w:p w14:paraId="643110BD" w14:textId="77777777" w:rsidR="00697B23" w:rsidRPr="00C64BF5" w:rsidRDefault="00697B23" w:rsidP="00A018D1">
      <w:pPr>
        <w:rPr>
          <w:lang w:val="en-US"/>
        </w:rPr>
      </w:pPr>
    </w:p>
    <w:p w14:paraId="495C130D" w14:textId="77777777" w:rsidR="008A36A2" w:rsidRPr="00C64BF5" w:rsidRDefault="000D65CF" w:rsidP="00ED44F3">
      <w:pPr>
        <w:pStyle w:val="Heading2"/>
        <w:rPr>
          <w:lang w:val="en-US"/>
        </w:rPr>
      </w:pPr>
      <w:r w:rsidRPr="000D65CF">
        <w:rPr>
          <w:lang w:val="en-US"/>
        </w:rPr>
        <w:t>3.</w:t>
      </w:r>
      <w:r w:rsidR="00BD152D">
        <w:rPr>
          <w:lang w:val="en-US"/>
        </w:rPr>
        <w:t>3</w:t>
      </w:r>
      <w:r w:rsidRPr="000D65CF">
        <w:rPr>
          <w:lang w:val="en-US"/>
        </w:rPr>
        <w:t xml:space="preserve"> Sensitivity analysis</w:t>
      </w:r>
    </w:p>
    <w:p w14:paraId="6C53C53E" w14:textId="723A2B92" w:rsidR="008A36A2" w:rsidRPr="00C64BF5" w:rsidRDefault="000D65CF" w:rsidP="00A018D1">
      <w:pPr>
        <w:rPr>
          <w:lang w:val="en-US"/>
        </w:rPr>
      </w:pPr>
      <w:r w:rsidRPr="000D65CF">
        <w:rPr>
          <w:lang w:val="en-US"/>
        </w:rPr>
        <w:t>The five sensitivity runs included variations of CO</w:t>
      </w:r>
      <w:r w:rsidRPr="000D65CF">
        <w:rPr>
          <w:vertAlign w:val="subscript"/>
          <w:lang w:val="en-US"/>
        </w:rPr>
        <w:t>2</w:t>
      </w:r>
      <w:r w:rsidRPr="000D65CF">
        <w:rPr>
          <w:lang w:val="en-US"/>
        </w:rPr>
        <w:t xml:space="preserve"> emissions limits, expected lifetime of cars and the phasing in of a </w:t>
      </w:r>
      <w:r w:rsidR="000D7A60">
        <w:rPr>
          <w:lang w:val="en-US"/>
        </w:rPr>
        <w:t xml:space="preserve">road </w:t>
      </w:r>
      <w:r w:rsidRPr="000D65CF">
        <w:rPr>
          <w:lang w:val="en-US"/>
        </w:rPr>
        <w:t xml:space="preserve">fuel duty on electricity. </w:t>
      </w:r>
      <w:r w:rsidR="00C47701">
        <w:rPr>
          <w:lang w:val="en-US"/>
        </w:rPr>
        <w:t>First, s</w:t>
      </w:r>
      <w:r w:rsidRPr="000D65CF">
        <w:rPr>
          <w:lang w:val="en-US"/>
        </w:rPr>
        <w:t xml:space="preserve">cenario </w:t>
      </w:r>
      <w:r w:rsidRPr="000D65CF">
        <w:rPr>
          <w:b/>
          <w:lang w:val="en-US"/>
        </w:rPr>
        <w:t>CPT1a</w:t>
      </w:r>
      <w:r w:rsidRPr="000D65CF">
        <w:rPr>
          <w:lang w:val="en-US"/>
        </w:rPr>
        <w:t xml:space="preserve"> </w:t>
      </w:r>
      <w:r w:rsidR="000D7A60">
        <w:rPr>
          <w:lang w:val="en-US"/>
        </w:rPr>
        <w:t>was</w:t>
      </w:r>
      <w:r w:rsidRPr="000D65CF">
        <w:rPr>
          <w:lang w:val="en-US"/>
        </w:rPr>
        <w:t xml:space="preserve"> a variant of CPT1 assuming lower CO</w:t>
      </w:r>
      <w:r w:rsidRPr="000D65CF">
        <w:rPr>
          <w:vertAlign w:val="subscript"/>
          <w:lang w:val="en-US"/>
        </w:rPr>
        <w:t>2</w:t>
      </w:r>
      <w:r w:rsidRPr="000D65CF">
        <w:rPr>
          <w:lang w:val="en-US"/>
        </w:rPr>
        <w:t xml:space="preserve"> emissions limits starting at 175gCO</w:t>
      </w:r>
      <w:r w:rsidRPr="000D65CF">
        <w:rPr>
          <w:vertAlign w:val="subscript"/>
          <w:lang w:val="en-US"/>
        </w:rPr>
        <w:t>2</w:t>
      </w:r>
      <w:r w:rsidRPr="000D65CF">
        <w:rPr>
          <w:lang w:val="en-US"/>
        </w:rPr>
        <w:t xml:space="preserve">/km </w:t>
      </w:r>
      <w:r w:rsidR="00C47701">
        <w:rPr>
          <w:lang w:val="en-US"/>
        </w:rPr>
        <w:t xml:space="preserve">between </w:t>
      </w:r>
      <w:r w:rsidRPr="000D65CF">
        <w:rPr>
          <w:lang w:val="en-US"/>
        </w:rPr>
        <w:t>2011</w:t>
      </w:r>
      <w:r w:rsidR="00C47701">
        <w:rPr>
          <w:lang w:val="en-US"/>
        </w:rPr>
        <w:t xml:space="preserve"> and 2014</w:t>
      </w:r>
      <w:r w:rsidRPr="000D65CF">
        <w:rPr>
          <w:lang w:val="en-US"/>
        </w:rPr>
        <w:t xml:space="preserve">, </w:t>
      </w:r>
      <w:proofErr w:type="gramStart"/>
      <w:r w:rsidR="00C47701">
        <w:rPr>
          <w:lang w:val="en-US"/>
        </w:rPr>
        <w:lastRenderedPageBreak/>
        <w:t>then</w:t>
      </w:r>
      <w:proofErr w:type="gramEnd"/>
      <w:r w:rsidR="00C47701">
        <w:rPr>
          <w:lang w:val="en-US"/>
        </w:rPr>
        <w:t xml:space="preserve"> </w:t>
      </w:r>
      <w:r w:rsidRPr="000D65CF">
        <w:rPr>
          <w:lang w:val="en-US"/>
        </w:rPr>
        <w:t>tighten</w:t>
      </w:r>
      <w:r w:rsidR="00C47701">
        <w:rPr>
          <w:lang w:val="en-US"/>
        </w:rPr>
        <w:t>ing</w:t>
      </w:r>
      <w:r w:rsidRPr="000D65CF">
        <w:rPr>
          <w:lang w:val="en-US"/>
        </w:rPr>
        <w:t xml:space="preserve"> every </w:t>
      </w:r>
      <w:r w:rsidR="000D7A60">
        <w:rPr>
          <w:lang w:val="en-US"/>
        </w:rPr>
        <w:t>five</w:t>
      </w:r>
      <w:r w:rsidRPr="000D65CF">
        <w:rPr>
          <w:lang w:val="en-US"/>
        </w:rPr>
        <w:t xml:space="preserve"> years by one car tax band to a lower limit of 100gCO</w:t>
      </w:r>
      <w:r w:rsidRPr="000D65CF">
        <w:rPr>
          <w:vertAlign w:val="subscript"/>
          <w:lang w:val="en-US"/>
        </w:rPr>
        <w:t>2</w:t>
      </w:r>
      <w:r w:rsidRPr="000D65CF">
        <w:rPr>
          <w:lang w:val="en-US"/>
        </w:rPr>
        <w:t xml:space="preserve"> from </w:t>
      </w:r>
      <w:r w:rsidR="00B030BC">
        <w:rPr>
          <w:lang w:val="en-US"/>
        </w:rPr>
        <w:t>2045</w:t>
      </w:r>
      <w:r w:rsidRPr="000D65CF">
        <w:rPr>
          <w:lang w:val="en-US"/>
        </w:rPr>
        <w:t xml:space="preserve">. Again, hydrogen, BEV, PHEV, B100 and E85 cars get a 50% reduction of the tax.  </w:t>
      </w:r>
      <w:r w:rsidR="00C47701">
        <w:rPr>
          <w:lang w:val="en-US"/>
        </w:rPr>
        <w:t>Second, h</w:t>
      </w:r>
      <w:r w:rsidRPr="000D65CF">
        <w:rPr>
          <w:lang w:val="en-US"/>
        </w:rPr>
        <w:t>igher top rebates of GBP3</w:t>
      </w:r>
      <w:proofErr w:type="gramStart"/>
      <w:r w:rsidRPr="000D65CF">
        <w:rPr>
          <w:lang w:val="en-US"/>
        </w:rPr>
        <w:t>,000</w:t>
      </w:r>
      <w:proofErr w:type="gramEnd"/>
      <w:r w:rsidRPr="000D65CF">
        <w:rPr>
          <w:lang w:val="en-US"/>
        </w:rPr>
        <w:t xml:space="preserve"> and GBP4,000 are simulated in the </w:t>
      </w:r>
      <w:proofErr w:type="spellStart"/>
      <w:r w:rsidRPr="000D65CF">
        <w:rPr>
          <w:lang w:val="en-US"/>
        </w:rPr>
        <w:t>feebate</w:t>
      </w:r>
      <w:proofErr w:type="spellEnd"/>
      <w:r w:rsidRPr="000D65CF">
        <w:rPr>
          <w:lang w:val="en-US"/>
        </w:rPr>
        <w:t xml:space="preserve"> variants </w:t>
      </w:r>
      <w:r w:rsidRPr="000D65CF">
        <w:rPr>
          <w:b/>
          <w:lang w:val="en-US"/>
        </w:rPr>
        <w:t>CPT2b</w:t>
      </w:r>
      <w:r w:rsidRPr="000D65CF">
        <w:rPr>
          <w:lang w:val="en-US"/>
        </w:rPr>
        <w:t xml:space="preserve"> and </w:t>
      </w:r>
      <w:r w:rsidRPr="000D65CF">
        <w:rPr>
          <w:b/>
          <w:lang w:val="en-US"/>
        </w:rPr>
        <w:t>CPT2a</w:t>
      </w:r>
      <w:r w:rsidRPr="000D65CF">
        <w:rPr>
          <w:lang w:val="en-US"/>
        </w:rPr>
        <w:t xml:space="preserve"> respectively. </w:t>
      </w:r>
      <w:r w:rsidR="00C47701">
        <w:rPr>
          <w:lang w:val="en-US"/>
        </w:rPr>
        <w:t>Third, v</w:t>
      </w:r>
      <w:r w:rsidRPr="000D65CF">
        <w:rPr>
          <w:lang w:val="en-US"/>
        </w:rPr>
        <w:t xml:space="preserve">ariants </w:t>
      </w:r>
      <w:r w:rsidRPr="000D65CF">
        <w:rPr>
          <w:b/>
          <w:lang w:val="en-US"/>
        </w:rPr>
        <w:t>CPT2b</w:t>
      </w:r>
      <w:r w:rsidRPr="000D65CF">
        <w:rPr>
          <w:lang w:val="en-US"/>
        </w:rPr>
        <w:t xml:space="preserve"> and </w:t>
      </w:r>
      <w:r w:rsidRPr="000D65CF">
        <w:rPr>
          <w:b/>
          <w:lang w:val="en-US"/>
        </w:rPr>
        <w:t>CPT3a</w:t>
      </w:r>
      <w:r w:rsidRPr="000D65CF">
        <w:rPr>
          <w:lang w:val="en-US"/>
        </w:rPr>
        <w:t xml:space="preserve"> also include</w:t>
      </w:r>
      <w:r w:rsidR="000D7A60">
        <w:rPr>
          <w:lang w:val="en-US"/>
        </w:rPr>
        <w:t>d</w:t>
      </w:r>
      <w:r w:rsidRPr="000D65CF">
        <w:rPr>
          <w:lang w:val="en-US"/>
        </w:rPr>
        <w:t xml:space="preserve"> the gradual </w:t>
      </w:r>
      <w:r w:rsidR="000D7A60">
        <w:rPr>
          <w:lang w:val="en-US"/>
        </w:rPr>
        <w:t xml:space="preserve">and linear </w:t>
      </w:r>
      <w:r w:rsidRPr="000D65CF">
        <w:rPr>
          <w:lang w:val="en-US"/>
        </w:rPr>
        <w:t>phasing in</w:t>
      </w:r>
      <w:r w:rsidR="000D7A60">
        <w:rPr>
          <w:lang w:val="en-US"/>
        </w:rPr>
        <w:t xml:space="preserve"> from 2021 to 2030 </w:t>
      </w:r>
      <w:r w:rsidRPr="000D65CF">
        <w:rPr>
          <w:lang w:val="en-US"/>
        </w:rPr>
        <w:t>of a GBP0.06/kWh</w:t>
      </w:r>
      <w:r w:rsidRPr="000D65CF">
        <w:rPr>
          <w:rStyle w:val="FootnoteReference"/>
          <w:lang w:val="en-US"/>
        </w:rPr>
        <w:footnoteReference w:id="14"/>
      </w:r>
      <w:r w:rsidRPr="000D65CF">
        <w:rPr>
          <w:lang w:val="en-US"/>
        </w:rPr>
        <w:t xml:space="preserve"> duty on road electricity – an obvious choice to test as the UK Government would be expected to introduce such a duty on a shift to road electricity as a main transport fuel. Finally, </w:t>
      </w:r>
      <w:r w:rsidR="000C04D8">
        <w:rPr>
          <w:lang w:val="en-US"/>
        </w:rPr>
        <w:t xml:space="preserve">a longer running scrappage incentive scheme such as SCR2 could potentially result in an average </w:t>
      </w:r>
      <w:r w:rsidR="000D7A60">
        <w:rPr>
          <w:lang w:val="en-US"/>
        </w:rPr>
        <w:t xml:space="preserve">expected lifetime of a car </w:t>
      </w:r>
      <w:r w:rsidR="000C04D8">
        <w:rPr>
          <w:lang w:val="en-US"/>
        </w:rPr>
        <w:t xml:space="preserve">around the cut-off point (10 years) – two years lower than the 2008 figure </w:t>
      </w:r>
      <w:r w:rsidR="003C1865">
        <w:rPr>
          <w:lang w:val="en-US"/>
        </w:rPr>
        <w:t xml:space="preserve">of 12 years </w:t>
      </w:r>
      <w:r w:rsidR="00880B2F" w:rsidRPr="000D65CF">
        <w:rPr>
          <w:lang w:val="en-US"/>
        </w:rPr>
        <w:fldChar w:fldCharType="begin"/>
      </w:r>
      <w:r w:rsidR="00C2662B">
        <w:rPr>
          <w:lang w:val="en-US"/>
        </w:rPr>
        <w:instrText xml:space="preserve"> ADDIN EN.CITE &lt;EndNote&gt;&lt;Cite&gt;&lt;Author&gt;DfT&lt;/Author&gt;&lt;Year&gt;2009&lt;/Year&gt;&lt;RecNum&gt;689&lt;/RecNum&gt;&lt;DisplayText&gt;(DfT, 2009)&lt;/DisplayText&gt;&lt;record&gt;&lt;rec-number&gt;689&lt;/rec-number&gt;&lt;foreign-keys&gt;&lt;key app="EN" db-id="a0wpest2552swgezzsnxxwsnpp9axwswpaww"&gt;689&lt;/key&gt;&lt;/foreign-keys&gt;&lt;ref-type name="Report"&gt;27&lt;/ref-type&gt;&lt;contributors&gt;&lt;authors&gt;&lt;author&gt;DfT&lt;/author&gt;&lt;/authors&gt;&lt;/contributors&gt;&lt;titles&gt;&lt;title&gt;Vehicle Licensing Statistics: 2008&lt;/title&gt;&lt;secondary-title&gt;Transport Statistics Bulletin&lt;/secondary-title&gt;&lt;/titles&gt;&lt;dates&gt;&lt;year&gt;2009&lt;/year&gt;&lt;/dates&gt;&lt;pub-location&gt;London&lt;/pub-location&gt;&lt;publisher&gt;Department for Transport (DfT), The Stationary Office&lt;/publisher&gt;&lt;urls&gt;&lt;/urls&gt;&lt;/record&gt;&lt;/Cite&gt;&lt;/EndNote&gt;</w:instrText>
      </w:r>
      <w:r w:rsidR="00880B2F" w:rsidRPr="000D65CF">
        <w:rPr>
          <w:lang w:val="en-US"/>
        </w:rPr>
        <w:fldChar w:fldCharType="separate"/>
      </w:r>
      <w:r w:rsidR="00C2662B">
        <w:rPr>
          <w:noProof/>
          <w:lang w:val="en-US"/>
        </w:rPr>
        <w:t>(</w:t>
      </w:r>
      <w:hyperlink w:anchor="_ENREF_18" w:tooltip="DfT, 2009 #689" w:history="1">
        <w:r w:rsidR="00D67197">
          <w:rPr>
            <w:noProof/>
            <w:lang w:val="en-US"/>
          </w:rPr>
          <w:t>DfT, 2009</w:t>
        </w:r>
      </w:hyperlink>
      <w:r w:rsidR="00C2662B">
        <w:rPr>
          <w:noProof/>
          <w:lang w:val="en-US"/>
        </w:rPr>
        <w:t>)</w:t>
      </w:r>
      <w:r w:rsidR="00880B2F" w:rsidRPr="000D65CF">
        <w:rPr>
          <w:lang w:val="en-US"/>
        </w:rPr>
        <w:fldChar w:fldCharType="end"/>
      </w:r>
      <w:r w:rsidR="000C04D8">
        <w:rPr>
          <w:lang w:val="en-US"/>
        </w:rPr>
        <w:t xml:space="preserve">. Therefore, we tested </w:t>
      </w:r>
      <w:r w:rsidRPr="000D65CF">
        <w:rPr>
          <w:lang w:val="en-US"/>
        </w:rPr>
        <w:t xml:space="preserve">a variant of SCR2, </w:t>
      </w:r>
      <w:proofErr w:type="gramStart"/>
      <w:r w:rsidR="000C04D8" w:rsidRPr="000C04D8">
        <w:rPr>
          <w:b/>
          <w:lang w:val="en-US"/>
        </w:rPr>
        <w:t>SCR2a</w:t>
      </w:r>
      <w:r w:rsidR="000C04D8">
        <w:rPr>
          <w:lang w:val="en-US"/>
        </w:rPr>
        <w:t>, that</w:t>
      </w:r>
      <w:proofErr w:type="gramEnd"/>
      <w:r w:rsidR="000C04D8">
        <w:rPr>
          <w:lang w:val="en-US"/>
        </w:rPr>
        <w:t xml:space="preserve"> assumed</w:t>
      </w:r>
      <w:r w:rsidRPr="000D65CF">
        <w:rPr>
          <w:lang w:val="en-US"/>
        </w:rPr>
        <w:t xml:space="preserve"> </w:t>
      </w:r>
      <w:r w:rsidR="000C04D8">
        <w:rPr>
          <w:lang w:val="en-US"/>
        </w:rPr>
        <w:t xml:space="preserve">a gradual and linear lowering of the </w:t>
      </w:r>
      <w:r w:rsidRPr="000D65CF">
        <w:rPr>
          <w:lang w:val="en-US"/>
        </w:rPr>
        <w:t xml:space="preserve">average expected car lifetime </w:t>
      </w:r>
      <w:r w:rsidR="003C1865">
        <w:rPr>
          <w:lang w:val="en-US"/>
        </w:rPr>
        <w:t xml:space="preserve">from 12 </w:t>
      </w:r>
      <w:r w:rsidR="000C04D8">
        <w:rPr>
          <w:lang w:val="en-US"/>
        </w:rPr>
        <w:t xml:space="preserve">to 10 years. As a result, </w:t>
      </w:r>
      <w:r w:rsidRPr="000D65CF">
        <w:rPr>
          <w:lang w:val="en-US"/>
        </w:rPr>
        <w:t>t</w:t>
      </w:r>
      <w:r w:rsidR="000C04D8">
        <w:rPr>
          <w:lang w:val="en-US"/>
        </w:rPr>
        <w:t>he average age of cars decreased</w:t>
      </w:r>
      <w:r w:rsidRPr="000D65CF">
        <w:rPr>
          <w:lang w:val="en-US"/>
        </w:rPr>
        <w:t xml:space="preserve"> to about 5.3 years (from 6.2 years in 2008).</w:t>
      </w:r>
    </w:p>
    <w:p w14:paraId="64C2CE76" w14:textId="77777777" w:rsidR="00697B23" w:rsidRPr="00C64BF5" w:rsidRDefault="00697B23" w:rsidP="00A018D1">
      <w:pPr>
        <w:rPr>
          <w:lang w:val="en-US"/>
        </w:rPr>
      </w:pPr>
    </w:p>
    <w:p w14:paraId="20777749" w14:textId="77777777" w:rsidR="008A36A2" w:rsidRPr="00C64BF5" w:rsidRDefault="000D65CF" w:rsidP="00697B23">
      <w:pPr>
        <w:pStyle w:val="Heading1"/>
        <w:rPr>
          <w:lang w:val="en-US"/>
        </w:rPr>
      </w:pPr>
      <w:r w:rsidRPr="000D65CF">
        <w:rPr>
          <w:lang w:val="en-US"/>
        </w:rPr>
        <w:t>4 SCENARIO MODELLING RESULTS</w:t>
      </w:r>
    </w:p>
    <w:p w14:paraId="2227ED02" w14:textId="77777777" w:rsidR="000104F1" w:rsidRPr="00C64BF5" w:rsidRDefault="000D65CF" w:rsidP="005C3A20">
      <w:pPr>
        <w:pStyle w:val="Heading2"/>
        <w:rPr>
          <w:lang w:val="en-US"/>
        </w:rPr>
      </w:pPr>
      <w:r w:rsidRPr="000D65CF">
        <w:rPr>
          <w:lang w:val="en-US"/>
        </w:rPr>
        <w:t>4.1 Accelerating low carbon technology uptake</w:t>
      </w:r>
    </w:p>
    <w:p w14:paraId="70BC361F" w14:textId="0D36150A" w:rsidR="005151ED" w:rsidRPr="00C64BF5" w:rsidRDefault="000D65CF" w:rsidP="00A018D1">
      <w:pPr>
        <w:rPr>
          <w:lang w:val="en-US"/>
        </w:rPr>
      </w:pPr>
      <w:r w:rsidRPr="000D65CF">
        <w:rPr>
          <w:lang w:val="en-US"/>
        </w:rPr>
        <w:t>The car purchase tax/</w:t>
      </w:r>
      <w:proofErr w:type="spellStart"/>
      <w:r w:rsidRPr="000D65CF">
        <w:rPr>
          <w:lang w:val="en-US"/>
        </w:rPr>
        <w:t>feebate</w:t>
      </w:r>
      <w:proofErr w:type="spellEnd"/>
      <w:r w:rsidRPr="000D65CF">
        <w:rPr>
          <w:lang w:val="en-US"/>
        </w:rPr>
        <w:t xml:space="preserve"> policies result</w:t>
      </w:r>
      <w:r w:rsidR="008B7682">
        <w:rPr>
          <w:lang w:val="en-US"/>
        </w:rPr>
        <w:t>ed</w:t>
      </w:r>
      <w:r w:rsidRPr="000D65CF">
        <w:rPr>
          <w:lang w:val="en-US"/>
        </w:rPr>
        <w:t xml:space="preserve"> in fewer cars being bought overall, up to 6% less than baseline for CPT3. This is mainly a result of the higher </w:t>
      </w:r>
      <w:r w:rsidRPr="000D65CF">
        <w:rPr>
          <w:i/>
          <w:lang w:val="en-US"/>
        </w:rPr>
        <w:t>average</w:t>
      </w:r>
      <w:r w:rsidRPr="000D65CF">
        <w:rPr>
          <w:lang w:val="en-US"/>
        </w:rPr>
        <w:t xml:space="preserve"> car purchase price that has a direct effect on household car ownership </w:t>
      </w:r>
      <w:r w:rsidR="00880B2F" w:rsidRPr="000D65CF">
        <w:rPr>
          <w:lang w:val="en-US"/>
        </w:rPr>
        <w:fldChar w:fldCharType="begin"/>
      </w:r>
      <w:r w:rsidR="00C2662B">
        <w:rPr>
          <w:lang w:val="en-US"/>
        </w:rPr>
        <w:instrText xml:space="preserve"> ADDIN EN.CITE &lt;EndNote&gt;&lt;Cite&gt;&lt;Author&gt;Brand&lt;/Author&gt;&lt;Year&gt;2010&lt;/Year&gt;&lt;RecNum&gt;752&lt;/RecNum&gt;&lt;Prefix&gt;see &lt;/Prefix&gt;&lt;Suffix&gt; for methods&lt;/Suffix&gt;&lt;DisplayText&gt;(see Brand, 2010a for methods)&lt;/DisplayText&gt;&lt;record&gt;&lt;rec-number&gt;752&lt;/rec-number&gt;&lt;foreign-keys&gt;&lt;key app="EN" db-id="a0wpest2552swgezzsnxxwsnpp9axwswpaww"&gt;752&lt;/key&gt;&lt;/foreign-keys&gt;&lt;ref-type name="Report"&gt;27&lt;/ref-type&gt;&lt;contributors&gt;&lt;authors&gt;&lt;author&gt;Brand, C.&lt;/author&gt;&lt;/authors&gt;&lt;/contributors&gt;&lt;titles&gt;&lt;title&gt;UK Transport Carbon Model: Reference Guide v1.0&lt;/title&gt;&lt;/titles&gt;&lt;dates&gt;&lt;year&gt;2010&lt;/year&gt;&lt;/dates&gt;&lt;pub-location&gt;Oxford&lt;/pub-location&gt;&lt;publisher&gt;UK Energy Research Centre, Energy Demand Theme&lt;/publisher&gt;&lt;urls&gt;&lt;/urls&gt;&lt;/record&gt;&lt;/Cite&gt;&lt;/EndNote&gt;</w:instrText>
      </w:r>
      <w:r w:rsidR="00880B2F" w:rsidRPr="000D65CF">
        <w:rPr>
          <w:lang w:val="en-US"/>
        </w:rPr>
        <w:fldChar w:fldCharType="separate"/>
      </w:r>
      <w:r w:rsidR="00C2662B">
        <w:rPr>
          <w:noProof/>
          <w:lang w:val="en-US"/>
        </w:rPr>
        <w:t>(</w:t>
      </w:r>
      <w:hyperlink w:anchor="_ENREF_9" w:tooltip="Brand, 2010 #752" w:history="1">
        <w:r w:rsidR="00D67197">
          <w:rPr>
            <w:noProof/>
            <w:lang w:val="en-US"/>
          </w:rPr>
          <w:t>see Brand, 2010a for methods</w:t>
        </w:r>
      </w:hyperlink>
      <w:r w:rsidR="00C2662B">
        <w:rPr>
          <w:noProof/>
          <w:lang w:val="en-US"/>
        </w:rPr>
        <w:t>)</w:t>
      </w:r>
      <w:r w:rsidR="00880B2F" w:rsidRPr="000D65CF">
        <w:rPr>
          <w:lang w:val="en-US"/>
        </w:rPr>
        <w:fldChar w:fldCharType="end"/>
      </w:r>
      <w:r w:rsidRPr="000D65CF">
        <w:rPr>
          <w:lang w:val="en-US"/>
        </w:rPr>
        <w:t>. As expected, th</w:t>
      </w:r>
      <w:r w:rsidR="008B7682">
        <w:rPr>
          <w:lang w:val="en-US"/>
        </w:rPr>
        <w:t>e scrappage rebate policies had</w:t>
      </w:r>
      <w:r w:rsidRPr="000D65CF">
        <w:rPr>
          <w:lang w:val="en-US"/>
        </w:rPr>
        <w:t xml:space="preserve"> the reverse effect of </w:t>
      </w:r>
      <w:r w:rsidRPr="000D65CF">
        <w:rPr>
          <w:i/>
          <w:lang w:val="en-US"/>
        </w:rPr>
        <w:t>increased</w:t>
      </w:r>
      <w:r w:rsidRPr="000D65CF">
        <w:rPr>
          <w:lang w:val="en-US"/>
        </w:rPr>
        <w:t xml:space="preserve"> car ownership, in particular when accounting for reduced vehicle lifetimes (SCR2a) which result in 18% higher new car purchases than in REF (</w:t>
      </w:r>
      <w:r w:rsidR="001A38D3">
        <w:fldChar w:fldCharType="begin"/>
      </w:r>
      <w:r w:rsidR="001A38D3">
        <w:instrText xml:space="preserve"> REF _Ref287966650 \h  \* MERGEFORMAT </w:instrText>
      </w:r>
      <w:r w:rsidR="001A38D3">
        <w:fldChar w:fldCharType="separate"/>
      </w:r>
      <w:r w:rsidR="007321D2" w:rsidRPr="007321D2">
        <w:rPr>
          <w:lang w:val="en-US"/>
        </w:rPr>
        <w:t>Figure 4</w:t>
      </w:r>
      <w:r w:rsidR="001A38D3">
        <w:fldChar w:fldCharType="end"/>
      </w:r>
      <w:r w:rsidRPr="000D65CF">
        <w:rPr>
          <w:lang w:val="en-US"/>
        </w:rPr>
        <w:t xml:space="preserve">). The main effect of </w:t>
      </w:r>
      <w:r w:rsidR="005E15D4">
        <w:rPr>
          <w:lang w:val="en-US"/>
        </w:rPr>
        <w:t xml:space="preserve">the low ambition scrappage rebate scheme (SCR1) </w:t>
      </w:r>
      <w:r w:rsidRPr="000D65CF">
        <w:rPr>
          <w:lang w:val="en-US"/>
        </w:rPr>
        <w:t xml:space="preserve">was a temporary increase in car purchasing of about 500,000 cars, followed by a drop of roughly the same magnitude and length. This is </w:t>
      </w:r>
      <w:r w:rsidR="005E15D4">
        <w:rPr>
          <w:lang w:val="en-US"/>
        </w:rPr>
        <w:t>in line with observed registration figures during the UK Scrappage Incentive Scheme</w:t>
      </w:r>
      <w:r w:rsidRPr="000D65CF">
        <w:rPr>
          <w:lang w:val="en-US"/>
        </w:rPr>
        <w:t xml:space="preserve"> </w:t>
      </w:r>
      <w:r w:rsidR="00880B2F" w:rsidRPr="000D65CF">
        <w:rPr>
          <w:lang w:val="en-US"/>
        </w:rPr>
        <w:fldChar w:fldCharType="begin"/>
      </w:r>
      <w:r w:rsidR="00C2662B">
        <w:rPr>
          <w:lang w:val="en-US"/>
        </w:rPr>
        <w:instrText xml:space="preserve"> ADDIN EN.CITE &lt;EndNote&gt;&lt;Cite&gt;&lt;Author&gt;SMMT&lt;/Author&gt;&lt;Year&gt;2010&lt;/Year&gt;&lt;RecNum&gt;833&lt;/RecNum&gt;&lt;DisplayText&gt;(SMMT, 2010)&lt;/DisplayText&gt;&lt;record&gt;&lt;rec-number&gt;833&lt;/rec-number&gt;&lt;foreign-keys&gt;&lt;key app="EN" db-id="a0wpest2552swgezzsnxxwsnpp9axwswpaww"&gt;833&lt;/key&gt;&lt;/foreign-keys&gt;&lt;ref-type name="Web Page"&gt;12&lt;/ref-type&gt;&lt;contributors&gt;&lt;authors&gt;&lt;author&gt;SMMT&lt;/author&gt;&lt;/authors&gt;&lt;/contributors&gt;&lt;titles&gt;&lt;title&gt;Scrappage scheme comes to an end&lt;/title&gt;&lt;/titles&gt;&lt;number&gt;11/02/2011&lt;/number&gt;&lt;dates&gt;&lt;year&gt;2010&lt;/year&gt;&lt;/dates&gt;&lt;pub-location&gt;London&lt;/pub-location&gt;&lt;publisher&gt;Society of Motor Manufacturers and Traders (SMMT)&lt;/publisher&gt;&lt;urls&gt;&lt;related-urls&gt;&lt;url&gt;http://www.smmt.co.uk/2010/03/scrappage-scheme-comes-to-an-end/&lt;/url&gt;&lt;/related-urls&gt;&lt;/urls&gt;&lt;/record&gt;&lt;/Cite&gt;&lt;/EndNote&gt;</w:instrText>
      </w:r>
      <w:r w:rsidR="00880B2F" w:rsidRPr="000D65CF">
        <w:rPr>
          <w:lang w:val="en-US"/>
        </w:rPr>
        <w:fldChar w:fldCharType="separate"/>
      </w:r>
      <w:r w:rsidR="00C2662B">
        <w:rPr>
          <w:noProof/>
          <w:lang w:val="en-US"/>
        </w:rPr>
        <w:t>(</w:t>
      </w:r>
      <w:hyperlink w:anchor="_ENREF_69" w:tooltip="SMMT, 2010 #833" w:history="1">
        <w:r w:rsidR="00D67197">
          <w:rPr>
            <w:noProof/>
            <w:lang w:val="en-US"/>
          </w:rPr>
          <w:t>SMMT, 2010</w:t>
        </w:r>
      </w:hyperlink>
      <w:r w:rsidR="00C2662B">
        <w:rPr>
          <w:noProof/>
          <w:lang w:val="en-US"/>
        </w:rPr>
        <w:t>)</w:t>
      </w:r>
      <w:r w:rsidR="00880B2F" w:rsidRPr="000D65CF">
        <w:rPr>
          <w:lang w:val="en-US"/>
        </w:rPr>
        <w:fldChar w:fldCharType="end"/>
      </w:r>
      <w:r w:rsidR="005E15D4">
        <w:rPr>
          <w:lang w:val="en-US"/>
        </w:rPr>
        <w:t xml:space="preserve"> which SCR1 is modeled on</w:t>
      </w:r>
      <w:r w:rsidRPr="000D65CF">
        <w:rPr>
          <w:lang w:val="en-US"/>
        </w:rPr>
        <w:t xml:space="preserve">. In contrast, the vehicle excise policies </w:t>
      </w:r>
      <w:r w:rsidR="008B7682">
        <w:rPr>
          <w:lang w:val="en-US"/>
        </w:rPr>
        <w:t>had</w:t>
      </w:r>
      <w:r w:rsidRPr="000D65CF">
        <w:rPr>
          <w:lang w:val="en-US"/>
        </w:rPr>
        <w:t xml:space="preserve"> little effect on </w:t>
      </w:r>
      <w:r w:rsidRPr="000D65CF">
        <w:rPr>
          <w:i/>
          <w:lang w:val="en-US"/>
        </w:rPr>
        <w:t>total</w:t>
      </w:r>
      <w:r w:rsidRPr="000D65CF">
        <w:rPr>
          <w:lang w:val="en-US"/>
        </w:rPr>
        <w:t xml:space="preserve"> car ownership.</w:t>
      </w:r>
    </w:p>
    <w:p w14:paraId="7F753FA4" w14:textId="77777777" w:rsidR="00451A22" w:rsidRPr="00C64BF5" w:rsidRDefault="00451A22" w:rsidP="00A018D1">
      <w:pPr>
        <w:rPr>
          <w:lang w:val="en-US"/>
        </w:rPr>
      </w:pPr>
    </w:p>
    <w:p w14:paraId="5017647F" w14:textId="77777777" w:rsidR="00E272CD" w:rsidRPr="00C64BF5" w:rsidRDefault="00061FDF" w:rsidP="005C3A20">
      <w:pPr>
        <w:keepNext/>
        <w:jc w:val="center"/>
        <w:rPr>
          <w:lang w:val="en-US"/>
        </w:rPr>
      </w:pPr>
      <w:r>
        <w:rPr>
          <w:noProof/>
          <w:lang w:val="en-GB" w:eastAsia="zh-CN"/>
        </w:rPr>
        <w:lastRenderedPageBreak/>
        <w:drawing>
          <wp:inline distT="0" distB="0" distL="0" distR="0" wp14:anchorId="0FD83A7E" wp14:editId="7548B795">
            <wp:extent cx="5760000" cy="3844800"/>
            <wp:effectExtent l="0" t="0" r="0" b="0"/>
            <wp:docPr id="1" name="Chart 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2C7747F6" w14:textId="77777777" w:rsidR="00E272CD" w:rsidRPr="00C64BF5" w:rsidRDefault="00E272CD" w:rsidP="008672D9">
      <w:pPr>
        <w:pStyle w:val="Caption"/>
      </w:pPr>
      <w:bookmarkStart w:id="5" w:name="_Ref287966650"/>
      <w:r w:rsidRPr="00C64BF5">
        <w:t xml:space="preserve">Figure </w:t>
      </w:r>
      <w:r w:rsidR="00880B2F">
        <w:fldChar w:fldCharType="begin"/>
      </w:r>
      <w:r w:rsidR="000A64E7">
        <w:instrText xml:space="preserve"> SEQ Figure \* ARABIC </w:instrText>
      </w:r>
      <w:r w:rsidR="00880B2F">
        <w:fldChar w:fldCharType="separate"/>
      </w:r>
      <w:r w:rsidR="003C4C97">
        <w:rPr>
          <w:noProof/>
        </w:rPr>
        <w:t>4</w:t>
      </w:r>
      <w:r w:rsidR="00880B2F">
        <w:rPr>
          <w:noProof/>
        </w:rPr>
        <w:fldChar w:fldCharType="end"/>
      </w:r>
      <w:bookmarkEnd w:id="5"/>
      <w:r w:rsidR="000D65CF" w:rsidRPr="000D65CF">
        <w:t>: Scenario comparison of the number of new cars by fuel and propulsion technology (2008, 2020 and 2050)</w:t>
      </w:r>
    </w:p>
    <w:p w14:paraId="77106A73" w14:textId="7C3C29D7" w:rsidR="008672D9" w:rsidRPr="00C64BF5" w:rsidRDefault="000D65CF" w:rsidP="008672D9">
      <w:pPr>
        <w:rPr>
          <w:lang w:val="en-US"/>
        </w:rPr>
      </w:pPr>
      <w:r w:rsidRPr="000D65CF">
        <w:rPr>
          <w:lang w:val="en-US"/>
        </w:rPr>
        <w:t xml:space="preserve">In terms of the technology make-up of the new car fleet, the </w:t>
      </w:r>
      <w:proofErr w:type="spellStart"/>
      <w:r w:rsidRPr="000D65CF">
        <w:rPr>
          <w:lang w:val="en-US"/>
        </w:rPr>
        <w:t>feebate</w:t>
      </w:r>
      <w:proofErr w:type="spellEnd"/>
      <w:r w:rsidRPr="000D65CF">
        <w:rPr>
          <w:lang w:val="en-US"/>
        </w:rPr>
        <w:t xml:space="preserve"> (CPT2, CPT3) and ‘high’ VED schemes </w:t>
      </w:r>
      <w:r w:rsidR="008B7682">
        <w:rPr>
          <w:lang w:val="en-US"/>
        </w:rPr>
        <w:t>had</w:t>
      </w:r>
      <w:r w:rsidRPr="000D65CF">
        <w:rPr>
          <w:lang w:val="en-US"/>
        </w:rPr>
        <w:t xml:space="preserve"> the biggest impact on accelerating low carbon technology uptake (</w:t>
      </w:r>
      <w:r w:rsidR="001A38D3">
        <w:fldChar w:fldCharType="begin"/>
      </w:r>
      <w:r w:rsidR="001A38D3">
        <w:instrText xml:space="preserve"> REF _Ref287966650 \h  \* MERGEFORMAT </w:instrText>
      </w:r>
      <w:r w:rsidR="001A38D3">
        <w:fldChar w:fldCharType="separate"/>
      </w:r>
      <w:r w:rsidR="00037E57" w:rsidRPr="00037E57">
        <w:rPr>
          <w:lang w:val="en-US"/>
        </w:rPr>
        <w:t>Figure 4</w:t>
      </w:r>
      <w:r w:rsidR="001A38D3">
        <w:fldChar w:fldCharType="end"/>
      </w:r>
      <w:r w:rsidRPr="000D65CF">
        <w:rPr>
          <w:lang w:val="en-US"/>
        </w:rPr>
        <w:t xml:space="preserve">). By 2020, diesel </w:t>
      </w:r>
      <w:r w:rsidR="008B7682">
        <w:rPr>
          <w:lang w:val="en-US"/>
        </w:rPr>
        <w:t xml:space="preserve">was modeled to </w:t>
      </w:r>
      <w:r w:rsidRPr="000D65CF">
        <w:rPr>
          <w:lang w:val="en-US"/>
        </w:rPr>
        <w:t xml:space="preserve">overtake gasoline as the main choice of fuel for new cars, and between 1% (REF, CPT1, SCR1, </w:t>
      </w:r>
      <w:proofErr w:type="gramStart"/>
      <w:r w:rsidRPr="000D65CF">
        <w:rPr>
          <w:lang w:val="en-US"/>
        </w:rPr>
        <w:t>VED1</w:t>
      </w:r>
      <w:proofErr w:type="gramEnd"/>
      <w:r w:rsidRPr="000D65CF">
        <w:rPr>
          <w:lang w:val="en-US"/>
        </w:rPr>
        <w:t xml:space="preserve">) and 8% (CPT3) of new cars </w:t>
      </w:r>
      <w:r w:rsidR="00EE46D9">
        <w:rPr>
          <w:lang w:val="en-US"/>
        </w:rPr>
        <w:t>would be</w:t>
      </w:r>
      <w:r w:rsidRPr="000D65CF">
        <w:rPr>
          <w:lang w:val="en-US"/>
        </w:rPr>
        <w:t xml:space="preserve"> plugged-in (BEV, P</w:t>
      </w:r>
      <w:r w:rsidR="00EE46D9">
        <w:rPr>
          <w:lang w:val="en-US"/>
        </w:rPr>
        <w:t xml:space="preserve">HEV). While </w:t>
      </w:r>
      <w:r w:rsidR="005E1A9E">
        <w:rPr>
          <w:lang w:val="en-US"/>
        </w:rPr>
        <w:t xml:space="preserve">in the Reference case </w:t>
      </w:r>
      <w:r w:rsidR="00EE46D9">
        <w:rPr>
          <w:lang w:val="en-US"/>
        </w:rPr>
        <w:t>plugged-in cars made</w:t>
      </w:r>
      <w:r w:rsidRPr="000D65CF">
        <w:rPr>
          <w:lang w:val="en-US"/>
        </w:rPr>
        <w:t xml:space="preserve"> up only 6% and 13% of new cars in 2030 and 2050 respectively, their </w:t>
      </w:r>
      <w:r w:rsidR="00EE46D9">
        <w:rPr>
          <w:lang w:val="en-US"/>
        </w:rPr>
        <w:t>share of new car stock increased</w:t>
      </w:r>
      <w:r w:rsidRPr="000D65CF">
        <w:rPr>
          <w:lang w:val="en-US"/>
        </w:rPr>
        <w:t xml:space="preserve"> to up to 33% (CPT3) </w:t>
      </w:r>
      <w:r w:rsidR="005E1A9E">
        <w:rPr>
          <w:lang w:val="en-US"/>
        </w:rPr>
        <w:t xml:space="preserve">in </w:t>
      </w:r>
      <w:r w:rsidRPr="000D65CF">
        <w:rPr>
          <w:lang w:val="en-US"/>
        </w:rPr>
        <w:t xml:space="preserve">2030 and 69% (CPT3) </w:t>
      </w:r>
      <w:r w:rsidR="005E1A9E">
        <w:rPr>
          <w:lang w:val="en-US"/>
        </w:rPr>
        <w:t>in</w:t>
      </w:r>
      <w:r w:rsidRPr="000D65CF">
        <w:rPr>
          <w:lang w:val="en-US"/>
        </w:rPr>
        <w:t xml:space="preserve"> 2050. By comparing the </w:t>
      </w:r>
      <w:proofErr w:type="spellStart"/>
      <w:r w:rsidRPr="000D65CF">
        <w:rPr>
          <w:lang w:val="en-US"/>
        </w:rPr>
        <w:t>feebate</w:t>
      </w:r>
      <w:proofErr w:type="spellEnd"/>
      <w:r w:rsidRPr="000D65CF">
        <w:rPr>
          <w:lang w:val="en-US"/>
        </w:rPr>
        <w:t xml:space="preserve"> schemes with and without duty on electric road fuel it </w:t>
      </w:r>
      <w:r w:rsidR="00EE46D9">
        <w:rPr>
          <w:lang w:val="en-US"/>
        </w:rPr>
        <w:t>emerged</w:t>
      </w:r>
      <w:r w:rsidRPr="000D65CF">
        <w:rPr>
          <w:lang w:val="en-US"/>
        </w:rPr>
        <w:t xml:space="preserve"> </w:t>
      </w:r>
      <w:r w:rsidR="00EE46D9">
        <w:rPr>
          <w:lang w:val="en-US"/>
        </w:rPr>
        <w:t>that the additional duty reduced</w:t>
      </w:r>
      <w:r w:rsidR="005E1A9E">
        <w:rPr>
          <w:lang w:val="en-US"/>
        </w:rPr>
        <w:t xml:space="preserve"> the acceleration for BEV but conversely increased it for PHEV</w:t>
      </w:r>
      <w:r w:rsidRPr="000D65CF">
        <w:rPr>
          <w:lang w:val="en-US"/>
        </w:rPr>
        <w:t xml:space="preserve">, with plugged-in cars making up </w:t>
      </w:r>
      <w:r w:rsidR="005E1A9E">
        <w:rPr>
          <w:lang w:val="en-US"/>
        </w:rPr>
        <w:t>65</w:t>
      </w:r>
      <w:r w:rsidRPr="000D65CF">
        <w:rPr>
          <w:lang w:val="en-US"/>
        </w:rPr>
        <w:t>% in 2050 with a</w:t>
      </w:r>
      <w:r w:rsidR="005E1A9E">
        <w:rPr>
          <w:lang w:val="en-US"/>
        </w:rPr>
        <w:t>n</w:t>
      </w:r>
      <w:r w:rsidRPr="000D65CF">
        <w:rPr>
          <w:lang w:val="en-US"/>
        </w:rPr>
        <w:t xml:space="preserve"> electric fuel duty (CPT3</w:t>
      </w:r>
      <w:r w:rsidR="005E1A9E">
        <w:rPr>
          <w:lang w:val="en-US"/>
        </w:rPr>
        <w:t>a</w:t>
      </w:r>
      <w:r w:rsidRPr="000D65CF">
        <w:rPr>
          <w:lang w:val="en-US"/>
        </w:rPr>
        <w:t>). In contrast, whereas the road tax (VED) policies achieve</w:t>
      </w:r>
      <w:r w:rsidR="00EE46D9">
        <w:rPr>
          <w:lang w:val="en-US"/>
        </w:rPr>
        <w:t>d</w:t>
      </w:r>
      <w:r w:rsidRPr="000D65CF">
        <w:rPr>
          <w:lang w:val="en-US"/>
        </w:rPr>
        <w:t xml:space="preserve"> up to 29% penetration of plugged-in cars by </w:t>
      </w:r>
      <w:r w:rsidR="00EE46D9">
        <w:rPr>
          <w:lang w:val="en-US"/>
        </w:rPr>
        <w:t>2050, the scrappage schemes had</w:t>
      </w:r>
      <w:r w:rsidRPr="000D65CF">
        <w:rPr>
          <w:lang w:val="en-US"/>
        </w:rPr>
        <w:t xml:space="preserve"> only a moderate effect on technology uptake, mainly increasing the share of diesel and BEV cars in the mix.</w:t>
      </w:r>
    </w:p>
    <w:p w14:paraId="4BD0C5EC" w14:textId="77777777" w:rsidR="006302AE" w:rsidRPr="00C64BF5" w:rsidRDefault="006302AE" w:rsidP="008672D9">
      <w:pPr>
        <w:rPr>
          <w:lang w:val="en-US"/>
        </w:rPr>
      </w:pPr>
    </w:p>
    <w:p w14:paraId="2345CA39" w14:textId="30E2DF8C" w:rsidR="00A16232" w:rsidRPr="00C64BF5" w:rsidRDefault="00CC735A" w:rsidP="008672D9">
      <w:pPr>
        <w:rPr>
          <w:lang w:val="en-US"/>
        </w:rPr>
      </w:pPr>
      <w:r>
        <w:rPr>
          <w:lang w:val="en-US"/>
        </w:rPr>
        <w:t xml:space="preserve">The modeled evolution of </w:t>
      </w:r>
      <w:r w:rsidR="000D65CF" w:rsidRPr="000D65CF">
        <w:rPr>
          <w:lang w:val="en-US"/>
        </w:rPr>
        <w:t xml:space="preserve">new car market shares </w:t>
      </w:r>
      <w:r>
        <w:rPr>
          <w:lang w:val="en-US"/>
        </w:rPr>
        <w:t>by CO</w:t>
      </w:r>
      <w:r w:rsidRPr="00411CE1">
        <w:rPr>
          <w:vertAlign w:val="subscript"/>
          <w:lang w:val="en-US"/>
        </w:rPr>
        <w:t>2</w:t>
      </w:r>
      <w:r>
        <w:rPr>
          <w:lang w:val="en-US"/>
        </w:rPr>
        <w:t xml:space="preserve"> band </w:t>
      </w:r>
      <w:r w:rsidR="000D65CF" w:rsidRPr="000D65CF">
        <w:rPr>
          <w:lang w:val="en-US"/>
        </w:rPr>
        <w:t xml:space="preserve">for </w:t>
      </w:r>
      <w:r>
        <w:rPr>
          <w:lang w:val="en-US"/>
        </w:rPr>
        <w:t xml:space="preserve">variant b of the </w:t>
      </w:r>
      <w:r w:rsidR="000D65CF" w:rsidRPr="000D65CF">
        <w:rPr>
          <w:lang w:val="en-US"/>
        </w:rPr>
        <w:t>‘medium’ a</w:t>
      </w:r>
      <w:r>
        <w:rPr>
          <w:lang w:val="en-US"/>
        </w:rPr>
        <w:t xml:space="preserve">mbition </w:t>
      </w:r>
      <w:proofErr w:type="spellStart"/>
      <w:r>
        <w:rPr>
          <w:lang w:val="en-US"/>
        </w:rPr>
        <w:t>feebate</w:t>
      </w:r>
      <w:proofErr w:type="spellEnd"/>
      <w:r>
        <w:rPr>
          <w:lang w:val="en-US"/>
        </w:rPr>
        <w:t xml:space="preserve"> policy is shown in </w:t>
      </w:r>
      <w:r w:rsidR="00880B2F" w:rsidRPr="000D65CF">
        <w:rPr>
          <w:lang w:val="en-US"/>
        </w:rPr>
        <w:fldChar w:fldCharType="begin"/>
      </w:r>
      <w:r w:rsidRPr="000D65CF">
        <w:rPr>
          <w:lang w:val="en-US"/>
        </w:rPr>
        <w:instrText xml:space="preserve"> REF _Ref299438858 \h </w:instrText>
      </w:r>
      <w:r w:rsidR="00880B2F" w:rsidRPr="000D65CF">
        <w:rPr>
          <w:lang w:val="en-US"/>
        </w:rPr>
      </w:r>
      <w:r w:rsidR="00880B2F" w:rsidRPr="000D65CF">
        <w:rPr>
          <w:lang w:val="en-US"/>
        </w:rPr>
        <w:fldChar w:fldCharType="separate"/>
      </w:r>
      <w:proofErr w:type="spellStart"/>
      <w:r w:rsidRPr="00C64BF5">
        <w:t>Figure</w:t>
      </w:r>
      <w:proofErr w:type="spellEnd"/>
      <w:r w:rsidRPr="00C64BF5">
        <w:t xml:space="preserve"> </w:t>
      </w:r>
      <w:r>
        <w:rPr>
          <w:noProof/>
        </w:rPr>
        <w:t>5</w:t>
      </w:r>
      <w:r w:rsidR="00880B2F" w:rsidRPr="000D65CF">
        <w:rPr>
          <w:lang w:val="en-US"/>
        </w:rPr>
        <w:fldChar w:fldCharType="end"/>
      </w:r>
      <w:r w:rsidR="000D65CF" w:rsidRPr="000D65CF">
        <w:rPr>
          <w:lang w:val="en-US"/>
        </w:rPr>
        <w:t xml:space="preserve">. The general trend over time </w:t>
      </w:r>
      <w:r w:rsidR="002531EC">
        <w:rPr>
          <w:lang w:val="en-US"/>
        </w:rPr>
        <w:t xml:space="preserve">(from bottom to top) suggests a marked shift towards </w:t>
      </w:r>
      <w:r w:rsidR="000D65CF" w:rsidRPr="000D65CF">
        <w:rPr>
          <w:lang w:val="en-US"/>
        </w:rPr>
        <w:t xml:space="preserve">lower carbon </w:t>
      </w:r>
      <w:r w:rsidR="002531EC">
        <w:rPr>
          <w:lang w:val="en-US"/>
        </w:rPr>
        <w:t>cars</w:t>
      </w:r>
      <w:r w:rsidR="000D65CF" w:rsidRPr="000D65CF">
        <w:rPr>
          <w:lang w:val="en-US"/>
        </w:rPr>
        <w:t>, with 7% (2020), 21% (2030) and 42% (2050) of new cars rated as below 80gCO</w:t>
      </w:r>
      <w:r w:rsidR="000D65CF" w:rsidRPr="000D65CF">
        <w:rPr>
          <w:vertAlign w:val="subscript"/>
          <w:lang w:val="en-US"/>
        </w:rPr>
        <w:t>2</w:t>
      </w:r>
      <w:r w:rsidR="000D65CF" w:rsidRPr="000D65CF">
        <w:rPr>
          <w:lang w:val="en-US"/>
        </w:rPr>
        <w:t xml:space="preserve">/km. It is worth keeping in mind that this shift towards </w:t>
      </w:r>
      <w:r w:rsidR="002531EC">
        <w:rPr>
          <w:lang w:val="en-US"/>
        </w:rPr>
        <w:t xml:space="preserve">more low carbon cars </w:t>
      </w:r>
      <w:r w:rsidR="000D65CF" w:rsidRPr="000D65CF">
        <w:rPr>
          <w:lang w:val="en-US"/>
        </w:rPr>
        <w:t>also happen</w:t>
      </w:r>
      <w:r w:rsidR="00411CE1">
        <w:rPr>
          <w:lang w:val="en-US"/>
        </w:rPr>
        <w:t>ed</w:t>
      </w:r>
      <w:r w:rsidR="000D65CF" w:rsidRPr="000D65CF">
        <w:rPr>
          <w:lang w:val="en-US"/>
        </w:rPr>
        <w:t xml:space="preserve"> for the </w:t>
      </w:r>
      <w:r w:rsidR="002531EC">
        <w:rPr>
          <w:lang w:val="en-US"/>
        </w:rPr>
        <w:t>REF</w:t>
      </w:r>
      <w:r w:rsidR="000D65CF" w:rsidRPr="000D65CF">
        <w:rPr>
          <w:lang w:val="en-US"/>
        </w:rPr>
        <w:t xml:space="preserve"> case, although at a </w:t>
      </w:r>
      <w:r w:rsidR="002531EC">
        <w:rPr>
          <w:lang w:val="en-US"/>
        </w:rPr>
        <w:t xml:space="preserve">much </w:t>
      </w:r>
      <w:r w:rsidR="000D65CF" w:rsidRPr="000D65CF">
        <w:rPr>
          <w:lang w:val="en-US"/>
        </w:rPr>
        <w:t>slower pace with 2% (2020), 8% (2030) and 15% (2050) of new cars below 80gCO</w:t>
      </w:r>
      <w:r w:rsidR="000D65CF" w:rsidRPr="000D65CF">
        <w:rPr>
          <w:vertAlign w:val="subscript"/>
          <w:lang w:val="en-US"/>
        </w:rPr>
        <w:t>2</w:t>
      </w:r>
      <w:r w:rsidR="000D65CF" w:rsidRPr="000D65CF">
        <w:rPr>
          <w:lang w:val="en-US"/>
        </w:rPr>
        <w:t>/km.</w:t>
      </w:r>
      <w:r w:rsidR="007B3799">
        <w:rPr>
          <w:lang w:val="en-US"/>
        </w:rPr>
        <w:t xml:space="preserve"> Further results on vehicle fleet evolution can be viewed in the supplementary material.</w:t>
      </w:r>
    </w:p>
    <w:p w14:paraId="476BBE3B" w14:textId="77777777" w:rsidR="008672D9" w:rsidRPr="00C64BF5" w:rsidRDefault="008672D9" w:rsidP="008672D9">
      <w:pPr>
        <w:rPr>
          <w:lang w:val="en-US"/>
        </w:rPr>
      </w:pPr>
    </w:p>
    <w:p w14:paraId="0B6DA8E4" w14:textId="138F9ED9" w:rsidR="008672D9" w:rsidRPr="00C64BF5" w:rsidRDefault="00BD1B2E" w:rsidP="008672D9">
      <w:pPr>
        <w:keepNext/>
        <w:jc w:val="center"/>
        <w:rPr>
          <w:lang w:val="en-US"/>
        </w:rPr>
      </w:pPr>
      <w:r>
        <w:rPr>
          <w:noProof/>
          <w:lang w:val="en-GB" w:eastAsia="zh-CN"/>
        </w:rPr>
        <w:lastRenderedPageBreak/>
        <w:drawing>
          <wp:inline distT="0" distB="0" distL="0" distR="0" wp14:anchorId="07CDB7A3" wp14:editId="7A0AA2A8">
            <wp:extent cx="5731510" cy="3582352"/>
            <wp:effectExtent l="0" t="0" r="21590" b="18415"/>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08F4E2F0" w14:textId="00EFBD40" w:rsidR="005C3A20" w:rsidRDefault="008672D9" w:rsidP="006302AE">
      <w:pPr>
        <w:pStyle w:val="Caption"/>
      </w:pPr>
      <w:bookmarkStart w:id="6" w:name="_Ref299438858"/>
      <w:r w:rsidRPr="00C64BF5">
        <w:t xml:space="preserve">Figure </w:t>
      </w:r>
      <w:r w:rsidR="00880B2F">
        <w:fldChar w:fldCharType="begin"/>
      </w:r>
      <w:r w:rsidR="000A64E7">
        <w:instrText xml:space="preserve"> SEQ Figure \* ARABIC </w:instrText>
      </w:r>
      <w:r w:rsidR="00880B2F">
        <w:fldChar w:fldCharType="separate"/>
      </w:r>
      <w:r w:rsidR="003C4C97">
        <w:rPr>
          <w:noProof/>
        </w:rPr>
        <w:t>5</w:t>
      </w:r>
      <w:r w:rsidR="00880B2F">
        <w:rPr>
          <w:noProof/>
        </w:rPr>
        <w:fldChar w:fldCharType="end"/>
      </w:r>
      <w:bookmarkEnd w:id="6"/>
      <w:r w:rsidR="000D65CF" w:rsidRPr="000D65CF">
        <w:t xml:space="preserve">: Share of new cars </w:t>
      </w:r>
      <w:r w:rsidR="00BD1B2E">
        <w:t xml:space="preserve">over time </w:t>
      </w:r>
      <w:r w:rsidR="000D65CF" w:rsidRPr="000D65CF">
        <w:t>by CO</w:t>
      </w:r>
      <w:r w:rsidR="000D65CF" w:rsidRPr="000D65CF">
        <w:rPr>
          <w:vertAlign w:val="subscript"/>
        </w:rPr>
        <w:t>2</w:t>
      </w:r>
      <w:r w:rsidR="000D65CF" w:rsidRPr="000D65CF">
        <w:t xml:space="preserve"> band </w:t>
      </w:r>
      <w:r w:rsidR="007321D2">
        <w:t xml:space="preserve">for the </w:t>
      </w:r>
      <w:r w:rsidR="000D65CF" w:rsidRPr="000D65CF">
        <w:t xml:space="preserve">‘medium’ ambition </w:t>
      </w:r>
      <w:proofErr w:type="spellStart"/>
      <w:r w:rsidR="000D65CF" w:rsidRPr="000D65CF">
        <w:t>feebate</w:t>
      </w:r>
      <w:proofErr w:type="spellEnd"/>
      <w:r w:rsidR="000D65CF" w:rsidRPr="000D65CF">
        <w:t xml:space="preserve">, variant </w:t>
      </w:r>
      <w:r w:rsidR="00BD1B2E">
        <w:t>‘</w:t>
      </w:r>
      <w:r w:rsidR="000D65CF" w:rsidRPr="000D65CF">
        <w:t>b</w:t>
      </w:r>
      <w:r w:rsidR="00BD1B2E">
        <w:t xml:space="preserve">’ </w:t>
      </w:r>
      <w:r w:rsidR="000D65CF" w:rsidRPr="000D65CF">
        <w:t>(CPT2b)</w:t>
      </w:r>
    </w:p>
    <w:p w14:paraId="7FF8171E" w14:textId="77777777" w:rsidR="003C4C97" w:rsidRPr="003C4C97" w:rsidRDefault="003C4C97" w:rsidP="003C4C97">
      <w:pPr>
        <w:rPr>
          <w:lang w:val="en-US"/>
        </w:rPr>
      </w:pPr>
    </w:p>
    <w:p w14:paraId="3CC29200" w14:textId="77777777" w:rsidR="00C167EC" w:rsidRPr="00C64BF5" w:rsidRDefault="000D65CF" w:rsidP="005C3A20">
      <w:pPr>
        <w:pStyle w:val="Heading2"/>
        <w:rPr>
          <w:lang w:val="en-US"/>
        </w:rPr>
      </w:pPr>
      <w:r w:rsidRPr="000D65CF">
        <w:rPr>
          <w:lang w:val="en-US"/>
        </w:rPr>
        <w:t>4.2 Size and rate of emissions savings</w:t>
      </w:r>
    </w:p>
    <w:p w14:paraId="0F67DAC7" w14:textId="478F90C5" w:rsidR="003C1865" w:rsidRDefault="00141CF2" w:rsidP="00A018D1">
      <w:pPr>
        <w:rPr>
          <w:lang w:val="en-US"/>
        </w:rPr>
      </w:pPr>
      <w:r>
        <w:rPr>
          <w:lang w:val="en-US"/>
        </w:rPr>
        <w:t>I</w:t>
      </w:r>
      <w:r w:rsidR="001270D4">
        <w:rPr>
          <w:lang w:val="en-US"/>
        </w:rPr>
        <w:t>n</w:t>
      </w:r>
      <w:r w:rsidR="009A2C8C">
        <w:rPr>
          <w:lang w:val="en-US"/>
        </w:rPr>
        <w:t xml:space="preserve"> the </w:t>
      </w:r>
      <w:r w:rsidR="001270D4">
        <w:rPr>
          <w:lang w:val="en-US"/>
        </w:rPr>
        <w:t>reference case (REF)</w:t>
      </w:r>
      <w:r w:rsidR="000D65CF" w:rsidRPr="000D65CF">
        <w:rPr>
          <w:lang w:val="en-US"/>
        </w:rPr>
        <w:t xml:space="preserve"> </w:t>
      </w:r>
      <w:r w:rsidR="000D65CF" w:rsidRPr="000D65CF">
        <w:rPr>
          <w:i/>
          <w:lang w:val="en-US"/>
        </w:rPr>
        <w:t>direct</w:t>
      </w:r>
      <w:r w:rsidR="000D65CF" w:rsidRPr="000D65CF">
        <w:rPr>
          <w:lang w:val="en-US"/>
        </w:rPr>
        <w:t xml:space="preserve"> emissions of CO</w:t>
      </w:r>
      <w:r w:rsidR="000D65CF" w:rsidRPr="000D65CF">
        <w:rPr>
          <w:vertAlign w:val="subscript"/>
          <w:lang w:val="en-US"/>
        </w:rPr>
        <w:t>2</w:t>
      </w:r>
      <w:r w:rsidR="000D65CF" w:rsidRPr="000D65CF">
        <w:rPr>
          <w:lang w:val="en-US"/>
        </w:rPr>
        <w:t xml:space="preserve"> from cars </w:t>
      </w:r>
      <w:r w:rsidR="009A2C8C">
        <w:rPr>
          <w:lang w:val="en-US"/>
        </w:rPr>
        <w:t>fell</w:t>
      </w:r>
      <w:r w:rsidR="000D65CF" w:rsidRPr="000D65CF">
        <w:rPr>
          <w:lang w:val="en-US"/>
        </w:rPr>
        <w:t xml:space="preserve"> from the 2008 level of 72 MtCO</w:t>
      </w:r>
      <w:r w:rsidR="000D65CF" w:rsidRPr="000D65CF">
        <w:rPr>
          <w:vertAlign w:val="subscript"/>
          <w:lang w:val="en-US"/>
        </w:rPr>
        <w:t>2</w:t>
      </w:r>
      <w:r w:rsidR="000D65CF" w:rsidRPr="000D65CF">
        <w:rPr>
          <w:lang w:val="en-US"/>
        </w:rPr>
        <w:t xml:space="preserve"> to 68 MtCO</w:t>
      </w:r>
      <w:r w:rsidR="000D65CF" w:rsidRPr="000D65CF">
        <w:rPr>
          <w:vertAlign w:val="subscript"/>
          <w:lang w:val="en-US"/>
        </w:rPr>
        <w:t>2</w:t>
      </w:r>
      <w:r w:rsidR="000D65CF" w:rsidRPr="000D65CF">
        <w:rPr>
          <w:lang w:val="en-US"/>
        </w:rPr>
        <w:t xml:space="preserve"> (2020) and 61 MtCO</w:t>
      </w:r>
      <w:r w:rsidR="000D65CF" w:rsidRPr="000D65CF">
        <w:rPr>
          <w:vertAlign w:val="subscript"/>
          <w:lang w:val="en-US"/>
        </w:rPr>
        <w:t>2</w:t>
      </w:r>
      <w:r w:rsidR="000D65CF" w:rsidRPr="000D65CF">
        <w:rPr>
          <w:lang w:val="en-US"/>
        </w:rPr>
        <w:t xml:space="preserve"> (2050)</w:t>
      </w:r>
      <w:r w:rsidR="00913713">
        <w:rPr>
          <w:lang w:val="en-US"/>
        </w:rPr>
        <w:t>, with conventional IC</w:t>
      </w:r>
      <w:r w:rsidR="00364144">
        <w:rPr>
          <w:lang w:val="en-US"/>
        </w:rPr>
        <w:t>V</w:t>
      </w:r>
      <w:r w:rsidR="00913713">
        <w:rPr>
          <w:lang w:val="en-US"/>
        </w:rPr>
        <w:t xml:space="preserve"> cars contributing 58 </w:t>
      </w:r>
      <w:r w:rsidR="00913713" w:rsidRPr="000D65CF">
        <w:rPr>
          <w:lang w:val="en-US"/>
        </w:rPr>
        <w:t>MtCO</w:t>
      </w:r>
      <w:r w:rsidR="00913713" w:rsidRPr="000D65CF">
        <w:rPr>
          <w:vertAlign w:val="subscript"/>
          <w:lang w:val="en-US"/>
        </w:rPr>
        <w:t>2</w:t>
      </w:r>
      <w:r w:rsidR="00913713">
        <w:rPr>
          <w:lang w:val="en-US"/>
        </w:rPr>
        <w:t xml:space="preserve"> and AFV cars 3 </w:t>
      </w:r>
      <w:r w:rsidR="00913713" w:rsidRPr="000D65CF">
        <w:rPr>
          <w:lang w:val="en-US"/>
        </w:rPr>
        <w:t>MtCO</w:t>
      </w:r>
      <w:r w:rsidR="00913713" w:rsidRPr="000D65CF">
        <w:rPr>
          <w:vertAlign w:val="subscript"/>
          <w:lang w:val="en-US"/>
        </w:rPr>
        <w:t>2</w:t>
      </w:r>
      <w:r w:rsidR="00913713" w:rsidRPr="00913713">
        <w:rPr>
          <w:lang w:val="en-US"/>
        </w:rPr>
        <w:t xml:space="preserve"> in 2050</w:t>
      </w:r>
      <w:r w:rsidR="00913713">
        <w:rPr>
          <w:lang w:val="en-US"/>
        </w:rPr>
        <w:t>.</w:t>
      </w:r>
      <w:r w:rsidR="004D20E8">
        <w:rPr>
          <w:rStyle w:val="FootnoteReference"/>
          <w:lang w:val="en-US"/>
        </w:rPr>
        <w:footnoteReference w:id="15"/>
      </w:r>
      <w:r w:rsidR="00913713">
        <w:rPr>
          <w:lang w:val="en-US"/>
        </w:rPr>
        <w:t xml:space="preserve"> </w:t>
      </w:r>
      <w:r w:rsidR="009A2C8C">
        <w:rPr>
          <w:lang w:val="en-US"/>
        </w:rPr>
        <w:t xml:space="preserve">While the </w:t>
      </w:r>
      <w:r w:rsidR="00FD55B5">
        <w:rPr>
          <w:lang w:val="en-US"/>
        </w:rPr>
        <w:t xml:space="preserve">post-2008 </w:t>
      </w:r>
      <w:r w:rsidR="009A2C8C">
        <w:rPr>
          <w:lang w:val="en-US"/>
        </w:rPr>
        <w:t xml:space="preserve">economic downturn </w:t>
      </w:r>
      <w:r w:rsidR="00FD55B5">
        <w:rPr>
          <w:lang w:val="en-US"/>
        </w:rPr>
        <w:t xml:space="preserve">and rising fuel costs are major factors </w:t>
      </w:r>
      <w:r w:rsidR="00A77D53">
        <w:rPr>
          <w:lang w:val="en-US"/>
        </w:rPr>
        <w:t xml:space="preserve">underlying the </w:t>
      </w:r>
      <w:r w:rsidR="00FD55B5">
        <w:rPr>
          <w:lang w:val="en-US"/>
        </w:rPr>
        <w:t>short term</w:t>
      </w:r>
      <w:r w:rsidR="00A77D53" w:rsidRPr="00A77D53">
        <w:rPr>
          <w:lang w:val="en-US"/>
        </w:rPr>
        <w:t xml:space="preserve"> </w:t>
      </w:r>
      <w:r w:rsidR="00A77D53">
        <w:rPr>
          <w:lang w:val="en-US"/>
        </w:rPr>
        <w:t>fall</w:t>
      </w:r>
      <w:r w:rsidR="00FD55B5">
        <w:rPr>
          <w:lang w:val="en-US"/>
        </w:rPr>
        <w:t>, the longer</w:t>
      </w:r>
      <w:r w:rsidR="00A77D53">
        <w:rPr>
          <w:lang w:val="en-US"/>
        </w:rPr>
        <w:t>-</w:t>
      </w:r>
      <w:r w:rsidR="00FD55B5">
        <w:rPr>
          <w:lang w:val="en-US"/>
        </w:rPr>
        <w:t xml:space="preserve">term </w:t>
      </w:r>
      <w:r w:rsidR="00A77D53">
        <w:rPr>
          <w:lang w:val="en-US"/>
        </w:rPr>
        <w:t xml:space="preserve">decrease </w:t>
      </w:r>
      <w:r w:rsidR="001270D4">
        <w:rPr>
          <w:lang w:val="en-US"/>
        </w:rPr>
        <w:t xml:space="preserve">is </w:t>
      </w:r>
      <w:r w:rsidR="00C5683C">
        <w:rPr>
          <w:lang w:val="en-US"/>
        </w:rPr>
        <w:t xml:space="preserve">largely the </w:t>
      </w:r>
      <w:r w:rsidR="001270D4">
        <w:rPr>
          <w:lang w:val="en-US"/>
        </w:rPr>
        <w:t>result</w:t>
      </w:r>
      <w:r w:rsidR="00A77D53">
        <w:rPr>
          <w:lang w:val="en-US"/>
        </w:rPr>
        <w:t xml:space="preserve"> </w:t>
      </w:r>
      <w:r w:rsidR="001270D4">
        <w:rPr>
          <w:lang w:val="en-US"/>
        </w:rPr>
        <w:t xml:space="preserve">of </w:t>
      </w:r>
      <w:r w:rsidR="000D65CF" w:rsidRPr="000D65CF">
        <w:rPr>
          <w:lang w:val="en-US"/>
        </w:rPr>
        <w:t>improvements in fuel efficiency</w:t>
      </w:r>
      <w:r w:rsidR="009A2C8C">
        <w:rPr>
          <w:lang w:val="en-US"/>
        </w:rPr>
        <w:t xml:space="preserve"> </w:t>
      </w:r>
      <w:r w:rsidR="001270D4">
        <w:rPr>
          <w:lang w:val="en-US"/>
        </w:rPr>
        <w:t xml:space="preserve">and emissions performance </w:t>
      </w:r>
      <w:r w:rsidR="000D65CF" w:rsidRPr="000D65CF">
        <w:rPr>
          <w:lang w:val="en-US"/>
        </w:rPr>
        <w:t xml:space="preserve">of </w:t>
      </w:r>
      <w:r w:rsidR="001270D4">
        <w:rPr>
          <w:lang w:val="en-US"/>
        </w:rPr>
        <w:t xml:space="preserve">new </w:t>
      </w:r>
      <w:r w:rsidR="000D65CF" w:rsidRPr="000D65CF">
        <w:rPr>
          <w:lang w:val="en-US"/>
        </w:rPr>
        <w:t>cars</w:t>
      </w:r>
      <w:r w:rsidR="001270D4">
        <w:rPr>
          <w:lang w:val="en-US"/>
        </w:rPr>
        <w:t xml:space="preserve"> penetrating the fleet</w:t>
      </w:r>
      <w:r>
        <w:rPr>
          <w:lang w:val="en-US"/>
        </w:rPr>
        <w:t xml:space="preserve"> (Section 4.1)</w:t>
      </w:r>
      <w:r w:rsidR="001270D4">
        <w:rPr>
          <w:lang w:val="en-US"/>
        </w:rPr>
        <w:t xml:space="preserve"> </w:t>
      </w:r>
      <w:r w:rsidR="00C5683C">
        <w:rPr>
          <w:lang w:val="en-US"/>
        </w:rPr>
        <w:t xml:space="preserve">and </w:t>
      </w:r>
      <w:r w:rsidR="00A77D53">
        <w:rPr>
          <w:lang w:val="en-US"/>
        </w:rPr>
        <w:t xml:space="preserve">some </w:t>
      </w:r>
      <w:r w:rsidR="000D65CF" w:rsidRPr="000D65CF">
        <w:rPr>
          <w:lang w:val="en-US"/>
        </w:rPr>
        <w:t xml:space="preserve">fuel switching to (plug-in) electric cars </w:t>
      </w:r>
      <w:r>
        <w:rPr>
          <w:lang w:val="en-US"/>
        </w:rPr>
        <w:t>(ditto)</w:t>
      </w:r>
      <w:r w:rsidR="001270D4">
        <w:rPr>
          <w:lang w:val="en-US"/>
        </w:rPr>
        <w:t xml:space="preserve">, </w:t>
      </w:r>
      <w:r w:rsidR="000D65CF" w:rsidRPr="000D65CF">
        <w:rPr>
          <w:lang w:val="en-US"/>
        </w:rPr>
        <w:t>offset</w:t>
      </w:r>
      <w:r w:rsidR="00A77D53">
        <w:rPr>
          <w:lang w:val="en-US"/>
        </w:rPr>
        <w:t>ting</w:t>
      </w:r>
      <w:r w:rsidR="000D65CF" w:rsidRPr="000D65CF">
        <w:rPr>
          <w:lang w:val="en-US"/>
        </w:rPr>
        <w:t xml:space="preserve"> the </w:t>
      </w:r>
      <w:r w:rsidR="00FD55B5">
        <w:rPr>
          <w:lang w:val="en-US"/>
        </w:rPr>
        <w:t xml:space="preserve">overall growth in the </w:t>
      </w:r>
      <w:r w:rsidR="000D65CF" w:rsidRPr="000D65CF">
        <w:rPr>
          <w:lang w:val="en-US"/>
        </w:rPr>
        <w:t xml:space="preserve">demand for </w:t>
      </w:r>
      <w:r w:rsidR="001270D4">
        <w:rPr>
          <w:lang w:val="en-US"/>
        </w:rPr>
        <w:t xml:space="preserve">car </w:t>
      </w:r>
      <w:r w:rsidR="000D65CF" w:rsidRPr="000D65CF">
        <w:rPr>
          <w:lang w:val="en-US"/>
        </w:rPr>
        <w:t>travel</w:t>
      </w:r>
      <w:r>
        <w:rPr>
          <w:lang w:val="en-US"/>
        </w:rPr>
        <w:t xml:space="preserve"> (Section 4.3)</w:t>
      </w:r>
      <w:r w:rsidR="000D65CF" w:rsidRPr="000D65CF">
        <w:rPr>
          <w:lang w:val="en-US"/>
        </w:rPr>
        <w:t>.</w:t>
      </w:r>
      <w:r w:rsidR="001270D4">
        <w:rPr>
          <w:lang w:val="en-US"/>
        </w:rPr>
        <w:t xml:space="preserve"> </w:t>
      </w:r>
      <w:r>
        <w:rPr>
          <w:lang w:val="en-US"/>
        </w:rPr>
        <w:t xml:space="preserve">The REF results can be viewed in more detail </w:t>
      </w:r>
      <w:r w:rsidR="001270D4">
        <w:rPr>
          <w:lang w:val="en-US"/>
        </w:rPr>
        <w:t>in the supplementary material.</w:t>
      </w:r>
    </w:p>
    <w:p w14:paraId="1E40B06E" w14:textId="77777777" w:rsidR="003C1865" w:rsidRDefault="003C1865" w:rsidP="00A018D1">
      <w:pPr>
        <w:rPr>
          <w:lang w:val="en-US"/>
        </w:rPr>
      </w:pPr>
    </w:p>
    <w:p w14:paraId="32BD1EEA" w14:textId="105EA8FA" w:rsidR="005C385D" w:rsidRPr="00C64BF5" w:rsidRDefault="000D65CF" w:rsidP="00A018D1">
      <w:pPr>
        <w:rPr>
          <w:lang w:val="en-US"/>
        </w:rPr>
      </w:pPr>
      <w:r w:rsidRPr="000D65CF">
        <w:rPr>
          <w:lang w:val="en-US"/>
        </w:rPr>
        <w:t xml:space="preserve">When compared to this </w:t>
      </w:r>
      <w:r w:rsidR="00141CF2">
        <w:rPr>
          <w:lang w:val="en-US"/>
        </w:rPr>
        <w:t>reference</w:t>
      </w:r>
      <w:r w:rsidRPr="000D65CF">
        <w:rPr>
          <w:lang w:val="en-US"/>
        </w:rPr>
        <w:t xml:space="preserve"> projection, the</w:t>
      </w:r>
      <w:r w:rsidR="00A46830">
        <w:rPr>
          <w:lang w:val="en-US"/>
        </w:rPr>
        <w:t xml:space="preserve"> modeled policy scenarios showed </w:t>
      </w:r>
      <w:r w:rsidR="00E86717">
        <w:rPr>
          <w:lang w:val="en-US"/>
        </w:rPr>
        <w:t xml:space="preserve">various </w:t>
      </w:r>
      <w:r w:rsidR="00A46830">
        <w:rPr>
          <w:lang w:val="en-US"/>
        </w:rPr>
        <w:t>levels of success</w:t>
      </w:r>
      <w:r w:rsidRPr="000D65CF">
        <w:rPr>
          <w:lang w:val="en-US"/>
        </w:rPr>
        <w:t xml:space="preserve"> </w:t>
      </w:r>
      <w:r w:rsidR="00A46830">
        <w:rPr>
          <w:lang w:val="en-US"/>
        </w:rPr>
        <w:t xml:space="preserve">in reducing </w:t>
      </w:r>
      <w:r w:rsidR="00A46830" w:rsidRPr="00A46830">
        <w:rPr>
          <w:i/>
          <w:lang w:val="en-US"/>
        </w:rPr>
        <w:t>direct</w:t>
      </w:r>
      <w:r w:rsidR="00A46830">
        <w:rPr>
          <w:lang w:val="en-US"/>
        </w:rPr>
        <w:t xml:space="preserve"> car CO</w:t>
      </w:r>
      <w:r w:rsidR="00A46830" w:rsidRPr="00A46830">
        <w:rPr>
          <w:vertAlign w:val="subscript"/>
          <w:lang w:val="en-US"/>
        </w:rPr>
        <w:t>2</w:t>
      </w:r>
      <w:r w:rsidR="00A46830">
        <w:rPr>
          <w:lang w:val="en-US"/>
        </w:rPr>
        <w:t xml:space="preserve"> emissions. </w:t>
      </w:r>
      <w:r w:rsidR="00E86717">
        <w:rPr>
          <w:lang w:val="en-US"/>
        </w:rPr>
        <w:t xml:space="preserve">As shown in </w:t>
      </w:r>
      <w:r w:rsidR="00E86717">
        <w:rPr>
          <w:lang w:val="en-US"/>
        </w:rPr>
        <w:fldChar w:fldCharType="begin"/>
      </w:r>
      <w:r w:rsidR="00E86717">
        <w:rPr>
          <w:lang w:val="en-US"/>
        </w:rPr>
        <w:instrText xml:space="preserve"> REF _Ref336349088 \h </w:instrText>
      </w:r>
      <w:r w:rsidR="00E86717">
        <w:rPr>
          <w:lang w:val="en-US"/>
        </w:rPr>
      </w:r>
      <w:r w:rsidR="00E86717">
        <w:rPr>
          <w:lang w:val="en-US"/>
        </w:rPr>
        <w:fldChar w:fldCharType="separate"/>
      </w:r>
      <w:proofErr w:type="spellStart"/>
      <w:r w:rsidR="00E86717">
        <w:t>Figure</w:t>
      </w:r>
      <w:proofErr w:type="spellEnd"/>
      <w:r w:rsidR="00E86717">
        <w:t xml:space="preserve"> </w:t>
      </w:r>
      <w:r w:rsidR="00E86717">
        <w:rPr>
          <w:noProof/>
        </w:rPr>
        <w:t>6</w:t>
      </w:r>
      <w:r w:rsidR="00E86717">
        <w:rPr>
          <w:lang w:val="en-US"/>
        </w:rPr>
        <w:fldChar w:fldCharType="end"/>
      </w:r>
      <w:r w:rsidR="00E86717">
        <w:rPr>
          <w:lang w:val="en-US"/>
        </w:rPr>
        <w:t>, t</w:t>
      </w:r>
      <w:r w:rsidR="00A46830">
        <w:rPr>
          <w:lang w:val="en-US"/>
        </w:rPr>
        <w:t xml:space="preserve">he </w:t>
      </w:r>
      <w:r w:rsidRPr="000D65CF">
        <w:rPr>
          <w:lang w:val="en-US"/>
        </w:rPr>
        <w:t xml:space="preserve">‘high’ </w:t>
      </w:r>
      <w:r w:rsidR="00C5683C">
        <w:rPr>
          <w:lang w:val="en-US"/>
        </w:rPr>
        <w:t xml:space="preserve">policy </w:t>
      </w:r>
      <w:r w:rsidRPr="000D65CF">
        <w:rPr>
          <w:lang w:val="en-US"/>
        </w:rPr>
        <w:t xml:space="preserve">ambition </w:t>
      </w:r>
      <w:proofErr w:type="spellStart"/>
      <w:r w:rsidRPr="000D65CF">
        <w:rPr>
          <w:lang w:val="en-US"/>
        </w:rPr>
        <w:t>feebate</w:t>
      </w:r>
      <w:proofErr w:type="spellEnd"/>
      <w:r w:rsidRPr="000D65CF">
        <w:rPr>
          <w:lang w:val="en-US"/>
        </w:rPr>
        <w:t xml:space="preserve"> (CPT3)</w:t>
      </w:r>
      <w:r w:rsidR="00A46830">
        <w:rPr>
          <w:lang w:val="en-US"/>
        </w:rPr>
        <w:t xml:space="preserve"> </w:t>
      </w:r>
      <w:r w:rsidR="00A46830" w:rsidRPr="000D65CF">
        <w:rPr>
          <w:lang w:val="en-US"/>
        </w:rPr>
        <w:t>reduc</w:t>
      </w:r>
      <w:r w:rsidR="00A46830">
        <w:rPr>
          <w:lang w:val="en-US"/>
        </w:rPr>
        <w:t>ed</w:t>
      </w:r>
      <w:r w:rsidR="00A46830" w:rsidRPr="000D65CF">
        <w:rPr>
          <w:lang w:val="en-US"/>
        </w:rPr>
        <w:t xml:space="preserve"> </w:t>
      </w:r>
      <w:r w:rsidR="00A46830" w:rsidRPr="00C5683C">
        <w:rPr>
          <w:i/>
          <w:lang w:val="en-US"/>
        </w:rPr>
        <w:t>direct</w:t>
      </w:r>
      <w:r w:rsidR="00A46830" w:rsidRPr="000D65CF">
        <w:rPr>
          <w:lang w:val="en-US"/>
        </w:rPr>
        <w:t xml:space="preserve"> emissions</w:t>
      </w:r>
      <w:r w:rsidR="00A46830">
        <w:rPr>
          <w:lang w:val="en-US"/>
        </w:rPr>
        <w:t xml:space="preserve"> </w:t>
      </w:r>
      <w:r w:rsidR="003C4C97">
        <w:rPr>
          <w:lang w:val="en-US"/>
        </w:rPr>
        <w:t>fastest and by the highest amounts</w:t>
      </w:r>
      <w:r w:rsidRPr="000D65CF">
        <w:rPr>
          <w:lang w:val="en-US"/>
        </w:rPr>
        <w:t>, saving 10% (2020), 21% (2030) and 49% (2050) of direct car CO</w:t>
      </w:r>
      <w:r w:rsidRPr="000D65CF">
        <w:rPr>
          <w:vertAlign w:val="subscript"/>
          <w:lang w:val="en-US"/>
        </w:rPr>
        <w:t>2</w:t>
      </w:r>
      <w:r w:rsidRPr="000D65CF">
        <w:rPr>
          <w:lang w:val="en-US"/>
        </w:rPr>
        <w:t xml:space="preserve"> emissions. The ‘medium’ </w:t>
      </w:r>
      <w:r w:rsidR="00C5683C">
        <w:rPr>
          <w:lang w:val="en-US"/>
        </w:rPr>
        <w:t xml:space="preserve">ambition </w:t>
      </w:r>
      <w:r w:rsidRPr="000D65CF">
        <w:rPr>
          <w:lang w:val="en-US"/>
        </w:rPr>
        <w:t>feebate</w:t>
      </w:r>
      <w:r w:rsidR="00F272EC">
        <w:rPr>
          <w:lang w:val="en-US"/>
        </w:rPr>
        <w:t>s</w:t>
      </w:r>
      <w:r w:rsidRPr="000D65CF">
        <w:rPr>
          <w:lang w:val="en-US"/>
        </w:rPr>
        <w:t xml:space="preserve"> (CPT2</w:t>
      </w:r>
      <w:r w:rsidR="00EE1301">
        <w:rPr>
          <w:lang w:val="en-US"/>
        </w:rPr>
        <w:t>/</w:t>
      </w:r>
      <w:r w:rsidR="00C5683C">
        <w:rPr>
          <w:lang w:val="en-US"/>
        </w:rPr>
        <w:t>2a</w:t>
      </w:r>
      <w:r w:rsidR="00EE1301">
        <w:rPr>
          <w:lang w:val="en-US"/>
        </w:rPr>
        <w:t>/</w:t>
      </w:r>
      <w:r w:rsidR="00C5683C">
        <w:rPr>
          <w:lang w:val="en-US"/>
        </w:rPr>
        <w:t>2b</w:t>
      </w:r>
      <w:r w:rsidRPr="000D65CF">
        <w:rPr>
          <w:lang w:val="en-US"/>
        </w:rPr>
        <w:t>) and ‘high’ road tax scheme (VED3) achieve</w:t>
      </w:r>
      <w:r w:rsidR="00F272EC">
        <w:rPr>
          <w:lang w:val="en-US"/>
        </w:rPr>
        <w:t>d</w:t>
      </w:r>
      <w:r w:rsidRPr="000D65CF">
        <w:rPr>
          <w:lang w:val="en-US"/>
        </w:rPr>
        <w:t xml:space="preserve"> about half the </w:t>
      </w:r>
      <w:r w:rsidR="00250FBE">
        <w:rPr>
          <w:lang w:val="en-US"/>
        </w:rPr>
        <w:t>direct CO</w:t>
      </w:r>
      <w:r w:rsidR="00250FBE" w:rsidRPr="00250FBE">
        <w:rPr>
          <w:vertAlign w:val="subscript"/>
          <w:lang w:val="en-US"/>
        </w:rPr>
        <w:t>2</w:t>
      </w:r>
      <w:r w:rsidR="00250FBE">
        <w:rPr>
          <w:lang w:val="en-US"/>
        </w:rPr>
        <w:t xml:space="preserve"> </w:t>
      </w:r>
      <w:r w:rsidRPr="000D65CF">
        <w:rPr>
          <w:lang w:val="en-US"/>
        </w:rPr>
        <w:t xml:space="preserve">emissions savings </w:t>
      </w:r>
      <w:r w:rsidR="004D20E8">
        <w:rPr>
          <w:lang w:val="en-US"/>
        </w:rPr>
        <w:t>when compared to CPT3</w:t>
      </w:r>
      <w:r w:rsidRPr="000D65CF">
        <w:rPr>
          <w:lang w:val="en-US"/>
        </w:rPr>
        <w:t>.</w:t>
      </w:r>
      <w:r w:rsidR="004D20E8">
        <w:rPr>
          <w:lang w:val="en-US"/>
        </w:rPr>
        <w:t xml:space="preserve"> </w:t>
      </w:r>
      <w:r w:rsidR="00250FBE" w:rsidRPr="000D65CF">
        <w:rPr>
          <w:lang w:val="en-US"/>
        </w:rPr>
        <w:t xml:space="preserve">Interestingly, adding </w:t>
      </w:r>
      <w:r w:rsidR="00250FBE">
        <w:rPr>
          <w:lang w:val="en-US"/>
        </w:rPr>
        <w:t xml:space="preserve">the electric </w:t>
      </w:r>
      <w:r w:rsidR="00250FBE" w:rsidRPr="000D65CF">
        <w:rPr>
          <w:lang w:val="en-US"/>
        </w:rPr>
        <w:t xml:space="preserve">fuel duty </w:t>
      </w:r>
      <w:r w:rsidR="00250FBE">
        <w:rPr>
          <w:lang w:val="en-US"/>
        </w:rPr>
        <w:t xml:space="preserve">in variants CPT2b and CPT3a </w:t>
      </w:r>
      <w:r w:rsidR="00250FBE" w:rsidRPr="000D65CF">
        <w:rPr>
          <w:lang w:val="en-US"/>
        </w:rPr>
        <w:t>reduce</w:t>
      </w:r>
      <w:r w:rsidR="00250FBE">
        <w:rPr>
          <w:lang w:val="en-US"/>
        </w:rPr>
        <w:t>d</w:t>
      </w:r>
      <w:r w:rsidR="00250FBE" w:rsidRPr="000D65CF">
        <w:rPr>
          <w:lang w:val="en-US"/>
        </w:rPr>
        <w:t xml:space="preserve"> the savings by </w:t>
      </w:r>
      <w:r w:rsidR="00250FBE">
        <w:rPr>
          <w:lang w:val="en-US"/>
        </w:rPr>
        <w:t>only 3</w:t>
      </w:r>
      <w:r w:rsidR="003C1865">
        <w:rPr>
          <w:lang w:val="en-US"/>
        </w:rPr>
        <w:t>-5</w:t>
      </w:r>
      <w:r w:rsidR="00250FBE">
        <w:rPr>
          <w:lang w:val="en-US"/>
        </w:rPr>
        <w:t>%</w:t>
      </w:r>
      <w:r w:rsidR="00250FBE" w:rsidRPr="000D65CF">
        <w:rPr>
          <w:lang w:val="en-US"/>
        </w:rPr>
        <w:t xml:space="preserve"> </w:t>
      </w:r>
      <w:r w:rsidR="00250FBE">
        <w:rPr>
          <w:lang w:val="en-US"/>
        </w:rPr>
        <w:t xml:space="preserve">in 2050, as relatively </w:t>
      </w:r>
      <w:r w:rsidR="00250FBE" w:rsidRPr="00250FBE">
        <w:rPr>
          <w:i/>
          <w:lang w:val="en-US"/>
        </w:rPr>
        <w:t>fewer</w:t>
      </w:r>
      <w:r w:rsidR="00250FBE">
        <w:rPr>
          <w:lang w:val="en-US"/>
        </w:rPr>
        <w:t xml:space="preserve"> BEV but </w:t>
      </w:r>
      <w:r w:rsidR="00250FBE" w:rsidRPr="00250FBE">
        <w:rPr>
          <w:i/>
          <w:lang w:val="en-US"/>
        </w:rPr>
        <w:t>more</w:t>
      </w:r>
      <w:r w:rsidR="00250FBE">
        <w:rPr>
          <w:lang w:val="en-US"/>
        </w:rPr>
        <w:t xml:space="preserve"> HEV and PHEV were purchased</w:t>
      </w:r>
      <w:r w:rsidR="00250FBE" w:rsidRPr="000D65CF">
        <w:rPr>
          <w:lang w:val="en-US"/>
        </w:rPr>
        <w:t>.</w:t>
      </w:r>
    </w:p>
    <w:p w14:paraId="56EE42C6" w14:textId="77777777" w:rsidR="00F272EC" w:rsidRDefault="00F272EC" w:rsidP="00A018D1">
      <w:pPr>
        <w:rPr>
          <w:lang w:val="en-US"/>
        </w:rPr>
      </w:pPr>
    </w:p>
    <w:p w14:paraId="0FB2E813" w14:textId="77777777" w:rsidR="003C4C97" w:rsidRDefault="00EE1301" w:rsidP="003C4C97">
      <w:pPr>
        <w:keepNext/>
      </w:pPr>
      <w:r>
        <w:rPr>
          <w:noProof/>
          <w:lang w:val="en-GB" w:eastAsia="zh-CN"/>
        </w:rPr>
        <w:lastRenderedPageBreak/>
        <w:drawing>
          <wp:inline distT="0" distB="0" distL="0" distR="0" wp14:anchorId="75537B29" wp14:editId="666DDC05">
            <wp:extent cx="5760000" cy="3600000"/>
            <wp:effectExtent l="0" t="0" r="0" b="635"/>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4A7DE242" w14:textId="2C63FBDE" w:rsidR="004D20E8" w:rsidRDefault="003C4C97" w:rsidP="003C4C97">
      <w:pPr>
        <w:pStyle w:val="Caption"/>
      </w:pPr>
      <w:bookmarkStart w:id="7" w:name="_Ref336349088"/>
      <w:r>
        <w:t xml:space="preserve">Figure </w:t>
      </w:r>
      <w:r>
        <w:fldChar w:fldCharType="begin"/>
      </w:r>
      <w:r>
        <w:instrText xml:space="preserve"> SEQ Figure \* ARABIC </w:instrText>
      </w:r>
      <w:r>
        <w:fldChar w:fldCharType="separate"/>
      </w:r>
      <w:r>
        <w:rPr>
          <w:noProof/>
        </w:rPr>
        <w:t>6</w:t>
      </w:r>
      <w:r>
        <w:fldChar w:fldCharType="end"/>
      </w:r>
      <w:bookmarkEnd w:id="7"/>
      <w:r>
        <w:t xml:space="preserve">: Direct </w:t>
      </w:r>
      <w:r w:rsidRPr="000D65CF">
        <w:t>emissions</w:t>
      </w:r>
      <w:r>
        <w:t xml:space="preserve"> of CO</w:t>
      </w:r>
      <w:r w:rsidRPr="003C4C97">
        <w:rPr>
          <w:vertAlign w:val="subscript"/>
        </w:rPr>
        <w:t>2</w:t>
      </w:r>
      <w:r>
        <w:t xml:space="preserve"> </w:t>
      </w:r>
      <w:r w:rsidRPr="000D65CF">
        <w:t>from cars for a selection of scenarios</w:t>
      </w:r>
      <w:r>
        <w:t xml:space="preserve"> against the reference case</w:t>
      </w:r>
    </w:p>
    <w:p w14:paraId="25FDF1EB" w14:textId="77777777" w:rsidR="00B348BD" w:rsidRDefault="00B348BD" w:rsidP="00A018D1">
      <w:pPr>
        <w:rPr>
          <w:lang w:val="en-US"/>
        </w:rPr>
      </w:pPr>
    </w:p>
    <w:p w14:paraId="6D2B0693" w14:textId="0916200D" w:rsidR="00C167EC" w:rsidRPr="00C64BF5" w:rsidRDefault="000D65CF" w:rsidP="00A018D1">
      <w:pPr>
        <w:rPr>
          <w:lang w:val="en-US"/>
        </w:rPr>
      </w:pPr>
      <w:r w:rsidRPr="000D65CF">
        <w:rPr>
          <w:lang w:val="en-US"/>
        </w:rPr>
        <w:t>In contrast</w:t>
      </w:r>
      <w:r w:rsidR="001D11A1">
        <w:rPr>
          <w:lang w:val="en-US"/>
        </w:rPr>
        <w:t xml:space="preserve"> to </w:t>
      </w:r>
      <w:r w:rsidR="002369F0">
        <w:rPr>
          <w:lang w:val="en-US"/>
        </w:rPr>
        <w:t xml:space="preserve">the general trend of a decline in </w:t>
      </w:r>
      <w:r w:rsidR="001D11A1" w:rsidRPr="001D11A1">
        <w:rPr>
          <w:i/>
          <w:lang w:val="en-US"/>
        </w:rPr>
        <w:t>direct</w:t>
      </w:r>
      <w:r w:rsidR="001D11A1">
        <w:rPr>
          <w:lang w:val="en-US"/>
        </w:rPr>
        <w:t xml:space="preserve"> emissions</w:t>
      </w:r>
      <w:r w:rsidRPr="000D65CF">
        <w:rPr>
          <w:lang w:val="en-US"/>
        </w:rPr>
        <w:t xml:space="preserve">, </w:t>
      </w:r>
      <w:r w:rsidRPr="000D65CF">
        <w:rPr>
          <w:i/>
          <w:lang w:val="en-US"/>
        </w:rPr>
        <w:t>total life cycle</w:t>
      </w:r>
      <w:r w:rsidRPr="000D65CF">
        <w:rPr>
          <w:lang w:val="en-US"/>
        </w:rPr>
        <w:t xml:space="preserve"> GHG emissions in the </w:t>
      </w:r>
      <w:r w:rsidR="001D11A1">
        <w:rPr>
          <w:lang w:val="en-US"/>
        </w:rPr>
        <w:t>REF</w:t>
      </w:r>
      <w:r w:rsidR="000E0689">
        <w:rPr>
          <w:lang w:val="en-US"/>
        </w:rPr>
        <w:t xml:space="preserve"> </w:t>
      </w:r>
      <w:r w:rsidRPr="000D65CF">
        <w:rPr>
          <w:lang w:val="en-US"/>
        </w:rPr>
        <w:t>case stay</w:t>
      </w:r>
      <w:r w:rsidR="000E0689">
        <w:rPr>
          <w:lang w:val="en-US"/>
        </w:rPr>
        <w:t>ed</w:t>
      </w:r>
      <w:r w:rsidRPr="000D65CF">
        <w:rPr>
          <w:lang w:val="en-US"/>
        </w:rPr>
        <w:t xml:space="preserve"> roughly constant at the 2010 level of 102 MtCO</w:t>
      </w:r>
      <w:r w:rsidRPr="000D65CF">
        <w:rPr>
          <w:vertAlign w:val="subscript"/>
          <w:lang w:val="en-US"/>
        </w:rPr>
        <w:t>2</w:t>
      </w:r>
      <w:r w:rsidRPr="000D65CF">
        <w:rPr>
          <w:lang w:val="en-US"/>
        </w:rPr>
        <w:t>e (</w:t>
      </w:r>
      <w:r w:rsidR="001A38D3">
        <w:fldChar w:fldCharType="begin"/>
      </w:r>
      <w:r w:rsidR="001A38D3">
        <w:instrText xml:space="preserve"> REF _Ref287972305 \h  \* MERGEFORMAT </w:instrText>
      </w:r>
      <w:r w:rsidR="001A38D3">
        <w:fldChar w:fldCharType="separate"/>
      </w:r>
      <w:r w:rsidR="003C4C97" w:rsidRPr="003C4C97">
        <w:rPr>
          <w:lang w:val="en-US"/>
        </w:rPr>
        <w:t>Figure 7</w:t>
      </w:r>
      <w:r w:rsidR="001A38D3">
        <w:fldChar w:fldCharType="end"/>
      </w:r>
      <w:r w:rsidRPr="000D65CF">
        <w:rPr>
          <w:lang w:val="en-US"/>
        </w:rPr>
        <w:t>)</w:t>
      </w:r>
      <w:r w:rsidR="002369F0">
        <w:rPr>
          <w:lang w:val="en-US"/>
        </w:rPr>
        <w:t xml:space="preserve">. This can be explained by a gradual increase in </w:t>
      </w:r>
      <w:r w:rsidR="002369F0" w:rsidRPr="002369F0">
        <w:rPr>
          <w:i/>
          <w:lang w:val="en-US"/>
        </w:rPr>
        <w:t>indirect</w:t>
      </w:r>
      <w:r w:rsidR="002369F0">
        <w:rPr>
          <w:lang w:val="en-US"/>
        </w:rPr>
        <w:t xml:space="preserve"> GHG emissions from </w:t>
      </w:r>
      <w:r w:rsidR="00A83F7B">
        <w:rPr>
          <w:lang w:val="en-US"/>
        </w:rPr>
        <w:t xml:space="preserve">growing demand for </w:t>
      </w:r>
      <w:r w:rsidR="002369F0">
        <w:rPr>
          <w:lang w:val="en-US"/>
        </w:rPr>
        <w:t xml:space="preserve">electricity </w:t>
      </w:r>
      <w:r w:rsidR="00A83F7B">
        <w:rPr>
          <w:lang w:val="en-US"/>
        </w:rPr>
        <w:t xml:space="preserve">as a transport fuel as well as </w:t>
      </w:r>
      <w:r w:rsidR="002369F0">
        <w:rPr>
          <w:lang w:val="en-US"/>
        </w:rPr>
        <w:t>steadily increasing car ownership levels (with higher indirect emissions)</w:t>
      </w:r>
      <w:r w:rsidRPr="000D65CF">
        <w:rPr>
          <w:lang w:val="en-US"/>
        </w:rPr>
        <w:t>.</w:t>
      </w:r>
      <w:r w:rsidR="00B348BD">
        <w:rPr>
          <w:lang w:val="en-US"/>
        </w:rPr>
        <w:t xml:space="preserve"> T</w:t>
      </w:r>
      <w:r w:rsidR="00B348BD" w:rsidRPr="000D65CF">
        <w:rPr>
          <w:lang w:val="en-US"/>
        </w:rPr>
        <w:t>he more ambitious road tax (VED) and purchase tax/</w:t>
      </w:r>
      <w:proofErr w:type="spellStart"/>
      <w:r w:rsidR="00B348BD" w:rsidRPr="000D65CF">
        <w:rPr>
          <w:lang w:val="en-US"/>
        </w:rPr>
        <w:t>feebate</w:t>
      </w:r>
      <w:proofErr w:type="spellEnd"/>
      <w:r w:rsidR="00B348BD" w:rsidRPr="000D65CF">
        <w:rPr>
          <w:lang w:val="en-US"/>
        </w:rPr>
        <w:t xml:space="preserve"> schemes show</w:t>
      </w:r>
      <w:r w:rsidR="00B348BD">
        <w:rPr>
          <w:lang w:val="en-US"/>
        </w:rPr>
        <w:t>ed</w:t>
      </w:r>
      <w:r w:rsidR="00B348BD" w:rsidRPr="000D65CF">
        <w:rPr>
          <w:lang w:val="en-US"/>
        </w:rPr>
        <w:t xml:space="preserve"> the highest overall </w:t>
      </w:r>
      <w:r w:rsidR="00B348BD" w:rsidRPr="000D65CF">
        <w:rPr>
          <w:i/>
          <w:lang w:val="en-US"/>
        </w:rPr>
        <w:t>reduction</w:t>
      </w:r>
      <w:r w:rsidR="00B348BD" w:rsidRPr="000D65CF">
        <w:rPr>
          <w:lang w:val="en-US"/>
        </w:rPr>
        <w:t xml:space="preserve"> and </w:t>
      </w:r>
      <w:r w:rsidR="00B348BD" w:rsidRPr="000D65CF">
        <w:rPr>
          <w:i/>
          <w:lang w:val="en-US"/>
        </w:rPr>
        <w:t>steepest decline</w:t>
      </w:r>
      <w:r w:rsidR="00B348BD" w:rsidRPr="000D65CF">
        <w:rPr>
          <w:lang w:val="en-US"/>
        </w:rPr>
        <w:t xml:space="preserve"> over the outlook period. By 2020, life cycle GHG emissions </w:t>
      </w:r>
      <w:r w:rsidR="00B348BD">
        <w:rPr>
          <w:lang w:val="en-US"/>
        </w:rPr>
        <w:t>were</w:t>
      </w:r>
      <w:r w:rsidR="00B348BD" w:rsidRPr="000D65CF">
        <w:rPr>
          <w:lang w:val="en-US"/>
        </w:rPr>
        <w:t xml:space="preserve"> </w:t>
      </w:r>
      <w:r w:rsidR="00B348BD">
        <w:rPr>
          <w:lang w:val="en-US"/>
        </w:rPr>
        <w:t>2.8</w:t>
      </w:r>
      <w:r w:rsidR="00B348BD" w:rsidRPr="000D65CF">
        <w:rPr>
          <w:lang w:val="en-US"/>
        </w:rPr>
        <w:t>% (VED3)</w:t>
      </w:r>
      <w:r w:rsidR="00B348BD">
        <w:rPr>
          <w:lang w:val="en-US"/>
        </w:rPr>
        <w:t>,</w:t>
      </w:r>
      <w:r w:rsidR="00B348BD" w:rsidRPr="000D65CF">
        <w:rPr>
          <w:lang w:val="en-US"/>
        </w:rPr>
        <w:t xml:space="preserve"> </w:t>
      </w:r>
      <w:r w:rsidR="00B348BD">
        <w:rPr>
          <w:lang w:val="en-US"/>
        </w:rPr>
        <w:t>2.9% (CPT2b) and 7.7</w:t>
      </w:r>
      <w:r w:rsidR="00B348BD" w:rsidRPr="000D65CF">
        <w:rPr>
          <w:lang w:val="en-US"/>
        </w:rPr>
        <w:t>% (CPT3) below baseline (REF), increasing to 10</w:t>
      </w:r>
      <w:r w:rsidR="00B348BD">
        <w:rPr>
          <w:lang w:val="en-US"/>
        </w:rPr>
        <w:t>.0</w:t>
      </w:r>
      <w:r w:rsidR="00B348BD" w:rsidRPr="000D65CF">
        <w:rPr>
          <w:lang w:val="en-US"/>
        </w:rPr>
        <w:t>% (VED3)</w:t>
      </w:r>
      <w:r w:rsidR="00B348BD">
        <w:rPr>
          <w:lang w:val="en-US"/>
        </w:rPr>
        <w:t>, 10.1% (CPT2b)</w:t>
      </w:r>
      <w:r w:rsidR="00B348BD" w:rsidRPr="000D65CF">
        <w:rPr>
          <w:lang w:val="en-US"/>
        </w:rPr>
        <w:t xml:space="preserve"> and 20</w:t>
      </w:r>
      <w:r w:rsidR="00B348BD">
        <w:rPr>
          <w:lang w:val="en-US"/>
        </w:rPr>
        <w:t>.2</w:t>
      </w:r>
      <w:r w:rsidR="00B348BD" w:rsidRPr="000D65CF">
        <w:rPr>
          <w:lang w:val="en-US"/>
        </w:rPr>
        <w:t>% (CPT3) by 2050.</w:t>
      </w:r>
      <w:r w:rsidR="00B348BD">
        <w:rPr>
          <w:lang w:val="en-US"/>
        </w:rPr>
        <w:t xml:space="preserve"> Again, </w:t>
      </w:r>
      <w:r w:rsidR="00B348BD" w:rsidRPr="000D65CF">
        <w:rPr>
          <w:lang w:val="en-US"/>
        </w:rPr>
        <w:t xml:space="preserve">adding </w:t>
      </w:r>
      <w:r w:rsidR="00B348BD">
        <w:rPr>
          <w:lang w:val="en-US"/>
        </w:rPr>
        <w:t xml:space="preserve">the electric </w:t>
      </w:r>
      <w:r w:rsidR="00B348BD" w:rsidRPr="000D65CF">
        <w:rPr>
          <w:lang w:val="en-US"/>
        </w:rPr>
        <w:t xml:space="preserve">fuel duty </w:t>
      </w:r>
      <w:r w:rsidR="00B348BD">
        <w:rPr>
          <w:lang w:val="en-US"/>
        </w:rPr>
        <w:t xml:space="preserve">in variant CPT3a </w:t>
      </w:r>
      <w:r w:rsidR="00B348BD" w:rsidRPr="000D65CF">
        <w:rPr>
          <w:lang w:val="en-US"/>
        </w:rPr>
        <w:t>reduce</w:t>
      </w:r>
      <w:r w:rsidR="00B348BD">
        <w:rPr>
          <w:lang w:val="en-US"/>
        </w:rPr>
        <w:t>d</w:t>
      </w:r>
      <w:r w:rsidR="00B348BD" w:rsidRPr="000D65CF">
        <w:rPr>
          <w:lang w:val="en-US"/>
        </w:rPr>
        <w:t xml:space="preserve"> the savings </w:t>
      </w:r>
      <w:r w:rsidR="00B348BD">
        <w:rPr>
          <w:lang w:val="en-US"/>
        </w:rPr>
        <w:t>only marginally</w:t>
      </w:r>
      <w:r w:rsidR="00B348BD" w:rsidRPr="000D65CF">
        <w:rPr>
          <w:lang w:val="en-US"/>
        </w:rPr>
        <w:t xml:space="preserve"> </w:t>
      </w:r>
      <w:r w:rsidR="00B348BD">
        <w:rPr>
          <w:lang w:val="en-US"/>
        </w:rPr>
        <w:t>in 2050.</w:t>
      </w:r>
      <w:r w:rsidR="00B348BD" w:rsidRPr="000D65CF">
        <w:rPr>
          <w:lang w:val="en-US"/>
        </w:rPr>
        <w:t xml:space="preserve"> Interestingly, the road tax (VED) regimes reduce emissions at a </w:t>
      </w:r>
      <w:r w:rsidR="00B348BD">
        <w:rPr>
          <w:lang w:val="en-US"/>
        </w:rPr>
        <w:t>slower</w:t>
      </w:r>
      <w:r w:rsidR="00B348BD" w:rsidRPr="000D65CF">
        <w:rPr>
          <w:lang w:val="en-US"/>
        </w:rPr>
        <w:t xml:space="preserve"> rate up to 2030, with similar reduction rates from about 2030.</w:t>
      </w:r>
      <w:r w:rsidRPr="000D65CF">
        <w:rPr>
          <w:lang w:val="en-US"/>
        </w:rPr>
        <w:t xml:space="preserve"> </w:t>
      </w:r>
      <w:r w:rsidR="003C1865" w:rsidRPr="000D65CF">
        <w:rPr>
          <w:lang w:val="en-US"/>
        </w:rPr>
        <w:t>Modeling</w:t>
      </w:r>
      <w:r w:rsidRPr="000D65CF">
        <w:rPr>
          <w:lang w:val="en-US"/>
        </w:rPr>
        <w:t xml:space="preserve"> of the recent scrappage scheme (SCR1, not shown) show</w:t>
      </w:r>
      <w:r w:rsidR="000E0689">
        <w:rPr>
          <w:lang w:val="en-US"/>
        </w:rPr>
        <w:t>ed</w:t>
      </w:r>
      <w:r w:rsidRPr="000D65CF">
        <w:rPr>
          <w:lang w:val="en-US"/>
        </w:rPr>
        <w:t xml:space="preserve"> a temporary </w:t>
      </w:r>
      <w:r w:rsidRPr="000D65CF">
        <w:rPr>
          <w:i/>
          <w:lang w:val="en-US"/>
        </w:rPr>
        <w:t>increase</w:t>
      </w:r>
      <w:r w:rsidRPr="000D65CF">
        <w:rPr>
          <w:lang w:val="en-US"/>
        </w:rPr>
        <w:t xml:space="preserve"> of emissions in 2009, followed by a drop in 2010 and 2011, mainly due to increasing then decreasing emissions for vehicle manufacture and scrappage. Over the three years, the scheme increase</w:t>
      </w:r>
      <w:r w:rsidR="000E0689">
        <w:rPr>
          <w:lang w:val="en-US"/>
        </w:rPr>
        <w:t>d</w:t>
      </w:r>
      <w:r w:rsidRPr="000D65CF">
        <w:rPr>
          <w:lang w:val="en-US"/>
        </w:rPr>
        <w:t xml:space="preserve"> net GHG emissions by 1.2 MtCO</w:t>
      </w:r>
      <w:r w:rsidRPr="000D65CF">
        <w:rPr>
          <w:vertAlign w:val="subscript"/>
          <w:lang w:val="en-US"/>
        </w:rPr>
        <w:t>2</w:t>
      </w:r>
      <w:r w:rsidRPr="000D65CF">
        <w:rPr>
          <w:lang w:val="en-US"/>
        </w:rPr>
        <w:t>e. Similarly, the long term scrappage scheme with lower expected car lifetimes (SCR2a) result</w:t>
      </w:r>
      <w:r w:rsidR="000E0689">
        <w:rPr>
          <w:lang w:val="en-US"/>
        </w:rPr>
        <w:t>ed</w:t>
      </w:r>
      <w:r w:rsidRPr="000D65CF">
        <w:rPr>
          <w:lang w:val="en-US"/>
        </w:rPr>
        <w:t xml:space="preserve"> in </w:t>
      </w:r>
      <w:r w:rsidRPr="000D65CF">
        <w:rPr>
          <w:i/>
          <w:lang w:val="en-US"/>
        </w:rPr>
        <w:t>higher than baseline</w:t>
      </w:r>
      <w:r w:rsidRPr="000D65CF">
        <w:rPr>
          <w:lang w:val="en-US"/>
        </w:rPr>
        <w:t xml:space="preserve"> emissions, suggesting that the higher indirect emissions from increased vehicle manufacture and scrappage are not offset by the take up of lower carbon cars shown in </w:t>
      </w:r>
      <w:r w:rsidR="001A38D3">
        <w:fldChar w:fldCharType="begin"/>
      </w:r>
      <w:r w:rsidR="001A38D3">
        <w:instrText xml:space="preserve"> REF _Ref287966650 \h  \* MERGEFORMAT </w:instrText>
      </w:r>
      <w:r w:rsidR="001A38D3">
        <w:fldChar w:fldCharType="separate"/>
      </w:r>
      <w:r w:rsidR="003C4C97" w:rsidRPr="003C4C97">
        <w:rPr>
          <w:lang w:val="en-US"/>
        </w:rPr>
        <w:t>Figure 4</w:t>
      </w:r>
      <w:r w:rsidR="001A38D3">
        <w:fldChar w:fldCharType="end"/>
      </w:r>
      <w:r w:rsidR="000E0689">
        <w:t xml:space="preserve"> </w:t>
      </w:r>
      <w:proofErr w:type="spellStart"/>
      <w:r w:rsidR="000E0689">
        <w:t>above</w:t>
      </w:r>
      <w:proofErr w:type="spellEnd"/>
      <w:r w:rsidR="00B348BD">
        <w:rPr>
          <w:lang w:val="en-US"/>
        </w:rPr>
        <w:t>.</w:t>
      </w:r>
    </w:p>
    <w:p w14:paraId="26A8275F" w14:textId="77777777" w:rsidR="00397B10" w:rsidRPr="00C64BF5" w:rsidRDefault="00397B10" w:rsidP="00A018D1">
      <w:pPr>
        <w:rPr>
          <w:lang w:val="en-US"/>
        </w:rPr>
      </w:pPr>
    </w:p>
    <w:p w14:paraId="1BFB25A1" w14:textId="77777777" w:rsidR="00BB2436" w:rsidRPr="00C64BF5" w:rsidRDefault="00061FDF" w:rsidP="000D72BE">
      <w:pPr>
        <w:keepNext/>
        <w:jc w:val="center"/>
        <w:rPr>
          <w:lang w:val="en-US"/>
        </w:rPr>
      </w:pPr>
      <w:r>
        <w:rPr>
          <w:noProof/>
          <w:lang w:val="en-GB" w:eastAsia="zh-CN"/>
        </w:rPr>
        <w:lastRenderedPageBreak/>
        <w:drawing>
          <wp:inline distT="0" distB="0" distL="0" distR="0" wp14:anchorId="0BFECC0F" wp14:editId="48E71763">
            <wp:extent cx="5760000" cy="3600000"/>
            <wp:effectExtent l="0" t="0" r="0" b="0"/>
            <wp:docPr id="11" name="Chart 1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0CDF5B39" w14:textId="3B3AE972" w:rsidR="000104F1" w:rsidRPr="00C64BF5" w:rsidRDefault="00BB2436" w:rsidP="008672D9">
      <w:pPr>
        <w:pStyle w:val="Caption"/>
      </w:pPr>
      <w:bookmarkStart w:id="8" w:name="_Ref287972305"/>
      <w:r w:rsidRPr="00C64BF5">
        <w:t xml:space="preserve">Figure </w:t>
      </w:r>
      <w:r w:rsidR="00880B2F">
        <w:fldChar w:fldCharType="begin"/>
      </w:r>
      <w:r w:rsidR="000A64E7">
        <w:instrText xml:space="preserve"> SEQ Figure \* ARABIC </w:instrText>
      </w:r>
      <w:r w:rsidR="00880B2F">
        <w:fldChar w:fldCharType="separate"/>
      </w:r>
      <w:r w:rsidR="003C4C97">
        <w:rPr>
          <w:noProof/>
        </w:rPr>
        <w:t>7</w:t>
      </w:r>
      <w:r w:rsidR="00880B2F">
        <w:rPr>
          <w:noProof/>
        </w:rPr>
        <w:fldChar w:fldCharType="end"/>
      </w:r>
      <w:bookmarkEnd w:id="8"/>
      <w:r w:rsidR="000D65CF" w:rsidRPr="000D65CF">
        <w:t xml:space="preserve">: </w:t>
      </w:r>
      <w:r w:rsidR="003C4C97">
        <w:t>L</w:t>
      </w:r>
      <w:r w:rsidR="000D65CF" w:rsidRPr="000D65CF">
        <w:t xml:space="preserve">ife cycle </w:t>
      </w:r>
      <w:r w:rsidR="003C4C97">
        <w:t>greenhouse gas</w:t>
      </w:r>
      <w:r w:rsidR="000D65CF" w:rsidRPr="000D65CF">
        <w:t xml:space="preserve"> emissions</w:t>
      </w:r>
      <w:r w:rsidR="003C4C97">
        <w:t xml:space="preserve"> </w:t>
      </w:r>
      <w:r w:rsidR="003C4C97" w:rsidRPr="000D65CF">
        <w:t>(</w:t>
      </w:r>
      <w:r w:rsidR="003C4C97">
        <w:t xml:space="preserve">as </w:t>
      </w:r>
      <w:r w:rsidR="003C4C97" w:rsidRPr="000D65CF">
        <w:t>CO</w:t>
      </w:r>
      <w:r w:rsidR="003C4C97" w:rsidRPr="000D65CF">
        <w:rPr>
          <w:vertAlign w:val="subscript"/>
        </w:rPr>
        <w:t>2</w:t>
      </w:r>
      <w:r w:rsidR="003C4C97" w:rsidRPr="000D65CF">
        <w:t>e)</w:t>
      </w:r>
      <w:r w:rsidR="000D65CF" w:rsidRPr="000D65CF">
        <w:t xml:space="preserve"> from cars for a selection of scenarios</w:t>
      </w:r>
      <w:r w:rsidR="003C4C97">
        <w:t xml:space="preserve"> against the reference case</w:t>
      </w:r>
    </w:p>
    <w:p w14:paraId="6FBB42FD" w14:textId="77777777" w:rsidR="006641B0" w:rsidRPr="00C64BF5" w:rsidRDefault="000D65CF" w:rsidP="00A018D1">
      <w:pPr>
        <w:rPr>
          <w:lang w:val="en-US"/>
        </w:rPr>
      </w:pPr>
      <w:r w:rsidRPr="000D65CF">
        <w:rPr>
          <w:lang w:val="en-US"/>
        </w:rPr>
        <w:t>Given the analysis so far it comes as no surprise that the purchase tax/</w:t>
      </w:r>
      <w:proofErr w:type="spellStart"/>
      <w:r w:rsidRPr="000D65CF">
        <w:rPr>
          <w:lang w:val="en-US"/>
        </w:rPr>
        <w:t>feebate</w:t>
      </w:r>
      <w:proofErr w:type="spellEnd"/>
      <w:r w:rsidRPr="000D65CF">
        <w:rPr>
          <w:lang w:val="en-US"/>
        </w:rPr>
        <w:t xml:space="preserve"> schemes </w:t>
      </w:r>
      <w:r w:rsidRPr="000D65CF">
        <w:rPr>
          <w:i/>
          <w:lang w:val="en-US"/>
        </w:rPr>
        <w:t>cumulatively</w:t>
      </w:r>
      <w:r w:rsidRPr="000D65CF">
        <w:rPr>
          <w:lang w:val="en-US"/>
        </w:rPr>
        <w:t xml:space="preserve"> save</w:t>
      </w:r>
      <w:r w:rsidR="00AD2E06">
        <w:rPr>
          <w:lang w:val="en-US"/>
        </w:rPr>
        <w:t>d</w:t>
      </w:r>
      <w:r w:rsidRPr="000D65CF">
        <w:rPr>
          <w:lang w:val="en-US"/>
        </w:rPr>
        <w:t xml:space="preserve"> the most life cycle GHG emissions, as shown in </w:t>
      </w:r>
      <w:r w:rsidR="001A38D3">
        <w:fldChar w:fldCharType="begin"/>
      </w:r>
      <w:r w:rsidR="001A38D3">
        <w:instrText xml:space="preserve"> REF _Ref288037657 \h  \* MERGEFORMAT </w:instrText>
      </w:r>
      <w:r w:rsidR="001A38D3">
        <w:fldChar w:fldCharType="separate"/>
      </w:r>
      <w:r w:rsidR="00AD2E06" w:rsidRPr="00AD2E06">
        <w:rPr>
          <w:lang w:val="en-US"/>
        </w:rPr>
        <w:t>Figure 7</w:t>
      </w:r>
      <w:r w:rsidR="001A38D3">
        <w:fldChar w:fldCharType="end"/>
      </w:r>
      <w:r w:rsidRPr="000D65CF">
        <w:rPr>
          <w:lang w:val="en-US"/>
        </w:rPr>
        <w:t xml:space="preserve">. The ‘high’ </w:t>
      </w:r>
      <w:proofErr w:type="spellStart"/>
      <w:r w:rsidRPr="000D65CF">
        <w:rPr>
          <w:lang w:val="en-US"/>
        </w:rPr>
        <w:t>feebate</w:t>
      </w:r>
      <w:proofErr w:type="spellEnd"/>
      <w:r w:rsidRPr="000D65CF">
        <w:rPr>
          <w:lang w:val="en-US"/>
        </w:rPr>
        <w:t xml:space="preserve"> scheme (CPT3) cumulatively save</w:t>
      </w:r>
      <w:r w:rsidR="00AD2E06">
        <w:rPr>
          <w:lang w:val="en-US"/>
        </w:rPr>
        <w:t>d</w:t>
      </w:r>
      <w:r w:rsidRPr="000D65CF">
        <w:rPr>
          <w:lang w:val="en-US"/>
        </w:rPr>
        <w:t xml:space="preserve"> 42 MtCO</w:t>
      </w:r>
      <w:r w:rsidRPr="000D65CF">
        <w:rPr>
          <w:vertAlign w:val="subscript"/>
          <w:lang w:val="en-US"/>
        </w:rPr>
        <w:t>2</w:t>
      </w:r>
      <w:r w:rsidRPr="000D65CF">
        <w:rPr>
          <w:lang w:val="en-US"/>
        </w:rPr>
        <w:t>e over the short</w:t>
      </w:r>
      <w:r w:rsidR="00AD2E06">
        <w:rPr>
          <w:lang w:val="en-US"/>
        </w:rPr>
        <w:t>-</w:t>
      </w:r>
      <w:r w:rsidRPr="000D65CF">
        <w:rPr>
          <w:lang w:val="en-US"/>
        </w:rPr>
        <w:t>term period 2010 to 2020</w:t>
      </w:r>
      <w:r w:rsidR="00AD2E06">
        <w:rPr>
          <w:lang w:val="en-US"/>
        </w:rPr>
        <w:t>, that is, 2.2%</w:t>
      </w:r>
      <w:r w:rsidRPr="000D65CF">
        <w:rPr>
          <w:lang w:val="en-US"/>
        </w:rPr>
        <w:t xml:space="preserve"> when compared to baseline cumulative emissions of 1,921 MtCO</w:t>
      </w:r>
      <w:r w:rsidRPr="000D65CF">
        <w:rPr>
          <w:vertAlign w:val="subscript"/>
          <w:lang w:val="en-US"/>
        </w:rPr>
        <w:t>2</w:t>
      </w:r>
      <w:r w:rsidRPr="000D65CF">
        <w:rPr>
          <w:lang w:val="en-US"/>
        </w:rPr>
        <w:t>e. This can be explained by a combination of lower overall car ownership and increased consumer preference for diesel ICEs and HEVs. In the medium term (</w:t>
      </w:r>
      <w:r w:rsidR="00AD2E06">
        <w:rPr>
          <w:lang w:val="en-US"/>
        </w:rPr>
        <w:t xml:space="preserve">up to </w:t>
      </w:r>
      <w:r w:rsidRPr="000D65CF">
        <w:rPr>
          <w:lang w:val="en-US"/>
        </w:rPr>
        <w:t xml:space="preserve">2030), the four most promising policy options </w:t>
      </w:r>
      <w:r w:rsidR="00635FC1">
        <w:rPr>
          <w:lang w:val="en-US"/>
        </w:rPr>
        <w:t>were</w:t>
      </w:r>
      <w:r w:rsidRPr="000D65CF">
        <w:rPr>
          <w:lang w:val="en-US"/>
        </w:rPr>
        <w:t xml:space="preserve"> the car purchase tax with tighter limits (CPT1a), the car purchase feebates (CPT2, CPT3/3a) and the highly graded VED scheme (VED3), saving between 55 MtCO</w:t>
      </w:r>
      <w:r w:rsidRPr="000D65CF">
        <w:rPr>
          <w:vertAlign w:val="subscript"/>
          <w:lang w:val="en-US"/>
        </w:rPr>
        <w:t>2</w:t>
      </w:r>
      <w:r w:rsidRPr="000D65CF">
        <w:rPr>
          <w:lang w:val="en-US"/>
        </w:rPr>
        <w:t>e (VED3) and 148 MtCO</w:t>
      </w:r>
      <w:r w:rsidRPr="000D65CF">
        <w:rPr>
          <w:vertAlign w:val="subscript"/>
          <w:lang w:val="en-US"/>
        </w:rPr>
        <w:t>2</w:t>
      </w:r>
      <w:r w:rsidRPr="000D65CF">
        <w:rPr>
          <w:lang w:val="en-US"/>
        </w:rPr>
        <w:t xml:space="preserve">e (CPT3) by 2030. </w:t>
      </w:r>
      <w:r w:rsidR="00635FC1">
        <w:rPr>
          <w:lang w:val="en-US"/>
        </w:rPr>
        <w:t>In the long term (up to 2050)</w:t>
      </w:r>
      <w:r w:rsidRPr="000D65CF">
        <w:rPr>
          <w:lang w:val="en-US"/>
        </w:rPr>
        <w:t xml:space="preserve">, </w:t>
      </w:r>
      <w:r w:rsidR="00635FC1" w:rsidRPr="000D65CF">
        <w:rPr>
          <w:lang w:val="en-US"/>
        </w:rPr>
        <w:t xml:space="preserve">up-front pricing incentives </w:t>
      </w:r>
      <w:r w:rsidR="00635FC1">
        <w:rPr>
          <w:lang w:val="en-US"/>
        </w:rPr>
        <w:t xml:space="preserve">saved </w:t>
      </w:r>
      <w:r w:rsidRPr="000D65CF">
        <w:rPr>
          <w:lang w:val="en-US"/>
        </w:rPr>
        <w:t>between 155 MtCO</w:t>
      </w:r>
      <w:r w:rsidRPr="000D65CF">
        <w:rPr>
          <w:vertAlign w:val="subscript"/>
          <w:lang w:val="en-US"/>
        </w:rPr>
        <w:t>2</w:t>
      </w:r>
      <w:r w:rsidRPr="000D65CF">
        <w:rPr>
          <w:lang w:val="en-US"/>
        </w:rPr>
        <w:t>e (CPT1a) and 493 MtCO</w:t>
      </w:r>
      <w:r w:rsidRPr="000D65CF">
        <w:rPr>
          <w:vertAlign w:val="subscript"/>
          <w:lang w:val="en-US"/>
        </w:rPr>
        <w:t>2</w:t>
      </w:r>
      <w:r w:rsidRPr="000D65CF">
        <w:rPr>
          <w:lang w:val="en-US"/>
        </w:rPr>
        <w:t>e (CPT3)</w:t>
      </w:r>
      <w:r w:rsidR="00635FC1">
        <w:rPr>
          <w:lang w:val="en-US"/>
        </w:rPr>
        <w:t xml:space="preserve"> in total</w:t>
      </w:r>
      <w:r w:rsidRPr="000D65CF">
        <w:rPr>
          <w:lang w:val="en-US"/>
        </w:rPr>
        <w:t xml:space="preserve">. </w:t>
      </w:r>
      <w:r w:rsidR="00635FC1">
        <w:rPr>
          <w:lang w:val="en-US"/>
        </w:rPr>
        <w:t>In contrast, w</w:t>
      </w:r>
      <w:r w:rsidRPr="000D65CF">
        <w:rPr>
          <w:lang w:val="en-US"/>
        </w:rPr>
        <w:t xml:space="preserve">hile the ‘low’ and ‘medium’ excise duty schemes only have any sizeable effect in the long term, the scrappage schemes only show very small reductions (SCR2, SCR3) or even  an increase (SCR2a) in the region of 1% of total cumulative GHG emissions. </w:t>
      </w:r>
    </w:p>
    <w:p w14:paraId="7E05E755" w14:textId="77777777" w:rsidR="00EA045F" w:rsidRPr="00C64BF5" w:rsidRDefault="00EA045F" w:rsidP="00A018D1">
      <w:pPr>
        <w:rPr>
          <w:lang w:val="en-US"/>
        </w:rPr>
      </w:pPr>
    </w:p>
    <w:p w14:paraId="438898CC" w14:textId="77777777" w:rsidR="006641B0" w:rsidRPr="00C64BF5" w:rsidRDefault="00061FDF" w:rsidP="00EA045F">
      <w:pPr>
        <w:jc w:val="center"/>
        <w:rPr>
          <w:lang w:val="en-US"/>
        </w:rPr>
      </w:pPr>
      <w:r>
        <w:rPr>
          <w:noProof/>
          <w:lang w:val="en-GB" w:eastAsia="zh-CN"/>
        </w:rPr>
        <w:lastRenderedPageBreak/>
        <w:drawing>
          <wp:inline distT="0" distB="0" distL="0" distR="0" wp14:anchorId="647905D2" wp14:editId="11E12B26">
            <wp:extent cx="5760000" cy="3758400"/>
            <wp:effectExtent l="0" t="0" r="0" b="0"/>
            <wp:docPr id="15" name="Chart 1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6A5A99C2" w14:textId="77777777" w:rsidR="006641B0" w:rsidRPr="00C64BF5" w:rsidRDefault="006641B0" w:rsidP="00EA045F">
      <w:pPr>
        <w:pStyle w:val="Caption"/>
      </w:pPr>
      <w:bookmarkStart w:id="9" w:name="_Ref288037657"/>
      <w:r w:rsidRPr="00C64BF5">
        <w:t xml:space="preserve">Figure </w:t>
      </w:r>
      <w:r w:rsidR="00880B2F">
        <w:fldChar w:fldCharType="begin"/>
      </w:r>
      <w:r w:rsidR="000A64E7">
        <w:instrText xml:space="preserve"> SEQ Figure \* ARABIC </w:instrText>
      </w:r>
      <w:r w:rsidR="00880B2F">
        <w:fldChar w:fldCharType="separate"/>
      </w:r>
      <w:r w:rsidR="003C4C97">
        <w:rPr>
          <w:noProof/>
        </w:rPr>
        <w:t>8</w:t>
      </w:r>
      <w:r w:rsidR="00880B2F">
        <w:rPr>
          <w:noProof/>
        </w:rPr>
        <w:fldChar w:fldCharType="end"/>
      </w:r>
      <w:bookmarkEnd w:id="9"/>
      <w:r w:rsidR="000D65CF" w:rsidRPr="000D65CF">
        <w:t>: Life cycle GHG emissions, cumulative savings over baseline (REF) in MtCO</w:t>
      </w:r>
      <w:r w:rsidR="000D65CF" w:rsidRPr="000D65CF">
        <w:rPr>
          <w:vertAlign w:val="subscript"/>
        </w:rPr>
        <w:t>2</w:t>
      </w:r>
      <w:r w:rsidR="000D65CF" w:rsidRPr="000D65CF">
        <w:t>e</w:t>
      </w:r>
    </w:p>
    <w:p w14:paraId="30C9848A" w14:textId="77777777" w:rsidR="00103262" w:rsidRPr="00C64BF5" w:rsidRDefault="00103262" w:rsidP="00A018D1">
      <w:pPr>
        <w:rPr>
          <w:lang w:val="en-US"/>
        </w:rPr>
      </w:pPr>
    </w:p>
    <w:p w14:paraId="3DEE6C89" w14:textId="65582F4C" w:rsidR="000109CA" w:rsidRPr="00C64BF5" w:rsidRDefault="000D65CF" w:rsidP="000109CA">
      <w:pPr>
        <w:pStyle w:val="Heading2"/>
        <w:rPr>
          <w:lang w:val="en-US"/>
        </w:rPr>
      </w:pPr>
      <w:r w:rsidRPr="000D65CF">
        <w:rPr>
          <w:lang w:val="en-US"/>
        </w:rPr>
        <w:t xml:space="preserve">4.3 Effects on car </w:t>
      </w:r>
      <w:r w:rsidR="00DC7CCD">
        <w:rPr>
          <w:lang w:val="en-US"/>
        </w:rPr>
        <w:t>use</w:t>
      </w:r>
    </w:p>
    <w:p w14:paraId="7EC6ABC4" w14:textId="408B6D82" w:rsidR="00C14CFE" w:rsidRDefault="00490B75" w:rsidP="000109CA">
      <w:pPr>
        <w:rPr>
          <w:lang w:val="en-US"/>
        </w:rPr>
      </w:pPr>
      <w:r>
        <w:rPr>
          <w:lang w:val="en-US"/>
        </w:rPr>
        <w:t xml:space="preserve">When compared to the </w:t>
      </w:r>
      <w:r w:rsidR="00635FC1">
        <w:rPr>
          <w:lang w:val="en-US"/>
        </w:rPr>
        <w:t>Reference case</w:t>
      </w:r>
      <w:r w:rsidR="00DC7CCD">
        <w:rPr>
          <w:lang w:val="en-US"/>
        </w:rPr>
        <w:t xml:space="preserve">, which </w:t>
      </w:r>
      <w:r w:rsidR="00635FC1">
        <w:rPr>
          <w:lang w:val="en-US"/>
        </w:rPr>
        <w:t xml:space="preserve">projected </w:t>
      </w:r>
      <w:r w:rsidR="000D65CF" w:rsidRPr="000D65CF">
        <w:rPr>
          <w:lang w:val="en-US"/>
        </w:rPr>
        <w:t xml:space="preserve">car </w:t>
      </w:r>
      <w:r w:rsidR="00DC7CCD">
        <w:rPr>
          <w:lang w:val="en-US"/>
        </w:rPr>
        <w:t>use</w:t>
      </w:r>
      <w:r w:rsidR="000D65CF" w:rsidRPr="000D65CF">
        <w:rPr>
          <w:lang w:val="en-US"/>
        </w:rPr>
        <w:t xml:space="preserve"> </w:t>
      </w:r>
      <w:r w:rsidR="00DC7CCD">
        <w:rPr>
          <w:lang w:val="en-US"/>
        </w:rPr>
        <w:t>(vehicle-</w:t>
      </w:r>
      <w:proofErr w:type="spellStart"/>
      <w:r w:rsidR="00DC7CCD">
        <w:rPr>
          <w:lang w:val="en-US"/>
        </w:rPr>
        <w:t>kilometres</w:t>
      </w:r>
      <w:proofErr w:type="spellEnd"/>
      <w:r w:rsidR="00DC7CCD">
        <w:rPr>
          <w:lang w:val="en-US"/>
        </w:rPr>
        <w:t xml:space="preserve">, or VKM) </w:t>
      </w:r>
      <w:r w:rsidR="000D65CF" w:rsidRPr="000D65CF">
        <w:rPr>
          <w:lang w:val="en-US"/>
        </w:rPr>
        <w:t xml:space="preserve">to increase by 27% </w:t>
      </w:r>
      <w:r w:rsidR="00DC7CCD">
        <w:rPr>
          <w:lang w:val="en-US"/>
        </w:rPr>
        <w:t xml:space="preserve">between 2010 and </w:t>
      </w:r>
      <w:r w:rsidR="000D65CF" w:rsidRPr="000D65CF">
        <w:rPr>
          <w:lang w:val="en-US"/>
        </w:rPr>
        <w:t xml:space="preserve">2050, </w:t>
      </w:r>
      <w:r w:rsidR="00B10FE1" w:rsidRPr="00B10FE1">
        <w:rPr>
          <w:lang w:val="en-US"/>
        </w:rPr>
        <w:t xml:space="preserve">the policies modeled here altered this trend little, with car use varying between -3% to +3% over baseline projections </w:t>
      </w:r>
      <w:r w:rsidR="000D65CF" w:rsidRPr="000D65CF">
        <w:rPr>
          <w:lang w:val="en-US"/>
        </w:rPr>
        <w:t>(</w:t>
      </w:r>
      <w:r w:rsidR="001A38D3">
        <w:fldChar w:fldCharType="begin"/>
      </w:r>
      <w:r w:rsidR="001A38D3">
        <w:instrText xml:space="preserve"> REF _Ref288041475 \h  \* MERGEFORMAT </w:instrText>
      </w:r>
      <w:r w:rsidR="001A38D3">
        <w:fldChar w:fldCharType="separate"/>
      </w:r>
      <w:r w:rsidR="0098770D" w:rsidRPr="0098770D">
        <w:rPr>
          <w:lang w:val="en-US"/>
        </w:rPr>
        <w:t>Figure 8</w:t>
      </w:r>
      <w:r w:rsidR="001A38D3">
        <w:fldChar w:fldCharType="end"/>
      </w:r>
      <w:r w:rsidR="000D65CF" w:rsidRPr="000D65CF">
        <w:rPr>
          <w:lang w:val="en-US"/>
        </w:rPr>
        <w:t>). The ‘medium’ ambition car scrappage schemes (SCR2/2a) show</w:t>
      </w:r>
      <w:r w:rsidR="00C14CFE">
        <w:rPr>
          <w:lang w:val="en-US"/>
        </w:rPr>
        <w:t>ed</w:t>
      </w:r>
      <w:r w:rsidR="000D65CF" w:rsidRPr="000D65CF">
        <w:rPr>
          <w:lang w:val="en-US"/>
        </w:rPr>
        <w:t xml:space="preserve"> the unwanted effect of increasing car use by up to 3% (2050) over the Reference case – a direct effect of lower average car transport costs</w:t>
      </w:r>
      <w:r w:rsidR="000D65CF" w:rsidRPr="000D65CF">
        <w:rPr>
          <w:rStyle w:val="FootnoteReference"/>
          <w:lang w:val="en-US"/>
        </w:rPr>
        <w:footnoteReference w:id="16"/>
      </w:r>
      <w:r w:rsidR="000D65CF" w:rsidRPr="000D65CF">
        <w:rPr>
          <w:lang w:val="en-US"/>
        </w:rPr>
        <w:t>. In contrast, the more a</w:t>
      </w:r>
      <w:r w:rsidR="00C14CFE">
        <w:rPr>
          <w:lang w:val="en-US"/>
        </w:rPr>
        <w:t>mbitious excise duty regimes were</w:t>
      </w:r>
      <w:r w:rsidR="000D65CF" w:rsidRPr="000D65CF">
        <w:rPr>
          <w:lang w:val="en-US"/>
        </w:rPr>
        <w:t xml:space="preserve"> projected to </w:t>
      </w:r>
      <w:r w:rsidR="000D65CF" w:rsidRPr="000D65CF">
        <w:rPr>
          <w:i/>
          <w:lang w:val="en-US"/>
        </w:rPr>
        <w:t>lower</w:t>
      </w:r>
      <w:r w:rsidR="000D65CF" w:rsidRPr="000D65CF">
        <w:rPr>
          <w:lang w:val="en-US"/>
        </w:rPr>
        <w:t xml:space="preserve"> car use overall due to </w:t>
      </w:r>
      <w:r w:rsidR="00C14CFE">
        <w:rPr>
          <w:lang w:val="en-US"/>
        </w:rPr>
        <w:t>higher</w:t>
      </w:r>
      <w:r w:rsidR="000D65CF" w:rsidRPr="000D65CF">
        <w:rPr>
          <w:lang w:val="en-US"/>
        </w:rPr>
        <w:t xml:space="preserve"> </w:t>
      </w:r>
      <w:r w:rsidR="00C14CFE">
        <w:rPr>
          <w:lang w:val="en-US"/>
        </w:rPr>
        <w:t xml:space="preserve">operating </w:t>
      </w:r>
      <w:r w:rsidR="000D65CF" w:rsidRPr="000D65CF">
        <w:rPr>
          <w:lang w:val="en-US"/>
        </w:rPr>
        <w:t xml:space="preserve">costs, with reductions of 1.7% (2030) and 2.5% (2050) </w:t>
      </w:r>
      <w:r w:rsidR="00C14CFE">
        <w:rPr>
          <w:lang w:val="en-US"/>
        </w:rPr>
        <w:t>for VED3 over the REF baseline.</w:t>
      </w:r>
    </w:p>
    <w:p w14:paraId="26B882E7" w14:textId="77777777" w:rsidR="00C14CFE" w:rsidRDefault="00C14CFE" w:rsidP="000109CA">
      <w:pPr>
        <w:rPr>
          <w:lang w:val="en-US"/>
        </w:rPr>
      </w:pPr>
    </w:p>
    <w:p w14:paraId="0F82A5C6" w14:textId="77777777" w:rsidR="000109CA" w:rsidRPr="00C64BF5" w:rsidRDefault="000D65CF" w:rsidP="000109CA">
      <w:pPr>
        <w:rPr>
          <w:lang w:val="en-US"/>
        </w:rPr>
      </w:pPr>
      <w:r w:rsidRPr="000D65CF">
        <w:rPr>
          <w:lang w:val="en-US"/>
        </w:rPr>
        <w:t>The message for the purchase tax/</w:t>
      </w:r>
      <w:proofErr w:type="spellStart"/>
      <w:r w:rsidRPr="000D65CF">
        <w:rPr>
          <w:lang w:val="en-US"/>
        </w:rPr>
        <w:t>feebate</w:t>
      </w:r>
      <w:proofErr w:type="spellEnd"/>
      <w:r w:rsidRPr="000D65CF">
        <w:rPr>
          <w:lang w:val="en-US"/>
        </w:rPr>
        <w:t xml:space="preserve"> schemes </w:t>
      </w:r>
      <w:r w:rsidR="00C14CFE">
        <w:rPr>
          <w:lang w:val="en-US"/>
        </w:rPr>
        <w:t>was</w:t>
      </w:r>
      <w:r w:rsidRPr="000D65CF">
        <w:rPr>
          <w:lang w:val="en-US"/>
        </w:rPr>
        <w:t xml:space="preserve"> more mixed and depend</w:t>
      </w:r>
      <w:r w:rsidR="00C14CFE">
        <w:rPr>
          <w:lang w:val="en-US"/>
        </w:rPr>
        <w:t>ed</w:t>
      </w:r>
      <w:r w:rsidRPr="000D65CF">
        <w:rPr>
          <w:lang w:val="en-US"/>
        </w:rPr>
        <w:t xml:space="preserve"> on the overall balance between fees and rebates. Whereas the car purchase tax policies (CPT1/1a) and ‘medium’ </w:t>
      </w:r>
      <w:proofErr w:type="spellStart"/>
      <w:r w:rsidRPr="000D65CF">
        <w:rPr>
          <w:lang w:val="en-US"/>
        </w:rPr>
        <w:t>feebate</w:t>
      </w:r>
      <w:proofErr w:type="spellEnd"/>
      <w:r w:rsidRPr="000D65CF">
        <w:rPr>
          <w:lang w:val="en-US"/>
        </w:rPr>
        <w:t xml:space="preserve"> policy (CPT2) suppress</w:t>
      </w:r>
      <w:r w:rsidR="00C14CFE">
        <w:rPr>
          <w:lang w:val="en-US"/>
        </w:rPr>
        <w:t>ed</w:t>
      </w:r>
      <w:r w:rsidRPr="000D65CF">
        <w:rPr>
          <w:lang w:val="en-US"/>
        </w:rPr>
        <w:t xml:space="preserve"> car use by up to 1.8% by 2050, the ‘high’ feebates (CPT3/3a) first reduce</w:t>
      </w:r>
      <w:r w:rsidR="00C14CFE">
        <w:rPr>
          <w:lang w:val="en-US"/>
        </w:rPr>
        <w:t>d</w:t>
      </w:r>
      <w:r w:rsidRPr="000D65CF">
        <w:rPr>
          <w:lang w:val="en-US"/>
        </w:rPr>
        <w:t xml:space="preserve"> car traffic but then show</w:t>
      </w:r>
      <w:r w:rsidR="00C14CFE">
        <w:rPr>
          <w:lang w:val="en-US"/>
        </w:rPr>
        <w:t>ed</w:t>
      </w:r>
      <w:r w:rsidRPr="000D65CF">
        <w:rPr>
          <w:lang w:val="en-US"/>
        </w:rPr>
        <w:t xml:space="preserve"> an increase in the medium to longer term, up to 2.5% by 2050. This can be explained by the fall in average new car transport costs from about 2035, as the number of new cars attracting the rebate then outweigh</w:t>
      </w:r>
      <w:r w:rsidR="00C14CFE">
        <w:rPr>
          <w:lang w:val="en-US"/>
        </w:rPr>
        <w:t>ed</w:t>
      </w:r>
      <w:r w:rsidRPr="000D65CF">
        <w:rPr>
          <w:lang w:val="en-US"/>
        </w:rPr>
        <w:t xml:space="preserve"> the ones with fees.</w:t>
      </w:r>
      <w:r w:rsidR="00C14CFE">
        <w:rPr>
          <w:lang w:val="en-US"/>
        </w:rPr>
        <w:t xml:space="preserve"> </w:t>
      </w:r>
      <w:r w:rsidRPr="000D65CF">
        <w:rPr>
          <w:lang w:val="en-US"/>
        </w:rPr>
        <w:t xml:space="preserve">In reality, the balance between fees and rebates is likely to be readjusted over time to protect revenues and keep voters happy. </w:t>
      </w:r>
      <w:r w:rsidR="00C14CFE">
        <w:rPr>
          <w:lang w:val="en-US"/>
        </w:rPr>
        <w:t>Testing this potential readjustment by assuming a higher top rebate of GBP3,000, v</w:t>
      </w:r>
      <w:r w:rsidRPr="000D65CF">
        <w:rPr>
          <w:lang w:val="en-US"/>
        </w:rPr>
        <w:t xml:space="preserve">ariant </w:t>
      </w:r>
      <w:r w:rsidR="00C14CFE">
        <w:rPr>
          <w:lang w:val="en-US"/>
        </w:rPr>
        <w:t xml:space="preserve">CPT2b showed </w:t>
      </w:r>
      <w:r w:rsidRPr="000D65CF">
        <w:rPr>
          <w:lang w:val="en-US"/>
        </w:rPr>
        <w:t xml:space="preserve">only small (&lt;0.5%) changes in car demand over the </w:t>
      </w:r>
      <w:r w:rsidR="00C14CFE" w:rsidRPr="000D65CF">
        <w:rPr>
          <w:lang w:val="en-US"/>
        </w:rPr>
        <w:t>modeling</w:t>
      </w:r>
      <w:r w:rsidRPr="000D65CF">
        <w:rPr>
          <w:lang w:val="en-US"/>
        </w:rPr>
        <w:t xml:space="preserve"> period, a result of relatively small changes in average car prices and average transport costs. </w:t>
      </w:r>
    </w:p>
    <w:p w14:paraId="221E45D8" w14:textId="77777777" w:rsidR="003A20EC" w:rsidRPr="00C64BF5" w:rsidRDefault="003A20EC" w:rsidP="000109CA">
      <w:pPr>
        <w:rPr>
          <w:lang w:val="en-US"/>
        </w:rPr>
      </w:pPr>
    </w:p>
    <w:p w14:paraId="7E6A29AF" w14:textId="77777777" w:rsidR="000109CA" w:rsidRPr="00C64BF5" w:rsidRDefault="00061FDF" w:rsidP="000109CA">
      <w:pPr>
        <w:keepNext/>
        <w:jc w:val="center"/>
        <w:rPr>
          <w:lang w:val="en-US"/>
        </w:rPr>
      </w:pPr>
      <w:r>
        <w:rPr>
          <w:noProof/>
          <w:lang w:val="en-GB" w:eastAsia="zh-CN"/>
        </w:rPr>
        <w:drawing>
          <wp:inline distT="0" distB="0" distL="0" distR="0" wp14:anchorId="06410CD3" wp14:editId="43B91DA3">
            <wp:extent cx="5760000" cy="3600000"/>
            <wp:effectExtent l="0" t="0" r="0" b="635"/>
            <wp:docPr id="14" name="Chart 1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49CE23F2" w14:textId="46D56B27" w:rsidR="000109CA" w:rsidRPr="00C64BF5" w:rsidRDefault="000109CA" w:rsidP="000109CA">
      <w:pPr>
        <w:pStyle w:val="Caption"/>
      </w:pPr>
      <w:bookmarkStart w:id="10" w:name="_Ref288041475"/>
      <w:r w:rsidRPr="00C64BF5">
        <w:t xml:space="preserve">Figure </w:t>
      </w:r>
      <w:r w:rsidR="00880B2F">
        <w:fldChar w:fldCharType="begin"/>
      </w:r>
      <w:r w:rsidR="000A64E7">
        <w:instrText xml:space="preserve"> SEQ Figure \* ARABIC </w:instrText>
      </w:r>
      <w:r w:rsidR="00880B2F">
        <w:fldChar w:fldCharType="separate"/>
      </w:r>
      <w:r w:rsidR="003C4C97">
        <w:rPr>
          <w:noProof/>
        </w:rPr>
        <w:t>9</w:t>
      </w:r>
      <w:r w:rsidR="00880B2F">
        <w:rPr>
          <w:noProof/>
        </w:rPr>
        <w:fldChar w:fldCharType="end"/>
      </w:r>
      <w:bookmarkEnd w:id="10"/>
      <w:r w:rsidR="000D65CF" w:rsidRPr="000D65CF">
        <w:t xml:space="preserve">: Scenario comparison of car </w:t>
      </w:r>
      <w:r w:rsidR="00DC7CCD">
        <w:t>use</w:t>
      </w:r>
      <w:r w:rsidR="000D65CF" w:rsidRPr="000D65CF">
        <w:t xml:space="preserve"> as percentage chan</w:t>
      </w:r>
      <w:r w:rsidR="00CF2B07">
        <w:t>ge over baseline</w:t>
      </w:r>
    </w:p>
    <w:p w14:paraId="0445E10C" w14:textId="77777777" w:rsidR="000109CA" w:rsidRPr="00C64BF5" w:rsidRDefault="000109CA" w:rsidP="00A018D1">
      <w:pPr>
        <w:rPr>
          <w:lang w:val="en-US"/>
        </w:rPr>
      </w:pPr>
    </w:p>
    <w:p w14:paraId="07D72C94" w14:textId="77777777" w:rsidR="000104F1" w:rsidRPr="00C64BF5" w:rsidRDefault="000D65CF" w:rsidP="000D72BE">
      <w:pPr>
        <w:pStyle w:val="Heading2"/>
        <w:rPr>
          <w:lang w:val="en-US"/>
        </w:rPr>
      </w:pPr>
      <w:r w:rsidRPr="000D65CF">
        <w:rPr>
          <w:lang w:val="en-US"/>
        </w:rPr>
        <w:t>4.4 Public finance implications</w:t>
      </w:r>
    </w:p>
    <w:p w14:paraId="64D5EB7A" w14:textId="1954776A" w:rsidR="00134776" w:rsidRDefault="003206DF" w:rsidP="0070431A">
      <w:pPr>
        <w:rPr>
          <w:lang w:val="en-US"/>
        </w:rPr>
      </w:pPr>
      <w:r>
        <w:rPr>
          <w:lang w:val="en-US"/>
        </w:rPr>
        <w:t>O</w:t>
      </w:r>
      <w:r w:rsidRPr="00974CDC">
        <w:rPr>
          <w:lang w:val="en-US"/>
        </w:rPr>
        <w:t xml:space="preserve">ver </w:t>
      </w:r>
      <w:r>
        <w:rPr>
          <w:lang w:val="en-US"/>
        </w:rPr>
        <w:t>GBP</w:t>
      </w:r>
      <w:r w:rsidRPr="00974CDC">
        <w:rPr>
          <w:lang w:val="en-US"/>
        </w:rPr>
        <w:t>5.</w:t>
      </w:r>
      <w:r>
        <w:rPr>
          <w:lang w:val="en-US"/>
        </w:rPr>
        <w:t>1</w:t>
      </w:r>
      <w:r w:rsidRPr="00974CDC">
        <w:rPr>
          <w:lang w:val="en-US"/>
        </w:rPr>
        <w:t xml:space="preserve"> billion w</w:t>
      </w:r>
      <w:r>
        <w:rPr>
          <w:lang w:val="en-US"/>
        </w:rPr>
        <w:t>ere</w:t>
      </w:r>
      <w:r w:rsidRPr="00974CDC">
        <w:rPr>
          <w:lang w:val="en-US"/>
        </w:rPr>
        <w:t xml:space="preserve"> raised through vehicle excise duty </w:t>
      </w:r>
      <w:r>
        <w:rPr>
          <w:lang w:val="en-US"/>
        </w:rPr>
        <w:t xml:space="preserve">on cars and light vans </w:t>
      </w:r>
      <w:r w:rsidRPr="00974CDC">
        <w:rPr>
          <w:lang w:val="en-US"/>
        </w:rPr>
        <w:t>in 2008/09</w:t>
      </w:r>
      <w:r>
        <w:rPr>
          <w:lang w:val="en-US"/>
        </w:rPr>
        <w:t>, and a</w:t>
      </w:r>
      <w:r w:rsidRPr="00974CDC">
        <w:rPr>
          <w:lang w:val="en-US"/>
        </w:rPr>
        <w:t xml:space="preserve">bout </w:t>
      </w:r>
      <w:r>
        <w:rPr>
          <w:lang w:val="en-US"/>
        </w:rPr>
        <w:t>GBP</w:t>
      </w:r>
      <w:r w:rsidRPr="00974CDC">
        <w:rPr>
          <w:lang w:val="en-US"/>
        </w:rPr>
        <w:t>24.6 billion w</w:t>
      </w:r>
      <w:r>
        <w:rPr>
          <w:lang w:val="en-US"/>
        </w:rPr>
        <w:t>ere</w:t>
      </w:r>
      <w:r w:rsidRPr="00974CDC">
        <w:rPr>
          <w:lang w:val="en-US"/>
        </w:rPr>
        <w:t xml:space="preserve"> ra</w:t>
      </w:r>
      <w:r>
        <w:rPr>
          <w:lang w:val="en-US"/>
        </w:rPr>
        <w:t xml:space="preserve">ised through </w:t>
      </w:r>
      <w:r w:rsidR="00134776">
        <w:rPr>
          <w:lang w:val="en-US"/>
        </w:rPr>
        <w:t xml:space="preserve">road </w:t>
      </w:r>
      <w:r>
        <w:rPr>
          <w:lang w:val="en-US"/>
        </w:rPr>
        <w:t xml:space="preserve">fuel tax in the same year </w:t>
      </w:r>
      <w:r w:rsidR="00880B2F">
        <w:rPr>
          <w:lang w:val="en-US"/>
        </w:rPr>
        <w:fldChar w:fldCharType="begin"/>
      </w:r>
      <w:r w:rsidR="00546ABC">
        <w:rPr>
          <w:lang w:val="en-US"/>
        </w:rPr>
        <w:instrText xml:space="preserve"> ADDIN EN.CITE &lt;EndNote&gt;&lt;Cite&gt;&lt;Author&gt;DfT&lt;/Author&gt;&lt;Year&gt;2010&lt;/Year&gt;&lt;RecNum&gt;832&lt;/RecNum&gt;&lt;DisplayText&gt;(DfT, 2010)&lt;/DisplayText&gt;&lt;record&gt;&lt;rec-number&gt;832&lt;/rec-number&gt;&lt;foreign-keys&gt;&lt;key app="EN" db-id="a0wpest2552swgezzsnxxwsnpp9axwswpaww"&gt;832&lt;/key&gt;&lt;/foreign-keys&gt;&lt;ref-type name="Report"&gt;27&lt;/ref-type&gt;&lt;contributors&gt;&lt;authors&gt;&lt;author&gt;DfT&lt;/author&gt;&lt;/authors&gt;&lt;/contributors&gt;&lt;titles&gt;&lt;title&gt;Transport Statistics Great Britain: 2010 edition&lt;/title&gt;&lt;/titles&gt;&lt;dates&gt;&lt;year&gt;2010&lt;/year&gt;&lt;/dates&gt;&lt;pub-location&gt;London&lt;/pub-location&gt;&lt;publisher&gt;Department for Transport (DfT), The Stationary Office&lt;/publisher&gt;&lt;urls&gt;&lt;/urls&gt;&lt;/record&gt;&lt;/Cite&gt;&lt;/EndNote&gt;</w:instrText>
      </w:r>
      <w:r w:rsidR="00880B2F">
        <w:rPr>
          <w:lang w:val="en-US"/>
        </w:rPr>
        <w:fldChar w:fldCharType="separate"/>
      </w:r>
      <w:r w:rsidR="00546ABC">
        <w:rPr>
          <w:noProof/>
          <w:lang w:val="en-US"/>
        </w:rPr>
        <w:t>(</w:t>
      </w:r>
      <w:hyperlink w:anchor="_ENREF_19" w:tooltip="DfT, 2010 #832" w:history="1">
        <w:r w:rsidR="00D67197">
          <w:rPr>
            <w:noProof/>
            <w:lang w:val="en-US"/>
          </w:rPr>
          <w:t>DfT, 2010</w:t>
        </w:r>
      </w:hyperlink>
      <w:r w:rsidR="00546ABC">
        <w:rPr>
          <w:noProof/>
          <w:lang w:val="en-US"/>
        </w:rPr>
        <w:t>)</w:t>
      </w:r>
      <w:r w:rsidR="00880B2F">
        <w:rPr>
          <w:lang w:val="en-US"/>
        </w:rPr>
        <w:fldChar w:fldCharType="end"/>
      </w:r>
      <w:r>
        <w:rPr>
          <w:lang w:val="en-US"/>
        </w:rPr>
        <w:t xml:space="preserve">.  When compared to these </w:t>
      </w:r>
      <w:r w:rsidR="00134776">
        <w:rPr>
          <w:lang w:val="en-US"/>
        </w:rPr>
        <w:t xml:space="preserve">considerable </w:t>
      </w:r>
      <w:r>
        <w:rPr>
          <w:lang w:val="en-US"/>
        </w:rPr>
        <w:t>revenue streams, t</w:t>
      </w:r>
      <w:r w:rsidR="000D65CF" w:rsidRPr="000D65CF">
        <w:rPr>
          <w:lang w:val="en-US"/>
        </w:rPr>
        <w:t>he ‘low’ ambition car purchase tax schemes (CPT1/1a) provide</w:t>
      </w:r>
      <w:r w:rsidR="00364144">
        <w:rPr>
          <w:lang w:val="en-US"/>
        </w:rPr>
        <w:t>d</w:t>
      </w:r>
      <w:r w:rsidR="000D65CF" w:rsidRPr="000D65CF">
        <w:rPr>
          <w:lang w:val="en-US"/>
        </w:rPr>
        <w:t xml:space="preserve"> significant and rising vehicle based revenues to the UK Treasury of between GBP0.33 billion in 2020 (CPT1) and GBP4.6 billion in 2050 (CPT1a), which </w:t>
      </w:r>
      <w:r w:rsidR="00364144">
        <w:rPr>
          <w:lang w:val="en-US"/>
        </w:rPr>
        <w:t>were</w:t>
      </w:r>
      <w:r w:rsidR="000D65CF" w:rsidRPr="000D65CF">
        <w:rPr>
          <w:lang w:val="en-US"/>
        </w:rPr>
        <w:t xml:space="preserve"> partly offset by the </w:t>
      </w:r>
      <w:r w:rsidR="00364144">
        <w:rPr>
          <w:lang w:val="en-US"/>
        </w:rPr>
        <w:t xml:space="preserve">relatively minor </w:t>
      </w:r>
      <w:r w:rsidR="000D65CF" w:rsidRPr="000D65CF">
        <w:rPr>
          <w:lang w:val="en-US"/>
        </w:rPr>
        <w:t>loss in fuel duty revenues of between GBP0.12 billion in 2020 (CPT1) and GBP1.29 billion in 2050 (CPT1a).</w:t>
      </w:r>
      <w:r w:rsidR="00974CDC">
        <w:rPr>
          <w:lang w:val="en-US"/>
        </w:rPr>
        <w:t xml:space="preserve"> </w:t>
      </w:r>
      <w:r>
        <w:rPr>
          <w:lang w:val="en-US"/>
        </w:rPr>
        <w:t xml:space="preserve"> </w:t>
      </w:r>
      <w:r w:rsidR="000D65CF" w:rsidRPr="000D65CF">
        <w:rPr>
          <w:lang w:val="en-US"/>
        </w:rPr>
        <w:t xml:space="preserve">While the ‘medium’ </w:t>
      </w:r>
      <w:proofErr w:type="spellStart"/>
      <w:r w:rsidR="000D65CF" w:rsidRPr="000D65CF">
        <w:rPr>
          <w:lang w:val="en-US"/>
        </w:rPr>
        <w:t>feebate</w:t>
      </w:r>
      <w:proofErr w:type="spellEnd"/>
      <w:r w:rsidR="000D65CF" w:rsidRPr="000D65CF">
        <w:rPr>
          <w:lang w:val="en-US"/>
        </w:rPr>
        <w:t xml:space="preserve"> with a top rebate of GBP2</w:t>
      </w:r>
      <w:proofErr w:type="gramStart"/>
      <w:r w:rsidR="000D65CF" w:rsidRPr="000D65CF">
        <w:rPr>
          <w:lang w:val="en-US"/>
        </w:rPr>
        <w:t>,000</w:t>
      </w:r>
      <w:proofErr w:type="gramEnd"/>
      <w:r w:rsidR="000D65CF" w:rsidRPr="000D65CF">
        <w:rPr>
          <w:lang w:val="en-US"/>
        </w:rPr>
        <w:t xml:space="preserve"> (CPT2) provide</w:t>
      </w:r>
      <w:r w:rsidR="00364144">
        <w:rPr>
          <w:lang w:val="en-US"/>
        </w:rPr>
        <w:t>d</w:t>
      </w:r>
      <w:r w:rsidR="000D65CF" w:rsidRPr="000D65CF">
        <w:rPr>
          <w:lang w:val="en-US"/>
        </w:rPr>
        <w:t xml:space="preserve"> net revenue </w:t>
      </w:r>
      <w:r w:rsidR="000D65CF" w:rsidRPr="000D65CF">
        <w:rPr>
          <w:i/>
          <w:lang w:val="en-US"/>
        </w:rPr>
        <w:t>increases</w:t>
      </w:r>
      <w:r w:rsidR="000D65CF" w:rsidRPr="000D65CF">
        <w:rPr>
          <w:lang w:val="en-US"/>
        </w:rPr>
        <w:t xml:space="preserve"> for the government of up to GBP2 billion in 2030, the variant with a higher top rebate of GBP4,000 (CPT2a) result</w:t>
      </w:r>
      <w:r w:rsidR="00364144">
        <w:rPr>
          <w:lang w:val="en-US"/>
        </w:rPr>
        <w:t>ed</w:t>
      </w:r>
      <w:r w:rsidR="000D65CF" w:rsidRPr="000D65CF">
        <w:rPr>
          <w:lang w:val="en-US"/>
        </w:rPr>
        <w:t xml:space="preserve"> in net revenue </w:t>
      </w:r>
      <w:r w:rsidR="000D65CF" w:rsidRPr="000D65CF">
        <w:rPr>
          <w:i/>
          <w:lang w:val="en-US"/>
        </w:rPr>
        <w:t>losses</w:t>
      </w:r>
      <w:r w:rsidR="000D65CF" w:rsidRPr="000D65CF">
        <w:rPr>
          <w:lang w:val="en-US"/>
        </w:rPr>
        <w:t xml:space="preserve"> of about the same amount in 2030, and higher lo</w:t>
      </w:r>
      <w:r w:rsidR="00134776">
        <w:rPr>
          <w:lang w:val="en-US"/>
        </w:rPr>
        <w:t>sses of GBP5.4 billion in 2050.</w:t>
      </w:r>
    </w:p>
    <w:p w14:paraId="7DB78C9F" w14:textId="77777777" w:rsidR="00134776" w:rsidRDefault="00134776" w:rsidP="0070431A">
      <w:pPr>
        <w:rPr>
          <w:lang w:val="en-US"/>
        </w:rPr>
      </w:pPr>
    </w:p>
    <w:p w14:paraId="059A9FC9" w14:textId="36E218E0" w:rsidR="00C35332" w:rsidRPr="00C64BF5" w:rsidRDefault="00364144" w:rsidP="0070431A">
      <w:pPr>
        <w:rPr>
          <w:lang w:val="en-US"/>
        </w:rPr>
      </w:pPr>
      <w:r>
        <w:rPr>
          <w:lang w:val="en-US"/>
        </w:rPr>
        <w:t>W</w:t>
      </w:r>
      <w:r w:rsidR="000D65CF" w:rsidRPr="000D65CF">
        <w:rPr>
          <w:lang w:val="en-US"/>
        </w:rPr>
        <w:t>ith a top rebate of GBP3</w:t>
      </w:r>
      <w:proofErr w:type="gramStart"/>
      <w:r w:rsidR="000D65CF" w:rsidRPr="000D65CF">
        <w:rPr>
          <w:lang w:val="en-US"/>
        </w:rPr>
        <w:t>,000</w:t>
      </w:r>
      <w:proofErr w:type="gramEnd"/>
      <w:r w:rsidR="000D65CF" w:rsidRPr="000D65CF">
        <w:rPr>
          <w:lang w:val="en-US"/>
        </w:rPr>
        <w:t xml:space="preserve"> </w:t>
      </w:r>
      <w:r>
        <w:rPr>
          <w:lang w:val="en-US"/>
        </w:rPr>
        <w:t>and 6 pence/kWh electric duty</w:t>
      </w:r>
      <w:r w:rsidR="000D65CF" w:rsidRPr="000D65CF">
        <w:rPr>
          <w:lang w:val="en-US"/>
        </w:rPr>
        <w:t xml:space="preserve">, </w:t>
      </w:r>
      <w:r>
        <w:rPr>
          <w:lang w:val="en-US"/>
        </w:rPr>
        <w:t>CPT2b was</w:t>
      </w:r>
      <w:r w:rsidR="000D65CF" w:rsidRPr="000D65CF">
        <w:rPr>
          <w:lang w:val="en-US"/>
        </w:rPr>
        <w:t xml:space="preserve"> essentially revenue neutral – at least in the short and medium term – as illustrated in </w:t>
      </w:r>
      <w:r w:rsidR="00880B2F" w:rsidRPr="000D65CF">
        <w:rPr>
          <w:lang w:val="en-US"/>
        </w:rPr>
        <w:fldChar w:fldCharType="begin"/>
      </w:r>
      <w:r w:rsidR="000D65CF" w:rsidRPr="000D65CF">
        <w:rPr>
          <w:lang w:val="en-US"/>
        </w:rPr>
        <w:instrText xml:space="preserve"> REF _Ref288130946 \h </w:instrText>
      </w:r>
      <w:r w:rsidR="00880B2F" w:rsidRPr="000D65CF">
        <w:rPr>
          <w:lang w:val="en-US"/>
        </w:rPr>
      </w:r>
      <w:r w:rsidR="00880B2F" w:rsidRPr="000D65CF">
        <w:rPr>
          <w:lang w:val="en-US"/>
        </w:rPr>
        <w:fldChar w:fldCharType="separate"/>
      </w:r>
      <w:proofErr w:type="spellStart"/>
      <w:r w:rsidR="00134776" w:rsidRPr="00C64BF5">
        <w:t>Figure</w:t>
      </w:r>
      <w:proofErr w:type="spellEnd"/>
      <w:r w:rsidR="00134776" w:rsidRPr="00C64BF5">
        <w:t xml:space="preserve"> </w:t>
      </w:r>
      <w:r w:rsidR="00134776">
        <w:rPr>
          <w:noProof/>
        </w:rPr>
        <w:t>9</w:t>
      </w:r>
      <w:r w:rsidR="00880B2F" w:rsidRPr="000D65CF">
        <w:rPr>
          <w:lang w:val="en-US"/>
        </w:rPr>
        <w:fldChar w:fldCharType="end"/>
      </w:r>
      <w:r w:rsidR="000D65CF" w:rsidRPr="000D65CF">
        <w:rPr>
          <w:lang w:val="en-US"/>
        </w:rPr>
        <w:t xml:space="preserve">. One of the interesting </w:t>
      </w:r>
      <w:r>
        <w:rPr>
          <w:lang w:val="en-US"/>
        </w:rPr>
        <w:t>results</w:t>
      </w:r>
      <w:r w:rsidR="000D65CF" w:rsidRPr="000D65CF">
        <w:rPr>
          <w:lang w:val="en-US"/>
        </w:rPr>
        <w:t xml:space="preserve"> of th</w:t>
      </w:r>
      <w:r w:rsidR="003206DF">
        <w:rPr>
          <w:lang w:val="en-US"/>
        </w:rPr>
        <w:t>is</w:t>
      </w:r>
      <w:r w:rsidR="000D65CF" w:rsidRPr="000D65CF">
        <w:rPr>
          <w:lang w:val="en-US"/>
        </w:rPr>
        <w:t xml:space="preserve"> policy is that </w:t>
      </w:r>
      <w:r w:rsidR="003206DF">
        <w:rPr>
          <w:lang w:val="en-US"/>
        </w:rPr>
        <w:t xml:space="preserve">new </w:t>
      </w:r>
      <w:r w:rsidR="000D65CF" w:rsidRPr="000D65CF">
        <w:rPr>
          <w:lang w:val="en-US"/>
        </w:rPr>
        <w:t xml:space="preserve">diesel ICV </w:t>
      </w:r>
      <w:r w:rsidR="003206DF">
        <w:rPr>
          <w:lang w:val="en-US"/>
        </w:rPr>
        <w:t>cars were</w:t>
      </w:r>
      <w:r w:rsidR="000D65CF" w:rsidRPr="000D65CF">
        <w:rPr>
          <w:lang w:val="en-US"/>
        </w:rPr>
        <w:t xml:space="preserve">, at first, financially supported by the scheme then </w:t>
      </w:r>
      <w:r w:rsidR="003206DF" w:rsidRPr="000D65CF">
        <w:rPr>
          <w:lang w:val="en-US"/>
        </w:rPr>
        <w:t>penalized</w:t>
      </w:r>
      <w:r w:rsidR="000D65CF" w:rsidRPr="000D65CF">
        <w:rPr>
          <w:lang w:val="en-US"/>
        </w:rPr>
        <w:t xml:space="preserve"> in the longer term – reflecting that the tightening of CO</w:t>
      </w:r>
      <w:r w:rsidR="000D65CF" w:rsidRPr="000D65CF">
        <w:rPr>
          <w:vertAlign w:val="subscript"/>
          <w:lang w:val="en-US"/>
        </w:rPr>
        <w:t>2</w:t>
      </w:r>
      <w:r w:rsidR="000D65CF" w:rsidRPr="000D65CF">
        <w:rPr>
          <w:lang w:val="en-US"/>
        </w:rPr>
        <w:t xml:space="preserve"> limits outpaces the fuel efficiency improvements assumed for diesel ICV technology. This scenario variant further result</w:t>
      </w:r>
      <w:r w:rsidR="003206DF">
        <w:rPr>
          <w:lang w:val="en-US"/>
        </w:rPr>
        <w:t xml:space="preserve">ed </w:t>
      </w:r>
      <w:r w:rsidR="000D65CF" w:rsidRPr="000D65CF">
        <w:rPr>
          <w:lang w:val="en-US"/>
        </w:rPr>
        <w:t xml:space="preserve">in a 40-year net present value (NPV, at a social discount rate of 3.5%) for vehicle based revenue streams of GBP -1.3 billion – a NPV value that </w:t>
      </w:r>
      <w:r w:rsidR="003206DF">
        <w:rPr>
          <w:lang w:val="en-US"/>
        </w:rPr>
        <w:t>was</w:t>
      </w:r>
      <w:r w:rsidR="000D65CF" w:rsidRPr="000D65CF">
        <w:rPr>
          <w:lang w:val="en-US"/>
        </w:rPr>
        <w:t xml:space="preserve"> closest to zero amongst all the policy scenarios. </w:t>
      </w:r>
      <w:r w:rsidR="003206DF">
        <w:rPr>
          <w:lang w:val="en-US"/>
        </w:rPr>
        <w:t>In contrast, t</w:t>
      </w:r>
      <w:r w:rsidR="000D65CF" w:rsidRPr="000D65CF">
        <w:rPr>
          <w:lang w:val="en-US"/>
        </w:rPr>
        <w:t xml:space="preserve">he ‘high’ </w:t>
      </w:r>
      <w:proofErr w:type="spellStart"/>
      <w:r w:rsidR="000D65CF" w:rsidRPr="000D65CF">
        <w:rPr>
          <w:lang w:val="en-US"/>
        </w:rPr>
        <w:t>feebate</w:t>
      </w:r>
      <w:proofErr w:type="spellEnd"/>
      <w:r w:rsidR="000D65CF" w:rsidRPr="000D65CF">
        <w:rPr>
          <w:lang w:val="en-US"/>
        </w:rPr>
        <w:t xml:space="preserve"> scheme (CPT3) result</w:t>
      </w:r>
      <w:r w:rsidR="003206DF">
        <w:rPr>
          <w:lang w:val="en-US"/>
        </w:rPr>
        <w:t>ed</w:t>
      </w:r>
      <w:r w:rsidR="000D65CF" w:rsidRPr="000D65CF">
        <w:rPr>
          <w:lang w:val="en-US"/>
        </w:rPr>
        <w:t xml:space="preserve"> in lower revenue income and higher subsidies in the longer</w:t>
      </w:r>
      <w:r w:rsidR="003206DF">
        <w:rPr>
          <w:lang w:val="en-US"/>
        </w:rPr>
        <w:t xml:space="preserve"> term as rebates outweigh fees</w:t>
      </w:r>
      <w:r w:rsidR="007172CF">
        <w:rPr>
          <w:lang w:val="en-US"/>
        </w:rPr>
        <w:t xml:space="preserve">. This imbalance would probably be </w:t>
      </w:r>
      <w:r w:rsidR="003206DF">
        <w:rPr>
          <w:lang w:val="en-US"/>
        </w:rPr>
        <w:t xml:space="preserve">corrected </w:t>
      </w:r>
      <w:r w:rsidR="007172CF">
        <w:rPr>
          <w:lang w:val="en-US"/>
        </w:rPr>
        <w:t>towards neutrality, similar to the situation in France where changes to the B</w:t>
      </w:r>
      <w:r w:rsidR="007172CF" w:rsidRPr="007172CF">
        <w:rPr>
          <w:lang w:val="en-US"/>
        </w:rPr>
        <w:t>onus</w:t>
      </w:r>
      <w:r w:rsidR="007172CF">
        <w:rPr>
          <w:lang w:val="en-US"/>
        </w:rPr>
        <w:t>/</w:t>
      </w:r>
      <w:proofErr w:type="spellStart"/>
      <w:r w:rsidR="007172CF">
        <w:rPr>
          <w:lang w:val="en-US"/>
        </w:rPr>
        <w:t>M</w:t>
      </w:r>
      <w:r w:rsidR="007172CF" w:rsidRPr="007172CF">
        <w:rPr>
          <w:lang w:val="en-US"/>
        </w:rPr>
        <w:t>alus</w:t>
      </w:r>
      <w:proofErr w:type="spellEnd"/>
      <w:r w:rsidR="007172CF" w:rsidRPr="007172CF">
        <w:rPr>
          <w:lang w:val="en-US"/>
        </w:rPr>
        <w:t xml:space="preserve"> program</w:t>
      </w:r>
      <w:r w:rsidR="007172CF">
        <w:rPr>
          <w:lang w:val="en-US"/>
        </w:rPr>
        <w:t xml:space="preserve"> were implemented in order to reduce the scheme’s deficit</w:t>
      </w:r>
      <w:r w:rsidR="007172CF" w:rsidRPr="007172CF">
        <w:rPr>
          <w:lang w:val="en-US"/>
        </w:rPr>
        <w:t xml:space="preserve"> </w:t>
      </w:r>
      <w:r w:rsidR="00880B2F">
        <w:rPr>
          <w:lang w:val="en-US"/>
        </w:rPr>
        <w:fldChar w:fldCharType="begin"/>
      </w:r>
      <w:r w:rsidR="00C2662B">
        <w:rPr>
          <w:lang w:val="en-US"/>
        </w:rPr>
        <w:instrText xml:space="preserve"> ADDIN EN.CITE &lt;EndNote&gt;&lt;Cite&gt;&lt;Author&gt;Diem&lt;/Author&gt;&lt;Year&gt;2011&lt;/Year&gt;&lt;RecNum&gt;937&lt;/RecNum&gt;&lt;DisplayText&gt;(Diem, 2011)&lt;/DisplayText&gt;&lt;record&gt;&lt;rec-number&gt;937&lt;/rec-number&gt;&lt;foreign-keys&gt;&lt;key app="EN" db-id="a0wpest2552swgezzsnxxwsnpp9axwswpaww"&gt;937&lt;/key&gt;&lt;/foreign-keys&gt;&lt;ref-type name="Newspaper Article"&gt;23&lt;/ref-type&gt;&lt;contributors&gt;&lt;authors&gt;&lt;author&gt;William Diem&lt;/author&gt;&lt;/authors&gt;&lt;/contributors&gt;&lt;titles&gt;&lt;title&gt;France Cuts High-Mileage Car Bonuses, Hikes Gas-Hog Levies &lt;/title&gt;&lt;secondary-title&gt;WardsAuto.com&lt;/secondary-title&gt;&lt;/titles&gt;&lt;dates&gt;&lt;year&gt;2011&lt;/year&gt;&lt;/dates&gt;&lt;publisher&gt;Penton Media, Inc.&lt;/publisher&gt;&lt;urls&gt;&lt;/urls&gt;&lt;/record&gt;&lt;/Cite&gt;&lt;/EndNote&gt;</w:instrText>
      </w:r>
      <w:r w:rsidR="00880B2F">
        <w:rPr>
          <w:lang w:val="en-US"/>
        </w:rPr>
        <w:fldChar w:fldCharType="separate"/>
      </w:r>
      <w:r w:rsidR="00C2662B">
        <w:rPr>
          <w:noProof/>
          <w:lang w:val="en-US"/>
        </w:rPr>
        <w:t>(</w:t>
      </w:r>
      <w:hyperlink w:anchor="_ENREF_21" w:tooltip="Diem, 2011 #937" w:history="1">
        <w:r w:rsidR="00D67197">
          <w:rPr>
            <w:noProof/>
            <w:lang w:val="en-US"/>
          </w:rPr>
          <w:t>Diem, 2011</w:t>
        </w:r>
      </w:hyperlink>
      <w:r w:rsidR="00C2662B">
        <w:rPr>
          <w:noProof/>
          <w:lang w:val="en-US"/>
        </w:rPr>
        <w:t>)</w:t>
      </w:r>
      <w:r w:rsidR="00880B2F">
        <w:rPr>
          <w:lang w:val="en-US"/>
        </w:rPr>
        <w:fldChar w:fldCharType="end"/>
      </w:r>
      <w:r w:rsidR="007172CF">
        <w:rPr>
          <w:lang w:val="en-US"/>
        </w:rPr>
        <w:t>.</w:t>
      </w:r>
    </w:p>
    <w:p w14:paraId="17F0846A" w14:textId="77777777" w:rsidR="0070431A" w:rsidRPr="00C64BF5" w:rsidRDefault="0070431A" w:rsidP="00CD2B3E">
      <w:pPr>
        <w:rPr>
          <w:lang w:val="en-US"/>
        </w:rPr>
      </w:pPr>
    </w:p>
    <w:p w14:paraId="0114984D" w14:textId="77777777" w:rsidR="00CD2B3E" w:rsidRPr="00C64BF5" w:rsidRDefault="00061FDF" w:rsidP="00CD2B3E">
      <w:pPr>
        <w:keepNext/>
        <w:jc w:val="center"/>
        <w:rPr>
          <w:lang w:val="en-US"/>
        </w:rPr>
      </w:pPr>
      <w:r>
        <w:rPr>
          <w:noProof/>
          <w:lang w:val="en-GB" w:eastAsia="zh-CN"/>
        </w:rPr>
        <w:drawing>
          <wp:inline distT="0" distB="0" distL="0" distR="0" wp14:anchorId="741D38F0" wp14:editId="201E4820">
            <wp:extent cx="5760000" cy="4057200"/>
            <wp:effectExtent l="0" t="0" r="0" b="0"/>
            <wp:docPr id="2" name="Chart 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0E236185" w14:textId="77777777" w:rsidR="00CD2B3E" w:rsidRPr="00C64BF5" w:rsidRDefault="00CD2B3E" w:rsidP="00CD2B3E">
      <w:pPr>
        <w:pStyle w:val="Caption"/>
      </w:pPr>
      <w:bookmarkStart w:id="11" w:name="_Ref288130946"/>
      <w:r w:rsidRPr="00C64BF5">
        <w:t xml:space="preserve">Figure </w:t>
      </w:r>
      <w:r w:rsidR="00880B2F">
        <w:fldChar w:fldCharType="begin"/>
      </w:r>
      <w:r w:rsidR="000A64E7">
        <w:instrText xml:space="preserve"> SEQ Figure \* ARABIC </w:instrText>
      </w:r>
      <w:r w:rsidR="00880B2F">
        <w:fldChar w:fldCharType="separate"/>
      </w:r>
      <w:r w:rsidR="003C4C97">
        <w:rPr>
          <w:noProof/>
        </w:rPr>
        <w:t>10</w:t>
      </w:r>
      <w:r w:rsidR="00880B2F">
        <w:rPr>
          <w:noProof/>
        </w:rPr>
        <w:fldChar w:fldCharType="end"/>
      </w:r>
      <w:bookmarkEnd w:id="11"/>
      <w:r w:rsidR="000D65CF" w:rsidRPr="000D65CF">
        <w:t xml:space="preserve">: Revenue streams from fees and rebates for the ‘medium’ ambition car purchase </w:t>
      </w:r>
      <w:proofErr w:type="spellStart"/>
      <w:r w:rsidR="000D65CF" w:rsidRPr="000D65CF">
        <w:t>feebate</w:t>
      </w:r>
      <w:proofErr w:type="spellEnd"/>
      <w:r w:rsidR="000D65CF" w:rsidRPr="000D65CF">
        <w:t xml:space="preserve"> (CPT2b, with GBP3</w:t>
      </w:r>
      <w:proofErr w:type="gramStart"/>
      <w:r w:rsidR="000D65CF" w:rsidRPr="000D65CF">
        <w:t>,000</w:t>
      </w:r>
      <w:proofErr w:type="gramEnd"/>
      <w:r w:rsidR="000D65CF" w:rsidRPr="000D65CF">
        <w:t xml:space="preserve"> top rebate and GBP0.06/kWh electric fuel duty)</w:t>
      </w:r>
    </w:p>
    <w:p w14:paraId="7E60F0D9" w14:textId="77777777" w:rsidR="00134776" w:rsidRPr="00C64BF5" w:rsidRDefault="00134776" w:rsidP="00134776">
      <w:pPr>
        <w:rPr>
          <w:lang w:val="en-US"/>
        </w:rPr>
      </w:pPr>
      <w:r w:rsidRPr="000D65CF">
        <w:rPr>
          <w:lang w:val="en-US"/>
        </w:rPr>
        <w:t xml:space="preserve">The more ambitious scrappage schemes (SCR2/2a/3) </w:t>
      </w:r>
      <w:r>
        <w:rPr>
          <w:lang w:val="en-US"/>
        </w:rPr>
        <w:t xml:space="preserve">essentially </w:t>
      </w:r>
      <w:r w:rsidRPr="000D65CF">
        <w:rPr>
          <w:lang w:val="en-US"/>
        </w:rPr>
        <w:t>subsidi</w:t>
      </w:r>
      <w:r>
        <w:rPr>
          <w:lang w:val="en-US"/>
        </w:rPr>
        <w:t>z</w:t>
      </w:r>
      <w:r w:rsidRPr="000D65CF">
        <w:rPr>
          <w:lang w:val="en-US"/>
        </w:rPr>
        <w:t>e</w:t>
      </w:r>
      <w:r>
        <w:rPr>
          <w:lang w:val="en-US"/>
        </w:rPr>
        <w:t>d</w:t>
      </w:r>
      <w:r w:rsidRPr="000D65CF">
        <w:rPr>
          <w:lang w:val="en-US"/>
        </w:rPr>
        <w:t xml:space="preserve"> the car manufacturing industry. The ‘high’ ambition scrappage rebate scheme (SCR3), for instance, implie</w:t>
      </w:r>
      <w:r>
        <w:rPr>
          <w:lang w:val="en-US"/>
        </w:rPr>
        <w:t>d</w:t>
      </w:r>
      <w:r w:rsidRPr="000D65CF">
        <w:rPr>
          <w:lang w:val="en-US"/>
        </w:rPr>
        <w:t xml:space="preserve"> subsidies totaling GBP</w:t>
      </w:r>
      <w:r>
        <w:rPr>
          <w:lang w:val="en-US"/>
        </w:rPr>
        <w:t>0.</w:t>
      </w:r>
      <w:r w:rsidRPr="000D65CF">
        <w:rPr>
          <w:lang w:val="en-US"/>
        </w:rPr>
        <w:t xml:space="preserve">13 </w:t>
      </w:r>
      <w:r>
        <w:rPr>
          <w:lang w:val="en-US"/>
        </w:rPr>
        <w:t>b</w:t>
      </w:r>
      <w:r w:rsidRPr="000D65CF">
        <w:rPr>
          <w:lang w:val="en-US"/>
        </w:rPr>
        <w:t>illion in 2020, rising to GBP</w:t>
      </w:r>
      <w:r>
        <w:rPr>
          <w:lang w:val="en-US"/>
        </w:rPr>
        <w:t>0.</w:t>
      </w:r>
      <w:r w:rsidRPr="000D65CF">
        <w:rPr>
          <w:lang w:val="en-US"/>
        </w:rPr>
        <w:t xml:space="preserve">35 </w:t>
      </w:r>
      <w:r>
        <w:rPr>
          <w:lang w:val="en-US"/>
        </w:rPr>
        <w:t>b</w:t>
      </w:r>
      <w:r w:rsidRPr="000D65CF">
        <w:rPr>
          <w:lang w:val="en-US"/>
        </w:rPr>
        <w:t>illion in 2050, as well as lost revenue from fuel taxation of GBP</w:t>
      </w:r>
      <w:r>
        <w:rPr>
          <w:lang w:val="en-US"/>
        </w:rPr>
        <w:t>0.</w:t>
      </w:r>
      <w:r w:rsidRPr="000D65CF">
        <w:rPr>
          <w:lang w:val="en-US"/>
        </w:rPr>
        <w:t xml:space="preserve">16 </w:t>
      </w:r>
      <w:r>
        <w:rPr>
          <w:lang w:val="en-US"/>
        </w:rPr>
        <w:t>b</w:t>
      </w:r>
      <w:r w:rsidRPr="000D65CF">
        <w:rPr>
          <w:lang w:val="en-US"/>
        </w:rPr>
        <w:t>illion in 2020 rising to GBP</w:t>
      </w:r>
      <w:r>
        <w:rPr>
          <w:lang w:val="en-US"/>
        </w:rPr>
        <w:t>0.</w:t>
      </w:r>
      <w:r w:rsidRPr="000D65CF">
        <w:rPr>
          <w:lang w:val="en-US"/>
        </w:rPr>
        <w:t>7</w:t>
      </w:r>
      <w:r>
        <w:rPr>
          <w:lang w:val="en-US"/>
        </w:rPr>
        <w:t>7</w:t>
      </w:r>
      <w:r w:rsidRPr="000D65CF">
        <w:rPr>
          <w:lang w:val="en-US"/>
        </w:rPr>
        <w:t xml:space="preserve"> </w:t>
      </w:r>
      <w:r>
        <w:rPr>
          <w:lang w:val="en-US"/>
        </w:rPr>
        <w:t>b</w:t>
      </w:r>
      <w:r w:rsidRPr="000D65CF">
        <w:rPr>
          <w:lang w:val="en-US"/>
        </w:rPr>
        <w:t>illion in 2050. This can be explained by moderate fuel switching against the background of small increases in car use.</w:t>
      </w:r>
    </w:p>
    <w:p w14:paraId="6804AFC0" w14:textId="77777777" w:rsidR="00134776" w:rsidRDefault="00134776" w:rsidP="00134776">
      <w:pPr>
        <w:rPr>
          <w:lang w:val="en-US"/>
        </w:rPr>
      </w:pPr>
    </w:p>
    <w:p w14:paraId="16D7452D" w14:textId="77777777" w:rsidR="00134776" w:rsidRPr="00C64BF5" w:rsidRDefault="00134776" w:rsidP="00134776">
      <w:pPr>
        <w:rPr>
          <w:lang w:val="en-US"/>
        </w:rPr>
      </w:pPr>
      <w:r w:rsidRPr="000D65CF">
        <w:rPr>
          <w:lang w:val="en-US"/>
        </w:rPr>
        <w:t xml:space="preserve">On pure revenue generating terms the VED schemes </w:t>
      </w:r>
      <w:r>
        <w:rPr>
          <w:lang w:val="en-US"/>
        </w:rPr>
        <w:t>were</w:t>
      </w:r>
      <w:r w:rsidRPr="000D65CF">
        <w:rPr>
          <w:lang w:val="en-US"/>
        </w:rPr>
        <w:t xml:space="preserve"> the clear winners, in particular the VED schemes that tighten CO</w:t>
      </w:r>
      <w:r w:rsidRPr="000D65CF">
        <w:rPr>
          <w:vertAlign w:val="subscript"/>
          <w:lang w:val="en-US"/>
        </w:rPr>
        <w:t>2</w:t>
      </w:r>
      <w:r w:rsidRPr="000D65CF">
        <w:rPr>
          <w:lang w:val="en-US"/>
        </w:rPr>
        <w:t xml:space="preserve"> limits over time (VED2/3). These </w:t>
      </w:r>
      <w:r>
        <w:rPr>
          <w:lang w:val="en-US"/>
        </w:rPr>
        <w:t>were</w:t>
      </w:r>
      <w:r w:rsidRPr="000D65CF">
        <w:rPr>
          <w:lang w:val="en-US"/>
        </w:rPr>
        <w:t xml:space="preserve"> only partially offset by the loss of fuel duty revenues so that net revenues total</w:t>
      </w:r>
      <w:r>
        <w:rPr>
          <w:lang w:val="en-US"/>
        </w:rPr>
        <w:t>ed</w:t>
      </w:r>
      <w:r w:rsidRPr="000D65CF">
        <w:rPr>
          <w:lang w:val="en-US"/>
        </w:rPr>
        <w:t xml:space="preserve"> between GBP3.8 billion (VED2) and GBP9.9 billion (VED3) in 2030, with even higher revenues of GBP9.8 billion (VED2) and GBP16.3 billion (VED3) in 2050. Even the recently amended regime (VED1) provide</w:t>
      </w:r>
      <w:r>
        <w:rPr>
          <w:lang w:val="en-US"/>
        </w:rPr>
        <w:t>d</w:t>
      </w:r>
      <w:r w:rsidRPr="000D65CF">
        <w:rPr>
          <w:lang w:val="en-US"/>
        </w:rPr>
        <w:t xml:space="preserve"> net increases in revenues of up to GBP1.7 billion in 2050 over the baseline </w:t>
      </w:r>
      <w:r>
        <w:rPr>
          <w:lang w:val="en-US"/>
        </w:rPr>
        <w:t>(</w:t>
      </w:r>
      <w:r w:rsidRPr="000D65CF">
        <w:rPr>
          <w:lang w:val="en-US"/>
        </w:rPr>
        <w:t>pre-April 2010</w:t>
      </w:r>
      <w:r>
        <w:rPr>
          <w:lang w:val="en-US"/>
        </w:rPr>
        <w:t>)</w:t>
      </w:r>
      <w:r w:rsidRPr="000D65CF">
        <w:rPr>
          <w:lang w:val="en-US"/>
        </w:rPr>
        <w:t xml:space="preserve"> policy</w:t>
      </w:r>
      <w:r>
        <w:rPr>
          <w:lang w:val="en-US"/>
        </w:rPr>
        <w:t xml:space="preserve"> – a 7% increase of current road fuel tax revenues</w:t>
      </w:r>
      <w:r w:rsidRPr="000D65CF">
        <w:rPr>
          <w:lang w:val="en-US"/>
        </w:rPr>
        <w:t xml:space="preserve">. </w:t>
      </w:r>
    </w:p>
    <w:p w14:paraId="5B857C74" w14:textId="77777777" w:rsidR="00134776" w:rsidRPr="00C64BF5" w:rsidRDefault="00134776" w:rsidP="00A018D1">
      <w:pPr>
        <w:rPr>
          <w:lang w:val="en-US"/>
        </w:rPr>
      </w:pPr>
    </w:p>
    <w:p w14:paraId="2B045552" w14:textId="77777777" w:rsidR="008A36A2" w:rsidRPr="00C64BF5" w:rsidRDefault="000D65CF" w:rsidP="000D72BE">
      <w:pPr>
        <w:pStyle w:val="Heading1"/>
        <w:rPr>
          <w:lang w:val="en-US"/>
        </w:rPr>
      </w:pPr>
      <w:r w:rsidRPr="000D65CF">
        <w:rPr>
          <w:lang w:val="en-US"/>
        </w:rPr>
        <w:t xml:space="preserve">5 DISCUSSION </w:t>
      </w:r>
    </w:p>
    <w:p w14:paraId="07D13EEB" w14:textId="2F83D485" w:rsidR="00D80D45" w:rsidRDefault="000D65CF" w:rsidP="00A018D1">
      <w:pPr>
        <w:rPr>
          <w:lang w:val="en-GB"/>
        </w:rPr>
      </w:pPr>
      <w:r w:rsidRPr="005E32F6">
        <w:rPr>
          <w:lang w:val="en-US"/>
        </w:rPr>
        <w:t xml:space="preserve">The results </w:t>
      </w:r>
      <w:r w:rsidR="00EA2469">
        <w:rPr>
          <w:lang w:val="en-US"/>
        </w:rPr>
        <w:t xml:space="preserve">of a number of relevant UK policy scenarios </w:t>
      </w:r>
      <w:r w:rsidRPr="005E32F6">
        <w:rPr>
          <w:lang w:val="en-US"/>
        </w:rPr>
        <w:t xml:space="preserve">presented above </w:t>
      </w:r>
      <w:r w:rsidR="00EA2469">
        <w:rPr>
          <w:lang w:val="en-US"/>
        </w:rPr>
        <w:t xml:space="preserve">provide further evidence </w:t>
      </w:r>
      <w:r w:rsidRPr="005E32F6">
        <w:rPr>
          <w:lang w:val="en-US"/>
        </w:rPr>
        <w:t>that policy choice, design and timing can play crucial roles in meeting multiple policy goals</w:t>
      </w:r>
      <w:r w:rsidR="00D34A8D">
        <w:rPr>
          <w:lang w:val="en-US"/>
        </w:rPr>
        <w:t xml:space="preserve"> </w:t>
      </w:r>
      <w:r w:rsidR="00D34A8D">
        <w:rPr>
          <w:lang w:val="en-US"/>
        </w:rPr>
        <w:fldChar w:fldCharType="begin"/>
      </w:r>
      <w:r w:rsidR="006055F7">
        <w:rPr>
          <w:lang w:val="en-US"/>
        </w:rPr>
        <w:instrText xml:space="preserve"> ADDIN EN.CITE &lt;EndNote&gt;&lt;Cite&gt;&lt;Author&gt;Bunch&lt;/Author&gt;&lt;Year&gt;2010&lt;/Year&gt;&lt;RecNum&gt;993&lt;/RecNum&gt;&lt;DisplayText&gt;(Bunch and Greene, 2010; Peters et al., 2008)&lt;/DisplayText&gt;&lt;record&gt;&lt;rec-number&gt;993&lt;/rec-number&gt;&lt;foreign-keys&gt;&lt;key app="EN" db-id="a0wpest2552swgezzsnxxwsnpp9axwswpaww"&gt;993&lt;/key&gt;&lt;/foreign-keys&gt;&lt;ref-type name="Report"&gt;27&lt;/ref-type&gt;&lt;contributors&gt;&lt;authors&gt;&lt;author&gt;Bunch, David S.&lt;/author&gt;&lt;author&gt;Greene, David L.&lt;/author&gt;&lt;/authors&gt;&lt;/contributors&gt;&lt;titles&gt;&lt;title&gt;Potential Design, Implementation, and Benefits of a Feebate Program for New Passenger Vehicles in California: Interim Statement of Research Findings, Research Report UCD-ITS-RR-10-13&lt;/title&gt;&lt;/titles&gt;&lt;dates&gt;&lt;year&gt;2010&lt;/year&gt;&lt;/dates&gt;&lt;publisher&gt;Institute of Transportation Studies, University of California, Davis&lt;/publisher&gt;&lt;urls&gt;&lt;/urls&gt;&lt;/record&gt;&lt;/Cite&gt;&lt;Cite&gt;&lt;Author&gt;Peters&lt;/Author&gt;&lt;Year&gt;2008&lt;/Year&gt;&lt;RecNum&gt;868&lt;/RecNum&gt;&lt;record&gt;&lt;rec-number&gt;868&lt;/rec-number&gt;&lt;foreign-keys&gt;&lt;key app="EN" db-id="a0wpest2552swgezzsnxxwsnpp9axwswpaww"&gt;868&lt;/key&gt;&lt;/foreign-keys&gt;&lt;ref-type name="Journal Article"&gt;17&lt;/ref-type&gt;&lt;contributors&gt;&lt;authors&gt;&lt;author&gt;Peters, Anja&lt;/author&gt;&lt;author&gt;Mueller, Michel G.&lt;/author&gt;&lt;author&gt;de Haan, Peter&lt;/author&gt;&lt;author&gt;Scholz, Roland W.&lt;/author&gt;&lt;/authors&gt;&lt;/contributors&gt;&lt;titles&gt;&lt;title&gt;Feebates promoting energy-efficient cars: Design options to address more consumers and possible counteracting effects&lt;/title&gt;&lt;secondary-title&gt;Energy Policy&lt;/secondary-title&gt;&lt;/titles&gt;&lt;periodical&gt;&lt;full-title&gt;Energy Policy&lt;/full-title&gt;&lt;/periodical&gt;&lt;pages&gt;1355-1365&lt;/pages&gt;&lt;volume&gt;36&lt;/volume&gt;&lt;number&gt;4&lt;/number&gt;&lt;keywords&gt;&lt;keyword&gt;Consumer behavior&lt;/keyword&gt;&lt;keyword&gt;Incentive schemes&lt;/keyword&gt;&lt;keyword&gt;Policy design&lt;/keyword&gt;&lt;/keywords&gt;&lt;dates&gt;&lt;year&gt;2008&lt;/year&gt;&lt;/dates&gt;&lt;isbn&gt;0301-4215&lt;/isbn&gt;&lt;urls&gt;&lt;related-urls&gt;&lt;url&gt;http://www.sciencedirect.com/science/article/B6V2W-4RPKYSK-1/2/1bd7a1b215495be9da6c3af647bf1a70&lt;/url&gt;&lt;/related-urls&gt;&lt;/urls&gt;&lt;/record&gt;&lt;/Cite&gt;&lt;/EndNote&gt;</w:instrText>
      </w:r>
      <w:r w:rsidR="00D34A8D">
        <w:rPr>
          <w:lang w:val="en-US"/>
        </w:rPr>
        <w:fldChar w:fldCharType="separate"/>
      </w:r>
      <w:r w:rsidR="006055F7">
        <w:rPr>
          <w:noProof/>
          <w:lang w:val="en-US"/>
        </w:rPr>
        <w:t>(</w:t>
      </w:r>
      <w:hyperlink w:anchor="_ENREF_13" w:tooltip="Bunch, 2010 #993" w:history="1">
        <w:r w:rsidR="00D67197">
          <w:rPr>
            <w:noProof/>
            <w:lang w:val="en-US"/>
          </w:rPr>
          <w:t>Bunch and Greene, 2010</w:t>
        </w:r>
      </w:hyperlink>
      <w:r w:rsidR="006055F7">
        <w:rPr>
          <w:noProof/>
          <w:lang w:val="en-US"/>
        </w:rPr>
        <w:t xml:space="preserve">; </w:t>
      </w:r>
      <w:hyperlink w:anchor="_ENREF_59" w:tooltip="Peters, 2008 #868" w:history="1">
        <w:r w:rsidR="00D67197">
          <w:rPr>
            <w:noProof/>
            <w:lang w:val="en-US"/>
          </w:rPr>
          <w:t>Peters et al., 2008</w:t>
        </w:r>
      </w:hyperlink>
      <w:r w:rsidR="006055F7">
        <w:rPr>
          <w:noProof/>
          <w:lang w:val="en-US"/>
        </w:rPr>
        <w:t>)</w:t>
      </w:r>
      <w:r w:rsidR="00D34A8D">
        <w:rPr>
          <w:lang w:val="en-US"/>
        </w:rPr>
        <w:fldChar w:fldCharType="end"/>
      </w:r>
      <w:r w:rsidRPr="005E32F6">
        <w:rPr>
          <w:lang w:val="en-US"/>
        </w:rPr>
        <w:t>.</w:t>
      </w:r>
      <w:r w:rsidR="00E86717" w:rsidRPr="005E32F6">
        <w:rPr>
          <w:lang w:val="en-US"/>
        </w:rPr>
        <w:t xml:space="preserve"> </w:t>
      </w:r>
      <w:r w:rsidR="003C4C97" w:rsidRPr="005E32F6">
        <w:rPr>
          <w:lang w:val="en-US"/>
        </w:rPr>
        <w:t xml:space="preserve">Of all the policy types and </w:t>
      </w:r>
      <w:r w:rsidR="00E86717" w:rsidRPr="005E32F6">
        <w:rPr>
          <w:lang w:val="en-US"/>
        </w:rPr>
        <w:t xml:space="preserve">potential UK policy </w:t>
      </w:r>
      <w:r w:rsidR="003C4C97" w:rsidRPr="005E32F6">
        <w:rPr>
          <w:lang w:val="en-US"/>
        </w:rPr>
        <w:t xml:space="preserve">ambitions modeled for this paper, the </w:t>
      </w:r>
      <w:r w:rsidR="00E86717" w:rsidRPr="005E32F6">
        <w:rPr>
          <w:lang w:val="en-US"/>
        </w:rPr>
        <w:t xml:space="preserve">more ambitious </w:t>
      </w:r>
      <w:proofErr w:type="spellStart"/>
      <w:r w:rsidR="003C4C97" w:rsidRPr="005E32F6">
        <w:rPr>
          <w:lang w:val="en-US"/>
        </w:rPr>
        <w:t>feebate</w:t>
      </w:r>
      <w:proofErr w:type="spellEnd"/>
      <w:r w:rsidR="003C4C97" w:rsidRPr="005E32F6">
        <w:rPr>
          <w:lang w:val="en-US"/>
        </w:rPr>
        <w:t xml:space="preserve"> schemes </w:t>
      </w:r>
      <w:r w:rsidR="00E86717" w:rsidRPr="005E32F6">
        <w:rPr>
          <w:lang w:val="en-US"/>
        </w:rPr>
        <w:t>were</w:t>
      </w:r>
      <w:r w:rsidR="003C4C97" w:rsidRPr="005E32F6">
        <w:rPr>
          <w:lang w:val="en-US"/>
        </w:rPr>
        <w:t xml:space="preserve"> faster in accelerating low carbon and plugged-in technology uptake, particularly in the short to medium term. </w:t>
      </w:r>
      <w:r w:rsidR="003C4C97" w:rsidRPr="005E32F6">
        <w:rPr>
          <w:lang w:val="en-GB"/>
        </w:rPr>
        <w:t xml:space="preserve">However, since the tax/rebate levels are set at slightly different amounts within policy </w:t>
      </w:r>
      <w:r w:rsidR="003C4C97" w:rsidRPr="005E32F6">
        <w:rPr>
          <w:lang w:val="en-GB"/>
        </w:rPr>
        <w:lastRenderedPageBreak/>
        <w:t xml:space="preserve">ambitions, it cannot be judged conclusively whether this is a result of more favourable parameters </w:t>
      </w:r>
      <w:r w:rsidR="00760D21">
        <w:rPr>
          <w:lang w:val="en-GB"/>
        </w:rPr>
        <w:t xml:space="preserve">(as modelled) </w:t>
      </w:r>
      <w:r w:rsidR="003C4C97" w:rsidRPr="005E32F6">
        <w:rPr>
          <w:lang w:val="en-GB"/>
        </w:rPr>
        <w:t xml:space="preserve">or whether </w:t>
      </w:r>
      <w:r w:rsidR="00D80D45">
        <w:rPr>
          <w:lang w:val="en-GB"/>
        </w:rPr>
        <w:t xml:space="preserve">one </w:t>
      </w:r>
      <w:r w:rsidR="003C4C97" w:rsidRPr="005E32F6">
        <w:rPr>
          <w:lang w:val="en-GB"/>
        </w:rPr>
        <w:t>type of instrument is more effective than</w:t>
      </w:r>
      <w:r w:rsidR="00D80D45">
        <w:rPr>
          <w:lang w:val="en-GB"/>
        </w:rPr>
        <w:t xml:space="preserve"> another.</w:t>
      </w:r>
    </w:p>
    <w:p w14:paraId="788C2490" w14:textId="77777777" w:rsidR="00D80D45" w:rsidRDefault="00D80D45" w:rsidP="00A018D1">
      <w:pPr>
        <w:rPr>
          <w:lang w:val="en-GB"/>
        </w:rPr>
      </w:pPr>
    </w:p>
    <w:p w14:paraId="5235F65E" w14:textId="18E7D61D" w:rsidR="006C599E" w:rsidRDefault="000E2173" w:rsidP="00A018D1">
      <w:pPr>
        <w:rPr>
          <w:lang w:val="en-US"/>
        </w:rPr>
      </w:pPr>
      <w:r>
        <w:rPr>
          <w:lang w:val="en-GB"/>
        </w:rPr>
        <w:t>In terms of adoption rates of low carbon vehicles</w:t>
      </w:r>
      <w:r w:rsidR="00A9117A">
        <w:rPr>
          <w:lang w:val="en-GB"/>
        </w:rPr>
        <w:t xml:space="preserve"> and </w:t>
      </w:r>
      <w:r w:rsidR="00D34A8D">
        <w:rPr>
          <w:lang w:val="en-GB"/>
        </w:rPr>
        <w:t>carbon</w:t>
      </w:r>
      <w:r w:rsidR="00A9117A">
        <w:rPr>
          <w:lang w:val="en-GB"/>
        </w:rPr>
        <w:t xml:space="preserve"> emissions savings</w:t>
      </w:r>
      <w:r>
        <w:rPr>
          <w:lang w:val="en-GB"/>
        </w:rPr>
        <w:t>,</w:t>
      </w:r>
      <w:r>
        <w:rPr>
          <w:lang w:val="en-US"/>
        </w:rPr>
        <w:t xml:space="preserve"> t</w:t>
      </w:r>
      <w:r w:rsidR="00E86717" w:rsidRPr="005E32F6">
        <w:rPr>
          <w:lang w:val="en-GB"/>
        </w:rPr>
        <w:t>he</w:t>
      </w:r>
      <w:r w:rsidR="000D65CF" w:rsidRPr="005E32F6">
        <w:rPr>
          <w:lang w:val="en-US"/>
        </w:rPr>
        <w:t xml:space="preserve"> result</w:t>
      </w:r>
      <w:r w:rsidR="00E86717" w:rsidRPr="005E32F6">
        <w:rPr>
          <w:lang w:val="en-US"/>
        </w:rPr>
        <w:t>s</w:t>
      </w:r>
      <w:r w:rsidR="000D65CF" w:rsidRPr="005E32F6">
        <w:rPr>
          <w:lang w:val="en-US"/>
        </w:rPr>
        <w:t xml:space="preserve"> </w:t>
      </w:r>
      <w:r>
        <w:rPr>
          <w:lang w:val="en-US"/>
        </w:rPr>
        <w:t xml:space="preserve">of this study </w:t>
      </w:r>
      <w:r w:rsidR="00E86717" w:rsidRPr="005E32F6">
        <w:rPr>
          <w:lang w:val="en-US"/>
        </w:rPr>
        <w:t xml:space="preserve">are </w:t>
      </w:r>
      <w:r>
        <w:rPr>
          <w:lang w:val="en-US"/>
        </w:rPr>
        <w:t xml:space="preserve">generally </w:t>
      </w:r>
      <w:r w:rsidR="000D65CF" w:rsidRPr="005E32F6">
        <w:rPr>
          <w:lang w:val="en-US"/>
        </w:rPr>
        <w:t xml:space="preserve">in line </w:t>
      </w:r>
      <w:r w:rsidR="00D80D45">
        <w:rPr>
          <w:lang w:val="en-US"/>
        </w:rPr>
        <w:t xml:space="preserve">with </w:t>
      </w:r>
      <w:r w:rsidR="006C599E">
        <w:rPr>
          <w:lang w:val="en-US"/>
        </w:rPr>
        <w:t>other</w:t>
      </w:r>
      <w:r w:rsidR="009D6CBB">
        <w:rPr>
          <w:lang w:val="en-US"/>
        </w:rPr>
        <w:t xml:space="preserve"> </w:t>
      </w:r>
      <w:r w:rsidR="000D65CF" w:rsidRPr="005E32F6">
        <w:rPr>
          <w:lang w:val="en-US"/>
        </w:rPr>
        <w:t>stud</w:t>
      </w:r>
      <w:r w:rsidR="00EA2469">
        <w:rPr>
          <w:lang w:val="en-US"/>
        </w:rPr>
        <w:t xml:space="preserve">ies, including the shift to more efficient diesel ICV in the short to medium term as </w:t>
      </w:r>
      <w:r w:rsidR="009D6CBB">
        <w:rPr>
          <w:lang w:val="en-US"/>
        </w:rPr>
        <w:t xml:space="preserve">observed </w:t>
      </w:r>
      <w:r w:rsidR="00EA2469">
        <w:rPr>
          <w:lang w:val="en-US"/>
        </w:rPr>
        <w:t xml:space="preserve">in the Irish case </w:t>
      </w:r>
      <w:r w:rsidR="00EA2469">
        <w:rPr>
          <w:lang w:val="en-US"/>
        </w:rPr>
        <w:fldChar w:fldCharType="begin"/>
      </w:r>
      <w:r w:rsidR="00EA2469">
        <w:rPr>
          <w:lang w:val="en-US"/>
        </w:rPr>
        <w:instrText xml:space="preserve"> ADDIN EN.CITE &lt;EndNote&gt;&lt;Cite&gt;&lt;Author&gt;Rogan&lt;/Author&gt;&lt;Year&gt;2011&lt;/Year&gt;&lt;RecNum&gt;885&lt;/RecNum&gt;&lt;DisplayText&gt;(Rogan et al., 2011)&lt;/DisplayText&gt;&lt;record&gt;&lt;rec-number&gt;885&lt;/rec-number&gt;&lt;foreign-keys&gt;&lt;key app="EN" db-id="a0wpest2552swgezzsnxxwsnpp9axwswpaww"&gt;885&lt;/key&gt;&lt;/foreign-keys&gt;&lt;ref-type name="Journal Article"&gt;17&lt;/ref-type&gt;&lt;contributors&gt;&lt;authors&gt;&lt;author&gt;Rogan, Fionn&lt;/author&gt;&lt;author&gt;Dennehy, Emer&lt;/author&gt;&lt;author&gt;Daly, Hannah&lt;/author&gt;&lt;author&gt;Howley, Martin&lt;/author&gt;&lt;author&gt;Ó Gallachóir, Brian P.&lt;/author&gt;&lt;/authors&gt;&lt;/contributors&gt;&lt;titles&gt;&lt;title&gt;Impacts of an emission based private car taxation policy - First year ex-post analysis&lt;/title&gt;&lt;secondary-title&gt;Transportation Research Part A: Policy and Practice&lt;/secondary-title&gt;&lt;/titles&gt;&lt;periodical&gt;&lt;full-title&gt;Transportation Research Part A: Policy and Practice&lt;/full-title&gt;&lt;abbr-1&gt;Transp. Res.: Part A: Pol. Practice&lt;/abbr-1&gt;&lt;/periodical&gt;&lt;pages&gt;583-597&lt;/pages&gt;&lt;volume&gt;45&lt;/volume&gt;&lt;number&gt;7&lt;/number&gt;&lt;keywords&gt;&lt;keyword&gt;Transport energy&lt;/keyword&gt;&lt;keyword&gt;Private car&lt;/keyword&gt;&lt;keyword&gt;CO2 emissions reduction&lt;/keyword&gt;&lt;keyword&gt;Climate change policy&lt;/keyword&gt;&lt;keyword&gt;Ex-post analysis&lt;/keyword&gt;&lt;keyword&gt;Ireland&lt;/keyword&gt;&lt;/keywords&gt;&lt;dates&gt;&lt;year&gt;2011&lt;/year&gt;&lt;/dates&gt;&lt;isbn&gt;0965-8564&lt;/isbn&gt;&lt;urls&gt;&lt;related-urls&gt;&lt;url&gt;http://www.sciencedirect.com/science/article/pii/S096585641100053X&lt;/url&gt;&lt;/related-urls&gt;&lt;/urls&gt;&lt;electronic-resource-num&gt;10.1016/j.tra.2011.03.007&lt;/electronic-resource-num&gt;&lt;/record&gt;&lt;/Cite&gt;&lt;/EndNote&gt;</w:instrText>
      </w:r>
      <w:r w:rsidR="00EA2469">
        <w:rPr>
          <w:lang w:val="en-US"/>
        </w:rPr>
        <w:fldChar w:fldCharType="separate"/>
      </w:r>
      <w:r w:rsidR="00EA2469">
        <w:rPr>
          <w:noProof/>
          <w:lang w:val="en-US"/>
        </w:rPr>
        <w:t>(</w:t>
      </w:r>
      <w:hyperlink w:anchor="_ENREF_61" w:tooltip="Rogan, 2011 #885" w:history="1">
        <w:r w:rsidR="00D67197">
          <w:rPr>
            <w:noProof/>
            <w:lang w:val="en-US"/>
          </w:rPr>
          <w:t>Rogan et al., 2011</w:t>
        </w:r>
      </w:hyperlink>
      <w:r w:rsidR="00EA2469">
        <w:rPr>
          <w:noProof/>
          <w:lang w:val="en-US"/>
        </w:rPr>
        <w:t>)</w:t>
      </w:r>
      <w:r w:rsidR="00EA2469">
        <w:rPr>
          <w:lang w:val="en-US"/>
        </w:rPr>
        <w:fldChar w:fldCharType="end"/>
      </w:r>
      <w:r w:rsidR="00EA2469">
        <w:rPr>
          <w:lang w:val="en-US"/>
        </w:rPr>
        <w:t xml:space="preserve">, the potential adoption rates of PHEV in Austin, Texas </w:t>
      </w:r>
      <w:r w:rsidR="00EA2469">
        <w:rPr>
          <w:lang w:val="en-US"/>
        </w:rPr>
        <w:fldChar w:fldCharType="begin"/>
      </w:r>
      <w:r w:rsidR="00EA2469">
        <w:rPr>
          <w:lang w:val="en-US"/>
        </w:rPr>
        <w:instrText xml:space="preserve"> ADDIN EN.CITE &lt;EndNote&gt;&lt;Cite&gt;&lt;Author&gt;Musti&lt;/Author&gt;&lt;Year&gt;2011&lt;/Year&gt;&lt;RecNum&gt;933&lt;/RecNum&gt;&lt;DisplayText&gt;(Musti and Kockelman, 2011)&lt;/DisplayText&gt;&lt;record&gt;&lt;rec-number&gt;933&lt;/rec-number&gt;&lt;foreign-keys&gt;&lt;key app="EN" db-id="a0wpest2552swgezzsnxxwsnpp9axwswpaww"&gt;933&lt;/key&gt;&lt;/foreign-keys&gt;&lt;ref-type name="Journal Article"&gt;17&lt;/ref-type&gt;&lt;contributors&gt;&lt;authors&gt;&lt;author&gt;Musti, S.&lt;/author&gt;&lt;author&gt;Kockelman, K. M.&lt;/author&gt;&lt;/authors&gt;&lt;/contributors&gt;&lt;titles&gt;&lt;title&gt;Evolution of the household vehicle fleet: Anticipating fleet composition, PHEV adoption and GHG emissions in Austin, Texas&lt;/title&gt;&lt;secondary-title&gt;Transportation Research Part A: Policy and Practice&lt;/secondary-title&gt;&lt;/titles&gt;&lt;periodical&gt;&lt;full-title&gt;Transportation Research Part A: Policy and Practice&lt;/full-title&gt;&lt;abbr-1&gt;Transp. Res.: Part A: Pol. Practice&lt;/abbr-1&gt;&lt;/periodical&gt;&lt;pages&gt;707-720&lt;/pages&gt;&lt;volume&gt;45&lt;/volume&gt;&lt;dates&gt;&lt;year&gt;2011&lt;/year&gt;&lt;/dates&gt;&lt;urls&gt;&lt;/urls&gt;&lt;/record&gt;&lt;/Cite&gt;&lt;/EndNote&gt;</w:instrText>
      </w:r>
      <w:r w:rsidR="00EA2469">
        <w:rPr>
          <w:lang w:val="en-US"/>
        </w:rPr>
        <w:fldChar w:fldCharType="separate"/>
      </w:r>
      <w:r w:rsidR="00EA2469">
        <w:rPr>
          <w:noProof/>
          <w:lang w:val="en-US"/>
        </w:rPr>
        <w:t>(</w:t>
      </w:r>
      <w:hyperlink w:anchor="_ENREF_56" w:tooltip="Musti, 2011 #933" w:history="1">
        <w:r w:rsidR="00D67197">
          <w:rPr>
            <w:noProof/>
            <w:lang w:val="en-US"/>
          </w:rPr>
          <w:t>Musti and Kockelman, 2011</w:t>
        </w:r>
      </w:hyperlink>
      <w:r w:rsidR="00EA2469">
        <w:rPr>
          <w:noProof/>
          <w:lang w:val="en-US"/>
        </w:rPr>
        <w:t>)</w:t>
      </w:r>
      <w:r w:rsidR="00EA2469">
        <w:rPr>
          <w:lang w:val="en-US"/>
        </w:rPr>
        <w:fldChar w:fldCharType="end"/>
      </w:r>
      <w:r w:rsidR="00EA2469">
        <w:rPr>
          <w:lang w:val="en-US"/>
        </w:rPr>
        <w:t xml:space="preserve"> </w:t>
      </w:r>
      <w:r w:rsidR="0004399E">
        <w:rPr>
          <w:lang w:val="en-US"/>
        </w:rPr>
        <w:t xml:space="preserve">and the ineffectiveness of vehicle purchase credits (or rebates) in the US </w:t>
      </w:r>
      <w:r w:rsidR="0004399E">
        <w:rPr>
          <w:lang w:val="en-US"/>
        </w:rPr>
        <w:fldChar w:fldCharType="begin"/>
      </w:r>
      <w:r w:rsidR="0004399E">
        <w:rPr>
          <w:lang w:val="en-US"/>
        </w:rPr>
        <w:instrText xml:space="preserve"> ADDIN EN.CITE &lt;EndNote&gt;&lt;Cite&gt;&lt;Author&gt;Ross Morrow&lt;/Author&gt;&lt;Year&gt;2010&lt;/Year&gt;&lt;RecNum&gt;977&lt;/RecNum&gt;&lt;DisplayText&gt;(Ross Morrow et al., 2010)&lt;/DisplayText&gt;&lt;record&gt;&lt;rec-number&gt;977&lt;/rec-number&gt;&lt;foreign-keys&gt;&lt;key app="EN" db-id="a0wpest2552swgezzsnxxwsnpp9axwswpaww"&gt;977&lt;/key&gt;&lt;/foreign-keys&gt;&lt;ref-type name="Journal Article"&gt;17&lt;/ref-type&gt;&lt;contributors&gt;&lt;authors&gt;&lt;author&gt;Ross Morrow, W.&lt;/author&gt;&lt;author&gt;Gallagher, Kelly Sims&lt;/author&gt;&lt;author&gt;Collantes, Gustavo&lt;/author&gt;&lt;author&gt;Lee, Henry&lt;/author&gt;&lt;/authors&gt;&lt;/contributors&gt;&lt;titles&gt;&lt;title&gt;Analysis of policies to reduce oil consumption and greenhouse-gas emissions from the US transportation sector&lt;/title&gt;&lt;secondary-title&gt;Energy Policy&lt;/secondary-title&gt;&lt;/titles&gt;&lt;periodical&gt;&lt;full-title&gt;Energy Policy&lt;/full-title&gt;&lt;/periodical&gt;&lt;pages&gt;1305-1320&lt;/pages&gt;&lt;volume&gt;38&lt;/volume&gt;&lt;number&gt;3&lt;/number&gt;&lt;keywords&gt;&lt;keyword&gt;Greenhouse gas emissions&lt;/keyword&gt;&lt;keyword&gt;Transportation&lt;/keyword&gt;&lt;keyword&gt;National Energy Modeling System&lt;/keyword&gt;&lt;/keywords&gt;&lt;dates&gt;&lt;year&gt;2010&lt;/year&gt;&lt;/dates&gt;&lt;isbn&gt;0301-4215&lt;/isbn&gt;&lt;urls&gt;&lt;related-urls&gt;&lt;url&gt;http://www.sciencedirect.com/science/article/pii/S0301421509008349&lt;/url&gt;&lt;/related-urls&gt;&lt;/urls&gt;&lt;electronic-resource-num&gt;10.1016/j.enpol.2009.11.006&lt;/electronic-resource-num&gt;&lt;/record&gt;&lt;/Cite&gt;&lt;/EndNote&gt;</w:instrText>
      </w:r>
      <w:r w:rsidR="0004399E">
        <w:rPr>
          <w:lang w:val="en-US"/>
        </w:rPr>
        <w:fldChar w:fldCharType="separate"/>
      </w:r>
      <w:r w:rsidR="0004399E">
        <w:rPr>
          <w:noProof/>
          <w:lang w:val="en-US"/>
        </w:rPr>
        <w:t>(</w:t>
      </w:r>
      <w:hyperlink w:anchor="_ENREF_62" w:tooltip="Ross Morrow, 2010 #977" w:history="1">
        <w:r w:rsidR="00D67197">
          <w:rPr>
            <w:noProof/>
            <w:lang w:val="en-US"/>
          </w:rPr>
          <w:t>Ross Morrow et al., 2010</w:t>
        </w:r>
      </w:hyperlink>
      <w:r w:rsidR="0004399E">
        <w:rPr>
          <w:noProof/>
          <w:lang w:val="en-US"/>
        </w:rPr>
        <w:t>)</w:t>
      </w:r>
      <w:r w:rsidR="0004399E">
        <w:rPr>
          <w:lang w:val="en-US"/>
        </w:rPr>
        <w:fldChar w:fldCharType="end"/>
      </w:r>
      <w:r w:rsidR="00EA2469">
        <w:rPr>
          <w:lang w:val="en-US"/>
        </w:rPr>
        <w:t>.</w:t>
      </w:r>
      <w:r w:rsidR="00A9117A">
        <w:rPr>
          <w:lang w:val="en-US"/>
        </w:rPr>
        <w:t xml:space="preserve"> </w:t>
      </w:r>
      <w:r w:rsidR="00D80D45">
        <w:rPr>
          <w:lang w:val="en-US"/>
        </w:rPr>
        <w:t>T</w:t>
      </w:r>
      <w:r w:rsidR="00E86717" w:rsidRPr="005E32F6">
        <w:rPr>
          <w:lang w:val="en-US"/>
        </w:rPr>
        <w:t>h</w:t>
      </w:r>
      <w:r w:rsidR="00D34A8D">
        <w:rPr>
          <w:lang w:val="en-US"/>
        </w:rPr>
        <w:t>e projected acceleration of low carbon car</w:t>
      </w:r>
      <w:r w:rsidR="000D65CF" w:rsidRPr="005E32F6">
        <w:rPr>
          <w:lang w:val="en-US"/>
        </w:rPr>
        <w:t xml:space="preserve"> </w:t>
      </w:r>
      <w:r w:rsidR="00D34A8D">
        <w:rPr>
          <w:lang w:val="en-US"/>
        </w:rPr>
        <w:t xml:space="preserve">uptake in the </w:t>
      </w:r>
      <w:proofErr w:type="spellStart"/>
      <w:r w:rsidR="00D34A8D">
        <w:rPr>
          <w:lang w:val="en-US"/>
        </w:rPr>
        <w:t>feebate</w:t>
      </w:r>
      <w:proofErr w:type="spellEnd"/>
      <w:r w:rsidR="00D34A8D">
        <w:rPr>
          <w:lang w:val="en-US"/>
        </w:rPr>
        <w:t xml:space="preserve"> scenarios </w:t>
      </w:r>
      <w:r w:rsidR="000D65CF" w:rsidRPr="005E32F6">
        <w:rPr>
          <w:lang w:val="en-US"/>
        </w:rPr>
        <w:t>also reflect</w:t>
      </w:r>
      <w:r w:rsidR="00D34A8D">
        <w:rPr>
          <w:lang w:val="en-US"/>
        </w:rPr>
        <w:t>s</w:t>
      </w:r>
      <w:r w:rsidR="000D65CF" w:rsidRPr="005E32F6">
        <w:rPr>
          <w:lang w:val="en-US"/>
        </w:rPr>
        <w:t xml:space="preserve"> empirical evidence from France where its new passenger vehicle fleet emissions have become </w:t>
      </w:r>
      <w:r w:rsidR="00C17105">
        <w:rPr>
          <w:lang w:val="en-US"/>
        </w:rPr>
        <w:t xml:space="preserve">one of the </w:t>
      </w:r>
      <w:r w:rsidR="000D65CF" w:rsidRPr="005E32F6">
        <w:rPr>
          <w:lang w:val="en-US"/>
        </w:rPr>
        <w:t xml:space="preserve">lowest in the EU since its </w:t>
      </w:r>
      <w:proofErr w:type="spellStart"/>
      <w:r w:rsidR="000D65CF" w:rsidRPr="005E32F6">
        <w:rPr>
          <w:lang w:val="en-US"/>
        </w:rPr>
        <w:t>feebate</w:t>
      </w:r>
      <w:proofErr w:type="spellEnd"/>
      <w:r w:rsidR="000D65CF" w:rsidRPr="005E32F6">
        <w:rPr>
          <w:lang w:val="en-US"/>
        </w:rPr>
        <w:t xml:space="preserve"> program was launched in 2007</w:t>
      </w:r>
      <w:r w:rsidR="00134776" w:rsidRPr="005E32F6">
        <w:rPr>
          <w:lang w:val="en-US"/>
        </w:rPr>
        <w:t xml:space="preserve"> </w:t>
      </w:r>
      <w:r w:rsidR="00880B2F" w:rsidRPr="005E32F6">
        <w:rPr>
          <w:lang w:val="en-US"/>
        </w:rPr>
        <w:fldChar w:fldCharType="begin"/>
      </w:r>
      <w:r w:rsidR="00C17105">
        <w:rPr>
          <w:lang w:val="en-US"/>
        </w:rPr>
        <w:instrText xml:space="preserve"> ADDIN EN.CITE &lt;EndNote&gt;&lt;Cite&gt;&lt;Author&gt;Schipper&lt;/Author&gt;&lt;Year&gt;2011&lt;/Year&gt;&lt;RecNum&gt;932&lt;/RecNum&gt;&lt;DisplayText&gt;(EEA, 2012; Schipper et al., 2011)&lt;/DisplayText&gt;&lt;record&gt;&lt;rec-number&gt;932&lt;/rec-number&gt;&lt;foreign-keys&gt;&lt;key app="EN" db-id="a0wpest2552swgezzsnxxwsnpp9axwswpaww"&gt;932&lt;/key&gt;&lt;/foreign-keys&gt;&lt;ref-type name="Journal Article"&gt;17&lt;/ref-type&gt;&lt;contributors&gt;&lt;authors&gt;&lt;author&gt;Schipper, L.&lt;/author&gt;&lt;author&gt;Saenger, C.&lt;/author&gt;&lt;author&gt;Sudardshan, A.&lt;/author&gt;&lt;/authors&gt;&lt;/contributors&gt;&lt;titles&gt;&lt;title&gt;Transport and carbon emissions in the United States: The long view&lt;/title&gt;&lt;secondary-title&gt;Energies&lt;/secondary-title&gt;&lt;/titles&gt;&lt;pages&gt;563-581&lt;/pages&gt;&lt;volume&gt;4&lt;/volume&gt;&lt;number&gt;4&lt;/number&gt;&lt;dates&gt;&lt;year&gt;2011&lt;/year&gt;&lt;/dates&gt;&lt;urls&gt;&lt;/urls&gt;&lt;electronic-resource-num&gt;10.3390/en4040563&lt;/electronic-resource-num&gt;&lt;/record&gt;&lt;/Cite&gt;&lt;Cite&gt;&lt;Author&gt;EEA&lt;/Author&gt;&lt;Year&gt;2012&lt;/Year&gt;&lt;RecNum&gt;994&lt;/RecNum&gt;&lt;record&gt;&lt;rec-number&gt;994&lt;/rec-number&gt;&lt;foreign-keys&gt;&lt;key app="EN" db-id="a0wpest2552swgezzsnxxwsnpp9axwswpaww"&gt;994&lt;/key&gt;&lt;/foreign-keys&gt;&lt;ref-type name="Report"&gt;27&lt;/ref-type&gt;&lt;contributors&gt;&lt;authors&gt;&lt;author&gt;EEA&lt;/author&gt;&lt;/authors&gt;&lt;/contributors&gt;&lt;titles&gt;&lt;title&gt;&lt;style face="normal" font="default" size="100%"&gt;Monitoring CO&lt;/style&gt;&lt;style face="subscript" font="default" size="100%"&gt;2&lt;/style&gt;&lt;style face="normal" font="default" size="100%"&gt; emissions from new passenger cars in the EU: summary of data for 2011&lt;/style&gt;&lt;/title&gt;&lt;/titles&gt;&lt;dates&gt;&lt;year&gt;2012&lt;/year&gt;&lt;/dates&gt;&lt;pub-location&gt;Copenhagen&lt;/pub-location&gt;&lt;publisher&gt;European Environment Agency (EEA)&lt;/publisher&gt;&lt;urls&gt;&lt;/urls&gt;&lt;/record&gt;&lt;/Cite&gt;&lt;/EndNote&gt;</w:instrText>
      </w:r>
      <w:r w:rsidR="00880B2F" w:rsidRPr="005E32F6">
        <w:rPr>
          <w:lang w:val="en-US"/>
        </w:rPr>
        <w:fldChar w:fldCharType="separate"/>
      </w:r>
      <w:r w:rsidR="00C17105">
        <w:rPr>
          <w:noProof/>
          <w:lang w:val="en-US"/>
        </w:rPr>
        <w:t>(</w:t>
      </w:r>
      <w:hyperlink w:anchor="_ENREF_23" w:tooltip="EEA, 2012 #994" w:history="1">
        <w:r w:rsidR="00D67197">
          <w:rPr>
            <w:noProof/>
            <w:lang w:val="en-US"/>
          </w:rPr>
          <w:t>EEA, 2012</w:t>
        </w:r>
      </w:hyperlink>
      <w:r w:rsidR="00C17105">
        <w:rPr>
          <w:noProof/>
          <w:lang w:val="en-US"/>
        </w:rPr>
        <w:t xml:space="preserve">; </w:t>
      </w:r>
      <w:hyperlink w:anchor="_ENREF_65" w:tooltip="Schipper, 2011 #932" w:history="1">
        <w:r w:rsidR="00D67197">
          <w:rPr>
            <w:noProof/>
            <w:lang w:val="en-US"/>
          </w:rPr>
          <w:t>Schipper et al., 2011</w:t>
        </w:r>
      </w:hyperlink>
      <w:r w:rsidR="00C17105">
        <w:rPr>
          <w:noProof/>
          <w:lang w:val="en-US"/>
        </w:rPr>
        <w:t>)</w:t>
      </w:r>
      <w:r w:rsidR="00880B2F" w:rsidRPr="005E32F6">
        <w:rPr>
          <w:lang w:val="en-US"/>
        </w:rPr>
        <w:fldChar w:fldCharType="end"/>
      </w:r>
      <w:r w:rsidR="000D65CF" w:rsidRPr="005E32F6">
        <w:rPr>
          <w:lang w:val="en-US"/>
        </w:rPr>
        <w:t>.</w:t>
      </w:r>
      <w:r w:rsidR="00C3593C">
        <w:rPr>
          <w:lang w:val="en-US"/>
        </w:rPr>
        <w:t xml:space="preserve"> </w:t>
      </w:r>
      <w:r w:rsidR="00652EFF">
        <w:rPr>
          <w:lang w:val="en-US"/>
        </w:rPr>
        <w:t xml:space="preserve">However, the results of this study seem to differ from Ryan et al. </w:t>
      </w:r>
      <w:r w:rsidR="00652EFF">
        <w:rPr>
          <w:lang w:val="en-US"/>
        </w:rPr>
        <w:fldChar w:fldCharType="begin"/>
      </w:r>
      <w:r w:rsidR="00652EFF">
        <w:rPr>
          <w:lang w:val="en-US"/>
        </w:rPr>
        <w:instrText xml:space="preserve"> ADDIN EN.CITE &lt;EndNote&gt;&lt;Cite ExcludeAuth="1"&gt;&lt;Author&gt;Ryan&lt;/Author&gt;&lt;Year&gt;2009&lt;/Year&gt;&lt;RecNum&gt;891&lt;/RecNum&gt;&lt;DisplayText&gt;(2009)&lt;/DisplayText&gt;&lt;record&gt;&lt;rec-number&gt;891&lt;/rec-number&gt;&lt;foreign-keys&gt;&lt;key app="EN" db-id="a0wpest2552swgezzsnxxwsnpp9axwswpaww"&gt;891&lt;/key&gt;&lt;/foreign-keys&gt;&lt;ref-type name="Journal Article"&gt;17&lt;/ref-type&gt;&lt;contributors&gt;&lt;authors&gt;&lt;author&gt;Ryan, Lisa&lt;/author&gt;&lt;author&gt;Ferreira, Susana&lt;/author&gt;&lt;author&gt;Convery, Frank&lt;/author&gt;&lt;/authors&gt;&lt;/contributors&gt;&lt;titles&gt;&lt;title&gt;The impact of fiscal and other measures on new passenger car sales and CO2 emissions intensity: Evidence from Europe&lt;/title&gt;&lt;secondary-title&gt;Energy Economics&lt;/secondary-title&gt;&lt;/titles&gt;&lt;periodical&gt;&lt;full-title&gt;Energy Economics&lt;/full-title&gt;&lt;abbr-1&gt;Energy Econ.&lt;/abbr-1&gt;&lt;/periodical&gt;&lt;pages&gt;365-374&lt;/pages&gt;&lt;volume&gt;31&lt;/volume&gt;&lt;number&gt;3&lt;/number&gt;&lt;keywords&gt;&lt;keyword&gt;transport policy&lt;/keyword&gt;&lt;keyword&gt;vehicle taxes&lt;/keyword&gt;&lt;keyword&gt;passenger car CO2 emissions&lt;/keyword&gt;&lt;keyword&gt;climate policy&lt;/keyword&gt;&lt;/keywords&gt;&lt;dates&gt;&lt;year&gt;2009&lt;/year&gt;&lt;/dates&gt;&lt;isbn&gt;0140-9883&lt;/isbn&gt;&lt;urls&gt;&lt;related-urls&gt;&lt;url&gt;http://www.sciencedirect.com/science/article/pii/S0140988308001850&lt;/url&gt;&lt;/related-urls&gt;&lt;/urls&gt;&lt;electronic-resource-num&gt;10.1016/j.eneco.2008.11.011&lt;/electronic-resource-num&gt;&lt;/record&gt;&lt;/Cite&gt;&lt;/EndNote&gt;</w:instrText>
      </w:r>
      <w:r w:rsidR="00652EFF">
        <w:rPr>
          <w:lang w:val="en-US"/>
        </w:rPr>
        <w:fldChar w:fldCharType="separate"/>
      </w:r>
      <w:r w:rsidR="00652EFF">
        <w:rPr>
          <w:noProof/>
          <w:lang w:val="en-US"/>
        </w:rPr>
        <w:t>(</w:t>
      </w:r>
      <w:hyperlink w:anchor="_ENREF_63" w:tooltip="Ryan, 2009 #891" w:history="1">
        <w:r w:rsidR="00D67197">
          <w:rPr>
            <w:noProof/>
            <w:lang w:val="en-US"/>
          </w:rPr>
          <w:t>2009</w:t>
        </w:r>
      </w:hyperlink>
      <w:r w:rsidR="00652EFF">
        <w:rPr>
          <w:noProof/>
          <w:lang w:val="en-US"/>
        </w:rPr>
        <w:t>)</w:t>
      </w:r>
      <w:r w:rsidR="00652EFF">
        <w:rPr>
          <w:lang w:val="en-US"/>
        </w:rPr>
        <w:fldChar w:fldCharType="end"/>
      </w:r>
      <w:r w:rsidR="00652EFF">
        <w:rPr>
          <w:lang w:val="en-US"/>
        </w:rPr>
        <w:t xml:space="preserve"> </w:t>
      </w:r>
      <w:r w:rsidR="00D11074">
        <w:rPr>
          <w:lang w:val="en-US"/>
        </w:rPr>
        <w:t xml:space="preserve">who concluded that </w:t>
      </w:r>
      <w:r w:rsidR="00D11074" w:rsidRPr="00D11074">
        <w:rPr>
          <w:lang w:val="en-US"/>
        </w:rPr>
        <w:t>registration taxes in place</w:t>
      </w:r>
      <w:r w:rsidR="00D11074">
        <w:rPr>
          <w:lang w:val="en-US"/>
        </w:rPr>
        <w:t xml:space="preserve"> between 1995-2004</w:t>
      </w:r>
      <w:r w:rsidR="00D11074" w:rsidRPr="00D11074">
        <w:rPr>
          <w:lang w:val="en-US"/>
        </w:rPr>
        <w:t xml:space="preserve"> did not have an important impact on the CO</w:t>
      </w:r>
      <w:r w:rsidR="00D11074" w:rsidRPr="00D11074">
        <w:rPr>
          <w:vertAlign w:val="subscript"/>
          <w:lang w:val="en-US"/>
        </w:rPr>
        <w:t>2</w:t>
      </w:r>
      <w:r w:rsidR="00D11074" w:rsidRPr="00D11074">
        <w:rPr>
          <w:lang w:val="en-US"/>
        </w:rPr>
        <w:t xml:space="preserve"> emissions intensity of the new passenger car fleet over and above the effects of circulation and fuel taxes</w:t>
      </w:r>
      <w:r w:rsidR="00D11074">
        <w:rPr>
          <w:lang w:val="en-US"/>
        </w:rPr>
        <w:t xml:space="preserve">. </w:t>
      </w:r>
      <w:r w:rsidR="00C3593C">
        <w:rPr>
          <w:lang w:val="en-US"/>
        </w:rPr>
        <w:t xml:space="preserve">Any differences </w:t>
      </w:r>
      <w:r w:rsidR="00D34A8D">
        <w:rPr>
          <w:lang w:val="en-US"/>
        </w:rPr>
        <w:t xml:space="preserve">between studies </w:t>
      </w:r>
      <w:r w:rsidR="00C3593C">
        <w:rPr>
          <w:lang w:val="en-US"/>
        </w:rPr>
        <w:t>can be explained by different settings (e.g.</w:t>
      </w:r>
      <w:r w:rsidR="00797616">
        <w:rPr>
          <w:lang w:val="en-US"/>
        </w:rPr>
        <w:t xml:space="preserve"> </w:t>
      </w:r>
      <w:r w:rsidR="00C3593C">
        <w:rPr>
          <w:lang w:val="en-US"/>
        </w:rPr>
        <w:t>socio-economic</w:t>
      </w:r>
      <w:r w:rsidR="00797616">
        <w:rPr>
          <w:lang w:val="en-US"/>
        </w:rPr>
        <w:t xml:space="preserve"> and political</w:t>
      </w:r>
      <w:r w:rsidR="00C3593C">
        <w:rPr>
          <w:lang w:val="en-US"/>
        </w:rPr>
        <w:t>, prevailing pricing and taxation, vehicle fleet characteristics)</w:t>
      </w:r>
      <w:r w:rsidR="00797616">
        <w:rPr>
          <w:lang w:val="en-US"/>
        </w:rPr>
        <w:t xml:space="preserve">, </w:t>
      </w:r>
      <w:r w:rsidR="001D79D8">
        <w:rPr>
          <w:lang w:val="en-US"/>
        </w:rPr>
        <w:t>policy setups</w:t>
      </w:r>
      <w:r w:rsidR="00C3593C">
        <w:rPr>
          <w:lang w:val="en-US"/>
        </w:rPr>
        <w:t xml:space="preserve"> and </w:t>
      </w:r>
      <w:r w:rsidR="0004399E">
        <w:rPr>
          <w:lang w:val="en-US"/>
        </w:rPr>
        <w:t xml:space="preserve">analytical </w:t>
      </w:r>
      <w:r w:rsidR="00C3593C">
        <w:rPr>
          <w:lang w:val="en-US"/>
        </w:rPr>
        <w:t>methods used (e.g. probabilistic vehicle stock modeling in this study vs. ex-post analysis vs. macro-economic modeling).</w:t>
      </w:r>
      <w:r w:rsidR="00A9117A">
        <w:rPr>
          <w:lang w:val="en-US"/>
        </w:rPr>
        <w:t xml:space="preserve"> </w:t>
      </w:r>
      <w:r w:rsidR="0004399E">
        <w:rPr>
          <w:lang w:val="en-US"/>
        </w:rPr>
        <w:t xml:space="preserve">For instance, </w:t>
      </w:r>
      <w:r w:rsidR="00A9117A">
        <w:rPr>
          <w:lang w:val="en-US"/>
        </w:rPr>
        <w:t>Ross Morrow et al.</w:t>
      </w:r>
      <w:r w:rsidR="0004399E">
        <w:rPr>
          <w:lang w:val="en-US"/>
        </w:rPr>
        <w:t xml:space="preserve"> </w:t>
      </w:r>
      <w:r w:rsidR="0004399E">
        <w:rPr>
          <w:lang w:val="en-US"/>
        </w:rPr>
        <w:fldChar w:fldCharType="begin"/>
      </w:r>
      <w:r w:rsidR="0004399E">
        <w:rPr>
          <w:lang w:val="en-US"/>
        </w:rPr>
        <w:instrText xml:space="preserve"> ADDIN EN.CITE &lt;EndNote&gt;&lt;Cite ExcludeAuth="1"&gt;&lt;Author&gt;Ross Morrow&lt;/Author&gt;&lt;Year&gt;2010&lt;/Year&gt;&lt;RecNum&gt;977&lt;/RecNum&gt;&lt;DisplayText&gt;(2010)&lt;/DisplayText&gt;&lt;record&gt;&lt;rec-number&gt;977&lt;/rec-number&gt;&lt;foreign-keys&gt;&lt;key app="EN" db-id="a0wpest2552swgezzsnxxwsnpp9axwswpaww"&gt;977&lt;/key&gt;&lt;/foreign-keys&gt;&lt;ref-type name="Journal Article"&gt;17&lt;/ref-type&gt;&lt;contributors&gt;&lt;authors&gt;&lt;author&gt;Ross Morrow, W.&lt;/author&gt;&lt;author&gt;Gallagher, Kelly Sims&lt;/author&gt;&lt;author&gt;Collantes, Gustavo&lt;/author&gt;&lt;author&gt;Lee, Henry&lt;/author&gt;&lt;/authors&gt;&lt;/contributors&gt;&lt;titles&gt;&lt;title&gt;Analysis of policies to reduce oil consumption and greenhouse-gas emissions from the US transportation sector&lt;/title&gt;&lt;secondary-title&gt;Energy Policy&lt;/secondary-title&gt;&lt;/titles&gt;&lt;periodical&gt;&lt;full-title&gt;Energy Policy&lt;/full-title&gt;&lt;/periodical&gt;&lt;pages&gt;1305-1320&lt;/pages&gt;&lt;volume&gt;38&lt;/volume&gt;&lt;number&gt;3&lt;/number&gt;&lt;keywords&gt;&lt;keyword&gt;Greenhouse gas emissions&lt;/keyword&gt;&lt;keyword&gt;Transportation&lt;/keyword&gt;&lt;keyword&gt;National Energy Modeling System&lt;/keyword&gt;&lt;/keywords&gt;&lt;dates&gt;&lt;year&gt;2010&lt;/year&gt;&lt;/dates&gt;&lt;isbn&gt;0301-4215&lt;/isbn&gt;&lt;urls&gt;&lt;related-urls&gt;&lt;url&gt;http://www.sciencedirect.com/science/article/pii/S0301421509008349&lt;/url&gt;&lt;/related-urls&gt;&lt;/urls&gt;&lt;electronic-resource-num&gt;10.1016/j.enpol.2009.11.006&lt;/electronic-resource-num&gt;&lt;/record&gt;&lt;/Cite&gt;&lt;/EndNote&gt;</w:instrText>
      </w:r>
      <w:r w:rsidR="0004399E">
        <w:rPr>
          <w:lang w:val="en-US"/>
        </w:rPr>
        <w:fldChar w:fldCharType="separate"/>
      </w:r>
      <w:r w:rsidR="0004399E">
        <w:rPr>
          <w:noProof/>
          <w:lang w:val="en-US"/>
        </w:rPr>
        <w:t>(</w:t>
      </w:r>
      <w:hyperlink w:anchor="_ENREF_62" w:tooltip="Ross Morrow, 2010 #977" w:history="1">
        <w:r w:rsidR="00D67197">
          <w:rPr>
            <w:noProof/>
            <w:lang w:val="en-US"/>
          </w:rPr>
          <w:t>2010</w:t>
        </w:r>
      </w:hyperlink>
      <w:r w:rsidR="0004399E">
        <w:rPr>
          <w:noProof/>
          <w:lang w:val="en-US"/>
        </w:rPr>
        <w:t>)</w:t>
      </w:r>
      <w:r w:rsidR="0004399E">
        <w:rPr>
          <w:lang w:val="en-US"/>
        </w:rPr>
        <w:fldChar w:fldCharType="end"/>
      </w:r>
      <w:r w:rsidR="00A9117A">
        <w:rPr>
          <w:lang w:val="en-US"/>
        </w:rPr>
        <w:t xml:space="preserve"> </w:t>
      </w:r>
      <w:r w:rsidR="001D79D8">
        <w:rPr>
          <w:lang w:val="en-US"/>
        </w:rPr>
        <w:t>concluded</w:t>
      </w:r>
      <w:r w:rsidR="00A9117A">
        <w:rPr>
          <w:lang w:val="en-US"/>
        </w:rPr>
        <w:t xml:space="preserve"> </w:t>
      </w:r>
      <w:r w:rsidR="001D79D8">
        <w:rPr>
          <w:lang w:val="en-US"/>
        </w:rPr>
        <w:t xml:space="preserve">that </w:t>
      </w:r>
      <w:r w:rsidR="00A9117A">
        <w:rPr>
          <w:lang w:val="en-US"/>
        </w:rPr>
        <w:t>p</w:t>
      </w:r>
      <w:r w:rsidR="00A9117A" w:rsidRPr="00A9117A">
        <w:rPr>
          <w:lang w:val="en-US"/>
        </w:rPr>
        <w:t xml:space="preserve">urchase tax credits </w:t>
      </w:r>
      <w:r w:rsidR="0004399E" w:rsidRPr="0004399E">
        <w:rPr>
          <w:i/>
          <w:lang w:val="en-US"/>
        </w:rPr>
        <w:t>on their own</w:t>
      </w:r>
      <w:r w:rsidR="0004399E">
        <w:rPr>
          <w:lang w:val="en-US"/>
        </w:rPr>
        <w:t xml:space="preserve"> are</w:t>
      </w:r>
      <w:r w:rsidR="00A9117A" w:rsidRPr="00A9117A">
        <w:rPr>
          <w:lang w:val="en-US"/>
        </w:rPr>
        <w:t xml:space="preserve"> expensive and in</w:t>
      </w:r>
      <w:r w:rsidR="00C3593C">
        <w:rPr>
          <w:lang w:val="en-US"/>
        </w:rPr>
        <w:t>effective at reducing emissions</w:t>
      </w:r>
      <w:r w:rsidR="001D79D8">
        <w:rPr>
          <w:lang w:val="en-US"/>
        </w:rPr>
        <w:t>. This is in line with the results on scrappage rebates explored in this study, although of course there are differences in setup (e.g. Ross Morrow explored credits based on fuel consumption while this study based them on CO</w:t>
      </w:r>
      <w:r w:rsidR="001D79D8" w:rsidRPr="001D79D8">
        <w:rPr>
          <w:vertAlign w:val="subscript"/>
          <w:lang w:val="en-US"/>
        </w:rPr>
        <w:t>2</w:t>
      </w:r>
      <w:r w:rsidR="001D79D8">
        <w:rPr>
          <w:lang w:val="en-US"/>
        </w:rPr>
        <w:t xml:space="preserve"> performance) and context (US vs. UK).</w:t>
      </w:r>
      <w:r w:rsidR="00D11074">
        <w:rPr>
          <w:lang w:val="en-US"/>
        </w:rPr>
        <w:t xml:space="preserve"> </w:t>
      </w:r>
      <w:r w:rsidR="005B675D">
        <w:rPr>
          <w:lang w:val="en-US"/>
        </w:rPr>
        <w:t xml:space="preserve">Furthermore, </w:t>
      </w:r>
      <w:r w:rsidR="00D11074">
        <w:rPr>
          <w:lang w:val="en-US"/>
        </w:rPr>
        <w:t>the registration taxes investigated in Ryan et al.</w:t>
      </w:r>
      <w:r w:rsidR="005B675D">
        <w:rPr>
          <w:lang w:val="en-US"/>
        </w:rPr>
        <w:t xml:space="preserve"> </w:t>
      </w:r>
      <w:r w:rsidR="005B675D">
        <w:rPr>
          <w:lang w:val="en-US"/>
        </w:rPr>
        <w:fldChar w:fldCharType="begin"/>
      </w:r>
      <w:r w:rsidR="005B675D">
        <w:rPr>
          <w:lang w:val="en-US"/>
        </w:rPr>
        <w:instrText xml:space="preserve"> ADDIN EN.CITE &lt;EndNote&gt;&lt;Cite ExcludeAuth="1"&gt;&lt;Author&gt;Ryan&lt;/Author&gt;&lt;Year&gt;2009&lt;/Year&gt;&lt;RecNum&gt;891&lt;/RecNum&gt;&lt;DisplayText&gt;(2009)&lt;/DisplayText&gt;&lt;record&gt;&lt;rec-number&gt;891&lt;/rec-number&gt;&lt;foreign-keys&gt;&lt;key app="EN" db-id="a0wpest2552swgezzsnxxwsnpp9axwswpaww"&gt;891&lt;/key&gt;&lt;/foreign-keys&gt;&lt;ref-type name="Journal Article"&gt;17&lt;/ref-type&gt;&lt;contributors&gt;&lt;authors&gt;&lt;author&gt;Ryan, Lisa&lt;/author&gt;&lt;author&gt;Ferreira, Susana&lt;/author&gt;&lt;author&gt;Convery, Frank&lt;/author&gt;&lt;/authors&gt;&lt;/contributors&gt;&lt;titles&gt;&lt;title&gt;The impact of fiscal and other measures on new passenger car sales and CO2 emissions intensity: Evidence from Europe&lt;/title&gt;&lt;secondary-title&gt;Energy Economics&lt;/secondary-title&gt;&lt;/titles&gt;&lt;periodical&gt;&lt;full-title&gt;Energy Economics&lt;/full-title&gt;&lt;abbr-1&gt;Energy Econ.&lt;/abbr-1&gt;&lt;/periodical&gt;&lt;pages&gt;365-374&lt;/pages&gt;&lt;volume&gt;31&lt;/volume&gt;&lt;number&gt;3&lt;/number&gt;&lt;keywords&gt;&lt;keyword&gt;transport policy&lt;/keyword&gt;&lt;keyword&gt;vehicle taxes&lt;/keyword&gt;&lt;keyword&gt;passenger car CO2 emissions&lt;/keyword&gt;&lt;keyword&gt;climate policy&lt;/keyword&gt;&lt;/keywords&gt;&lt;dates&gt;&lt;year&gt;2009&lt;/year&gt;&lt;/dates&gt;&lt;isbn&gt;0140-9883&lt;/isbn&gt;&lt;urls&gt;&lt;related-urls&gt;&lt;url&gt;http://www.sciencedirect.com/science/article/pii/S0140988308001850&lt;/url&gt;&lt;/related-urls&gt;&lt;/urls&gt;&lt;electronic-resource-num&gt;10.1016/j.eneco.2008.11.011&lt;/electronic-resource-num&gt;&lt;/record&gt;&lt;/Cite&gt;&lt;/EndNote&gt;</w:instrText>
      </w:r>
      <w:r w:rsidR="005B675D">
        <w:rPr>
          <w:lang w:val="en-US"/>
        </w:rPr>
        <w:fldChar w:fldCharType="separate"/>
      </w:r>
      <w:r w:rsidR="005B675D">
        <w:rPr>
          <w:noProof/>
          <w:lang w:val="en-US"/>
        </w:rPr>
        <w:t>(</w:t>
      </w:r>
      <w:hyperlink w:anchor="_ENREF_63" w:tooltip="Ryan, 2009 #891" w:history="1">
        <w:r w:rsidR="00D67197">
          <w:rPr>
            <w:noProof/>
            <w:lang w:val="en-US"/>
          </w:rPr>
          <w:t>2009</w:t>
        </w:r>
      </w:hyperlink>
      <w:r w:rsidR="005B675D">
        <w:rPr>
          <w:noProof/>
          <w:lang w:val="en-US"/>
        </w:rPr>
        <w:t>)</w:t>
      </w:r>
      <w:r w:rsidR="005B675D">
        <w:rPr>
          <w:lang w:val="en-US"/>
        </w:rPr>
        <w:fldChar w:fldCharType="end"/>
      </w:r>
      <w:r w:rsidR="005B675D">
        <w:rPr>
          <w:lang w:val="en-US"/>
        </w:rPr>
        <w:t xml:space="preserve"> were quite different in design and ambition than the ones modeled here.</w:t>
      </w:r>
      <w:r w:rsidR="00D11074">
        <w:rPr>
          <w:lang w:val="en-US"/>
        </w:rPr>
        <w:t xml:space="preserve"> </w:t>
      </w:r>
      <w:r w:rsidR="007B558D">
        <w:rPr>
          <w:lang w:val="en-US"/>
        </w:rPr>
        <w:t>The French case has also been reflected in this study where</w:t>
      </w:r>
      <w:r w:rsidR="007B558D" w:rsidRPr="000D65CF">
        <w:rPr>
          <w:lang w:val="en-US"/>
        </w:rPr>
        <w:t xml:space="preserve"> </w:t>
      </w:r>
      <w:r w:rsidR="007B558D">
        <w:rPr>
          <w:lang w:val="en-US"/>
        </w:rPr>
        <w:t xml:space="preserve">the </w:t>
      </w:r>
      <w:r w:rsidR="007B558D" w:rsidRPr="000D65CF">
        <w:rPr>
          <w:lang w:val="en-US"/>
        </w:rPr>
        <w:t xml:space="preserve">‘high’ ambition </w:t>
      </w:r>
      <w:proofErr w:type="spellStart"/>
      <w:r w:rsidR="007B558D" w:rsidRPr="000D65CF">
        <w:rPr>
          <w:lang w:val="en-US"/>
        </w:rPr>
        <w:t>feebate</w:t>
      </w:r>
      <w:proofErr w:type="spellEnd"/>
      <w:r w:rsidR="007B558D" w:rsidRPr="000D65CF">
        <w:rPr>
          <w:lang w:val="en-US"/>
        </w:rPr>
        <w:t xml:space="preserve"> policies </w:t>
      </w:r>
      <w:r w:rsidR="007B558D">
        <w:rPr>
          <w:lang w:val="en-US"/>
        </w:rPr>
        <w:t xml:space="preserve">resulted in </w:t>
      </w:r>
      <w:r w:rsidR="007B558D" w:rsidRPr="000D65CF">
        <w:rPr>
          <w:lang w:val="en-US"/>
        </w:rPr>
        <w:t>subsidies</w:t>
      </w:r>
      <w:r w:rsidR="007B558D">
        <w:rPr>
          <w:lang w:val="en-US"/>
        </w:rPr>
        <w:t xml:space="preserve"> </w:t>
      </w:r>
      <w:r w:rsidR="007B558D" w:rsidRPr="000D65CF">
        <w:rPr>
          <w:lang w:val="en-US"/>
        </w:rPr>
        <w:t>significantly outweigh</w:t>
      </w:r>
      <w:r w:rsidR="007B558D">
        <w:rPr>
          <w:lang w:val="en-US"/>
        </w:rPr>
        <w:t>ing</w:t>
      </w:r>
      <w:r w:rsidR="007B558D" w:rsidRPr="000D65CF">
        <w:rPr>
          <w:lang w:val="en-US"/>
        </w:rPr>
        <w:t xml:space="preserve"> fees </w:t>
      </w:r>
      <w:r w:rsidR="007B558D" w:rsidRPr="007B558D">
        <w:rPr>
          <w:i/>
          <w:lang w:val="en-US"/>
        </w:rPr>
        <w:t>in the longer term</w:t>
      </w:r>
      <w:r w:rsidR="007B558D">
        <w:rPr>
          <w:lang w:val="en-US"/>
        </w:rPr>
        <w:t>.</w:t>
      </w:r>
      <w:r w:rsidR="007B558D" w:rsidRPr="000D65CF">
        <w:rPr>
          <w:lang w:val="en-US"/>
        </w:rPr>
        <w:t xml:space="preserve"> </w:t>
      </w:r>
      <w:r w:rsidR="007B558D">
        <w:rPr>
          <w:lang w:val="en-US"/>
        </w:rPr>
        <w:t>The UK G</w:t>
      </w:r>
      <w:r w:rsidR="007B558D" w:rsidRPr="000D65CF">
        <w:rPr>
          <w:lang w:val="en-US"/>
        </w:rPr>
        <w:t xml:space="preserve">overnment would need to adjust size and timing of rebates and fees over time </w:t>
      </w:r>
      <w:r w:rsidR="007B558D">
        <w:rPr>
          <w:lang w:val="en-US"/>
        </w:rPr>
        <w:t xml:space="preserve">– as has </w:t>
      </w:r>
      <w:r w:rsidR="00EE4E2C">
        <w:rPr>
          <w:lang w:val="en-US"/>
        </w:rPr>
        <w:t xml:space="preserve">now </w:t>
      </w:r>
      <w:r w:rsidR="007B558D">
        <w:rPr>
          <w:lang w:val="en-US"/>
        </w:rPr>
        <w:t xml:space="preserve">happened in France – </w:t>
      </w:r>
      <w:r w:rsidR="007B558D" w:rsidRPr="000D65CF">
        <w:rPr>
          <w:lang w:val="en-US"/>
        </w:rPr>
        <w:t>to</w:t>
      </w:r>
      <w:r w:rsidR="007B558D">
        <w:rPr>
          <w:lang w:val="en-US"/>
        </w:rPr>
        <w:t xml:space="preserve"> </w:t>
      </w:r>
      <w:r w:rsidR="007B558D" w:rsidRPr="000D65CF">
        <w:rPr>
          <w:lang w:val="en-US"/>
        </w:rPr>
        <w:t>ensure economic and political feasibility.</w:t>
      </w:r>
      <w:r w:rsidR="00EE4E2C">
        <w:rPr>
          <w:lang w:val="en-US"/>
        </w:rPr>
        <w:t xml:space="preserve"> Overall, we would argue that </w:t>
      </w:r>
      <w:r w:rsidR="001D79D8">
        <w:rPr>
          <w:lang w:val="en-US"/>
        </w:rPr>
        <w:t xml:space="preserve">this study adds to the evidence base by showing that </w:t>
      </w:r>
      <w:r w:rsidR="00775418">
        <w:rPr>
          <w:lang w:val="en-US"/>
        </w:rPr>
        <w:t xml:space="preserve">if carefully designed, monitored and adjusted, </w:t>
      </w:r>
      <w:r w:rsidR="001D79D8">
        <w:rPr>
          <w:lang w:val="en-US"/>
        </w:rPr>
        <w:t xml:space="preserve">a combination of credits and fees </w:t>
      </w:r>
      <w:r w:rsidR="00C3593C">
        <w:rPr>
          <w:lang w:val="en-US"/>
        </w:rPr>
        <w:t xml:space="preserve">can counter these problems by </w:t>
      </w:r>
      <w:r w:rsidR="00775418">
        <w:rPr>
          <w:lang w:val="en-US"/>
        </w:rPr>
        <w:t>controlling</w:t>
      </w:r>
      <w:r w:rsidR="00C3593C">
        <w:rPr>
          <w:lang w:val="en-US"/>
        </w:rPr>
        <w:t xml:space="preserve"> overall transport costs</w:t>
      </w:r>
      <w:r w:rsidR="00775418">
        <w:rPr>
          <w:lang w:val="en-US"/>
        </w:rPr>
        <w:t>, demand effects</w:t>
      </w:r>
      <w:r w:rsidR="00C3593C">
        <w:rPr>
          <w:lang w:val="en-US"/>
        </w:rPr>
        <w:t xml:space="preserve"> and </w:t>
      </w:r>
      <w:r w:rsidR="00775418">
        <w:rPr>
          <w:lang w:val="en-US"/>
        </w:rPr>
        <w:t xml:space="preserve">tax </w:t>
      </w:r>
      <w:r w:rsidR="00C3593C">
        <w:rPr>
          <w:lang w:val="en-US"/>
        </w:rPr>
        <w:t>revenues.</w:t>
      </w:r>
      <w:r w:rsidR="006C599E">
        <w:rPr>
          <w:lang w:val="en-US"/>
        </w:rPr>
        <w:t xml:space="preserve"> </w:t>
      </w:r>
    </w:p>
    <w:p w14:paraId="63575337" w14:textId="77777777" w:rsidR="006C599E" w:rsidRDefault="006C599E" w:rsidP="00A018D1">
      <w:pPr>
        <w:rPr>
          <w:lang w:val="en-US"/>
        </w:rPr>
      </w:pPr>
    </w:p>
    <w:p w14:paraId="18516D08" w14:textId="6B839A8D" w:rsidR="005B1829" w:rsidRDefault="007B558D" w:rsidP="00A018D1">
      <w:pPr>
        <w:rPr>
          <w:lang w:val="en-US"/>
        </w:rPr>
      </w:pPr>
      <w:r>
        <w:rPr>
          <w:lang w:val="en-US"/>
        </w:rPr>
        <w:t xml:space="preserve">The </w:t>
      </w:r>
      <w:r w:rsidR="005B1829">
        <w:rPr>
          <w:lang w:val="en-US"/>
        </w:rPr>
        <w:t xml:space="preserve">result that the </w:t>
      </w:r>
      <w:r>
        <w:rPr>
          <w:lang w:val="en-US"/>
        </w:rPr>
        <w:t xml:space="preserve">more ambitious </w:t>
      </w:r>
      <w:r w:rsidR="000D65CF" w:rsidRPr="000D65CF">
        <w:rPr>
          <w:lang w:val="en-US"/>
        </w:rPr>
        <w:t>feebate</w:t>
      </w:r>
      <w:r w:rsidR="005B1829">
        <w:rPr>
          <w:lang w:val="en-US"/>
        </w:rPr>
        <w:t>s</w:t>
      </w:r>
      <w:r w:rsidR="000D65CF" w:rsidRPr="000D65CF">
        <w:rPr>
          <w:lang w:val="en-US"/>
        </w:rPr>
        <w:t xml:space="preserve"> </w:t>
      </w:r>
      <w:r w:rsidR="005B1829">
        <w:rPr>
          <w:lang w:val="en-US"/>
        </w:rPr>
        <w:t xml:space="preserve">were </w:t>
      </w:r>
      <w:r w:rsidR="00D34A8D">
        <w:rPr>
          <w:lang w:val="en-US"/>
        </w:rPr>
        <w:t xml:space="preserve">most </w:t>
      </w:r>
      <w:r>
        <w:rPr>
          <w:lang w:val="en-US"/>
        </w:rPr>
        <w:t>successful amongst th</w:t>
      </w:r>
      <w:r w:rsidR="005B1829">
        <w:rPr>
          <w:lang w:val="en-US"/>
        </w:rPr>
        <w:t>e</w:t>
      </w:r>
      <w:r>
        <w:rPr>
          <w:lang w:val="en-US"/>
        </w:rPr>
        <w:t xml:space="preserve"> </w:t>
      </w:r>
      <w:r w:rsidR="005B1829">
        <w:rPr>
          <w:lang w:val="en-US"/>
        </w:rPr>
        <w:t xml:space="preserve">policy scenarios </w:t>
      </w:r>
      <w:r>
        <w:rPr>
          <w:lang w:val="en-US"/>
        </w:rPr>
        <w:t>modeled here</w:t>
      </w:r>
      <w:r w:rsidR="000D65CF" w:rsidRPr="000D65CF">
        <w:rPr>
          <w:lang w:val="en-US"/>
        </w:rPr>
        <w:t xml:space="preserve"> </w:t>
      </w:r>
      <w:r>
        <w:rPr>
          <w:lang w:val="en-US"/>
        </w:rPr>
        <w:t xml:space="preserve">in reducing </w:t>
      </w:r>
      <w:r w:rsidRPr="007B558D">
        <w:rPr>
          <w:i/>
          <w:lang w:val="en-US"/>
        </w:rPr>
        <w:t>cumulative</w:t>
      </w:r>
      <w:r>
        <w:rPr>
          <w:lang w:val="en-US"/>
        </w:rPr>
        <w:t xml:space="preserve"> GHG emissions </w:t>
      </w:r>
      <w:r w:rsidR="00423C53">
        <w:rPr>
          <w:lang w:val="en-US"/>
        </w:rPr>
        <w:t>(</w:t>
      </w:r>
      <w:r w:rsidR="00423C53">
        <w:rPr>
          <w:lang w:val="en-US"/>
        </w:rPr>
        <w:fldChar w:fldCharType="begin"/>
      </w:r>
      <w:r w:rsidR="00423C53">
        <w:rPr>
          <w:lang w:val="en-US"/>
        </w:rPr>
        <w:instrText xml:space="preserve"> REF _Ref288037657 \h </w:instrText>
      </w:r>
      <w:r w:rsidR="00423C53">
        <w:rPr>
          <w:lang w:val="en-US"/>
        </w:rPr>
      </w:r>
      <w:r w:rsidR="00423C53">
        <w:rPr>
          <w:lang w:val="en-US"/>
        </w:rPr>
        <w:fldChar w:fldCharType="separate"/>
      </w:r>
      <w:proofErr w:type="spellStart"/>
      <w:r w:rsidR="00423C53" w:rsidRPr="00C64BF5">
        <w:t>Figure</w:t>
      </w:r>
      <w:proofErr w:type="spellEnd"/>
      <w:r w:rsidR="00423C53" w:rsidRPr="00C64BF5">
        <w:t xml:space="preserve"> </w:t>
      </w:r>
      <w:r w:rsidR="00423C53">
        <w:rPr>
          <w:noProof/>
        </w:rPr>
        <w:t>8</w:t>
      </w:r>
      <w:r w:rsidR="00423C53">
        <w:rPr>
          <w:lang w:val="en-US"/>
        </w:rPr>
        <w:fldChar w:fldCharType="end"/>
      </w:r>
      <w:r w:rsidR="00423C53">
        <w:rPr>
          <w:lang w:val="en-US"/>
        </w:rPr>
        <w:t xml:space="preserve">) </w:t>
      </w:r>
      <w:r>
        <w:rPr>
          <w:lang w:val="en-US"/>
        </w:rPr>
        <w:t xml:space="preserve">is partly due to the </w:t>
      </w:r>
      <w:r w:rsidR="005B1829">
        <w:rPr>
          <w:lang w:val="en-US"/>
        </w:rPr>
        <w:t>rate of change in</w:t>
      </w:r>
      <w:r w:rsidR="00423C53">
        <w:rPr>
          <w:lang w:val="en-US"/>
        </w:rPr>
        <w:t xml:space="preserve"> the short to medium term</w:t>
      </w:r>
      <w:r w:rsidR="005B1829">
        <w:rPr>
          <w:lang w:val="en-US"/>
        </w:rPr>
        <w:t xml:space="preserve">. This </w:t>
      </w:r>
      <w:r w:rsidR="00423C53">
        <w:rPr>
          <w:lang w:val="en-US"/>
        </w:rPr>
        <w:t>has</w:t>
      </w:r>
      <w:r w:rsidR="005B1829">
        <w:rPr>
          <w:lang w:val="en-US"/>
        </w:rPr>
        <w:t xml:space="preserve"> important policy implications </w:t>
      </w:r>
      <w:r w:rsidR="00423C53">
        <w:rPr>
          <w:lang w:val="en-US"/>
        </w:rPr>
        <w:t xml:space="preserve">for the next decade </w:t>
      </w:r>
      <w:r w:rsidR="005B1829">
        <w:rPr>
          <w:lang w:val="en-US"/>
        </w:rPr>
        <w:t xml:space="preserve">as </w:t>
      </w:r>
      <w:r w:rsidR="00423C53">
        <w:rPr>
          <w:lang w:val="en-US"/>
        </w:rPr>
        <w:t>reducing cumulative emissions – the area under the curve – is a more important goal of climate change mitigation than meeting future annual emissions targets.</w:t>
      </w:r>
    </w:p>
    <w:p w14:paraId="0A236837" w14:textId="77777777" w:rsidR="005B1829" w:rsidRDefault="005B1829" w:rsidP="00A018D1">
      <w:pPr>
        <w:rPr>
          <w:lang w:val="en-US"/>
        </w:rPr>
      </w:pPr>
    </w:p>
    <w:p w14:paraId="686F7F98" w14:textId="2486E7F4" w:rsidR="004E6864" w:rsidRPr="00C64BF5" w:rsidRDefault="000D65CF" w:rsidP="00A018D1">
      <w:pPr>
        <w:rPr>
          <w:lang w:val="en-US"/>
        </w:rPr>
      </w:pPr>
      <w:r w:rsidRPr="000D65CF">
        <w:rPr>
          <w:lang w:val="en-US"/>
        </w:rPr>
        <w:t xml:space="preserve">The ‘medium’ ambition </w:t>
      </w:r>
      <w:proofErr w:type="spellStart"/>
      <w:r w:rsidRPr="000D65CF">
        <w:rPr>
          <w:lang w:val="en-US"/>
        </w:rPr>
        <w:t>feebate</w:t>
      </w:r>
      <w:proofErr w:type="spellEnd"/>
      <w:r w:rsidRPr="000D65CF">
        <w:rPr>
          <w:lang w:val="en-US"/>
        </w:rPr>
        <w:t xml:space="preserve"> policy (CPT2) represents perhaps the most balanced design</w:t>
      </w:r>
      <w:r w:rsidR="00513A2E">
        <w:rPr>
          <w:lang w:val="en-US"/>
        </w:rPr>
        <w:t xml:space="preserve"> of all the policy scenarios modeled here</w:t>
      </w:r>
      <w:r w:rsidRPr="000D65CF">
        <w:rPr>
          <w:lang w:val="en-US"/>
        </w:rPr>
        <w:t xml:space="preserve">: </w:t>
      </w:r>
      <w:proofErr w:type="spellStart"/>
      <w:r w:rsidRPr="000D65CF">
        <w:rPr>
          <w:lang w:val="en-US"/>
        </w:rPr>
        <w:t>feebate</w:t>
      </w:r>
      <w:proofErr w:type="spellEnd"/>
      <w:r w:rsidRPr="000D65CF">
        <w:rPr>
          <w:lang w:val="en-US"/>
        </w:rPr>
        <w:t xml:space="preserve"> revenues are sizeable; net revenues (including fuel duty losses) are similar to the baseline; low carbon technology uptake is considerable and</w:t>
      </w:r>
      <w:r w:rsidR="00C17105">
        <w:rPr>
          <w:lang w:val="en-US"/>
        </w:rPr>
        <w:t>, crucially,</w:t>
      </w:r>
      <w:r w:rsidRPr="000D65CF">
        <w:rPr>
          <w:lang w:val="en-US"/>
        </w:rPr>
        <w:t xml:space="preserve"> starts early; and GHG emissions reductions are better than any of the alternative road tax and scrappage schemes. This is coupled with the added benefit of marginally lowering car </w:t>
      </w:r>
      <w:r w:rsidR="00C17105">
        <w:rPr>
          <w:lang w:val="en-US"/>
        </w:rPr>
        <w:t>use</w:t>
      </w:r>
      <w:r w:rsidRPr="000D65CF">
        <w:rPr>
          <w:lang w:val="en-US"/>
        </w:rPr>
        <w:t xml:space="preserve"> (as opposed to a marginal increase in CPT3 due to private motoring costs falling in the longer term). In contrast, the balance does not seem to be right when increasing the top rebate for low carbon cars from GBP2</w:t>
      </w:r>
      <w:proofErr w:type="gramStart"/>
      <w:r w:rsidRPr="000D65CF">
        <w:rPr>
          <w:lang w:val="en-US"/>
        </w:rPr>
        <w:t>,000</w:t>
      </w:r>
      <w:proofErr w:type="gramEnd"/>
      <w:r w:rsidRPr="000D65CF">
        <w:rPr>
          <w:lang w:val="en-US"/>
        </w:rPr>
        <w:t xml:space="preserve"> (CPT2) to GBP4,000 (CPT2a). While </w:t>
      </w:r>
      <w:r w:rsidR="00513A2E">
        <w:rPr>
          <w:lang w:val="en-US"/>
        </w:rPr>
        <w:t xml:space="preserve">the scheme with the higher top rebate </w:t>
      </w:r>
      <w:r w:rsidRPr="000D65CF">
        <w:rPr>
          <w:lang w:val="en-US"/>
        </w:rPr>
        <w:t xml:space="preserve">accelerates the take-up of </w:t>
      </w:r>
      <w:r w:rsidR="00513A2E">
        <w:rPr>
          <w:lang w:val="en-US"/>
        </w:rPr>
        <w:t xml:space="preserve">BEV cars </w:t>
      </w:r>
      <w:r w:rsidRPr="000D65CF">
        <w:rPr>
          <w:lang w:val="en-US"/>
        </w:rPr>
        <w:t xml:space="preserve">instead of efficient diesel ICV and gasoline HEV, it also increases overall car ownership so that life cycle </w:t>
      </w:r>
      <w:r w:rsidR="00C17105">
        <w:rPr>
          <w:lang w:val="en-US"/>
        </w:rPr>
        <w:t xml:space="preserve">GHG </w:t>
      </w:r>
      <w:r w:rsidRPr="000D65CF">
        <w:rPr>
          <w:lang w:val="en-US"/>
        </w:rPr>
        <w:t xml:space="preserve">emissions savings are lower </w:t>
      </w:r>
      <w:r w:rsidRPr="000D65CF">
        <w:rPr>
          <w:lang w:val="en-US"/>
        </w:rPr>
        <w:lastRenderedPageBreak/>
        <w:t>than in CPT2. This of course is dependent on the carbon content of road transport electricity, which as mentioned above does not vary between scenarios and is still around 400gCO</w:t>
      </w:r>
      <w:r w:rsidRPr="00513A2E">
        <w:rPr>
          <w:vertAlign w:val="subscript"/>
          <w:lang w:val="en-US"/>
        </w:rPr>
        <w:t>2</w:t>
      </w:r>
      <w:r w:rsidRPr="000D65CF">
        <w:rPr>
          <w:lang w:val="en-US"/>
        </w:rPr>
        <w:t xml:space="preserve">/kWh </w:t>
      </w:r>
      <w:r w:rsidR="005E7FB9">
        <w:rPr>
          <w:lang w:val="en-US"/>
        </w:rPr>
        <w:t xml:space="preserve">in </w:t>
      </w:r>
      <w:r w:rsidRPr="000D65CF">
        <w:rPr>
          <w:lang w:val="en-US"/>
        </w:rPr>
        <w:t>2030</w:t>
      </w:r>
      <w:r w:rsidR="005E7FB9">
        <w:rPr>
          <w:lang w:val="en-US"/>
        </w:rPr>
        <w:t xml:space="preserve"> and beyond</w:t>
      </w:r>
      <w:r w:rsidRPr="000D65CF">
        <w:rPr>
          <w:lang w:val="en-US"/>
        </w:rPr>
        <w:t>.</w:t>
      </w:r>
    </w:p>
    <w:p w14:paraId="187ECF4D" w14:textId="77777777" w:rsidR="004E6864" w:rsidRPr="00C64BF5" w:rsidRDefault="004E6864" w:rsidP="00A018D1">
      <w:pPr>
        <w:rPr>
          <w:lang w:val="en-US"/>
        </w:rPr>
      </w:pPr>
    </w:p>
    <w:p w14:paraId="53E371B9" w14:textId="623D74C1" w:rsidR="00082EEF" w:rsidRDefault="000D65CF" w:rsidP="00A018D1">
      <w:pPr>
        <w:rPr>
          <w:lang w:val="en-US"/>
        </w:rPr>
      </w:pPr>
      <w:r w:rsidRPr="000D65CF">
        <w:rPr>
          <w:lang w:val="en-US"/>
        </w:rPr>
        <w:t xml:space="preserve">The </w:t>
      </w:r>
      <w:r w:rsidR="00513A2E" w:rsidRPr="000D65CF">
        <w:rPr>
          <w:lang w:val="en-US"/>
        </w:rPr>
        <w:t>modeling</w:t>
      </w:r>
      <w:r w:rsidRPr="000D65CF">
        <w:rPr>
          <w:lang w:val="en-US"/>
        </w:rPr>
        <w:t xml:space="preserve"> also suggest that the potential rebound effect that arises whenever consumers buy more fuel efficient cars, thus face a </w:t>
      </w:r>
      <w:r w:rsidRPr="000D65CF">
        <w:rPr>
          <w:i/>
          <w:lang w:val="en-US"/>
        </w:rPr>
        <w:t>lower</w:t>
      </w:r>
      <w:r w:rsidRPr="000D65CF">
        <w:rPr>
          <w:lang w:val="en-US"/>
        </w:rPr>
        <w:t xml:space="preserve"> cost per km and travel longer distances in response, is not hugely significant. This support</w:t>
      </w:r>
      <w:r w:rsidR="00513A2E">
        <w:rPr>
          <w:lang w:val="en-US"/>
        </w:rPr>
        <w:t>s</w:t>
      </w:r>
      <w:r w:rsidRPr="000D65CF">
        <w:rPr>
          <w:lang w:val="en-US"/>
        </w:rPr>
        <w:t xml:space="preserve"> previous work that suggests rebound effects may diminish over the short and longer term due to rising real income and falling fuel prices </w:t>
      </w:r>
      <w:r w:rsidR="00880B2F">
        <w:rPr>
          <w:lang w:val="en-US"/>
        </w:rPr>
        <w:fldChar w:fldCharType="begin"/>
      </w:r>
      <w:r w:rsidR="00760D21">
        <w:rPr>
          <w:lang w:val="en-US"/>
        </w:rPr>
        <w:instrText xml:space="preserve"> ADDIN EN.CITE &lt;EndNote&gt;&lt;Cite&gt;&lt;Author&gt;Small&lt;/Author&gt;&lt;Year&gt;2007&lt;/Year&gt;&lt;RecNum&gt;929&lt;/RecNum&gt;&lt;DisplayText&gt;(de Haan et al., 2009; Small and Van Dender, 2007)&lt;/DisplayText&gt;&lt;record&gt;&lt;rec-number&gt;929&lt;/rec-number&gt;&lt;foreign-keys&gt;&lt;key app="EN" db-id="a0wpest2552swgezzsnxxwsnpp9axwswpaww"&gt;929&lt;/key&gt;&lt;/foreign-keys&gt;&lt;ref-type name="Journal Article"&gt;17&lt;/ref-type&gt;&lt;contributors&gt;&lt;authors&gt;&lt;author&gt;Small, K.&lt;/author&gt;&lt;author&gt;Van Dender, K.&lt;/author&gt;&lt;/authors&gt;&lt;/contributors&gt;&lt;titles&gt;&lt;title&gt;Fuel efficiency and motor vehicle travel: the declining rebound effect&lt;/title&gt;&lt;secondary-title&gt;Energy J.&lt;/secondary-title&gt;&lt;/titles&gt;&lt;periodical&gt;&lt;full-title&gt;Energy Journal&lt;/full-title&gt;&lt;abbr-1&gt;Energy J.&lt;/abbr-1&gt;&lt;/periodical&gt;&lt;pages&gt;25–51&lt;/pages&gt;&lt;volume&gt;28&lt;/volume&gt;&lt;dates&gt;&lt;year&gt;2007&lt;/year&gt;&lt;/dates&gt;&lt;urls&gt;&lt;/urls&gt;&lt;/record&gt;&lt;/Cite&gt;&lt;Cite&gt;&lt;Author&gt;de Haan&lt;/Author&gt;&lt;Year&gt;2009&lt;/Year&gt;&lt;RecNum&gt;867&lt;/RecNum&gt;&lt;record&gt;&lt;rec-number&gt;867&lt;/rec-number&gt;&lt;foreign-keys&gt;&lt;key app="EN" db-id="a0wpest2552swgezzsnxxwsnpp9axwswpaww"&gt;867&lt;/key&gt;&lt;/foreign-keys&gt;&lt;ref-type name="Journal Article"&gt;17&lt;/ref-type&gt;&lt;contributors&gt;&lt;authors&gt;&lt;author&gt;de Haan, Peter&lt;/author&gt;&lt;author&gt;Mueller, Michel G.&lt;/author&gt;&lt;author&gt;Scholz, Roland W.&lt;/author&gt;&lt;/authors&gt;&lt;/contributors&gt;&lt;titles&gt;&lt;title&gt;How much do incentives affect car purchase? Agent-based microsimulation of consumer choice of new cars--Part II: Forecasting effects of feebates based on energy-efficiency&lt;/title&gt;&lt;secondary-title&gt;Energy Policy&lt;/secondary-title&gt;&lt;/titles&gt;&lt;periodical&gt;&lt;full-title&gt;Energy Policy&lt;/full-title&gt;&lt;/periodical&gt;&lt;pages&gt;1083-1094&lt;/pages&gt;&lt;volume&gt;37&lt;/volume&gt;&lt;number&gt;3&lt;/number&gt;&lt;keywords&gt;&lt;keyword&gt;Energy-efficiency policy&lt;/keyword&gt;&lt;keyword&gt;Consumer behavior&lt;/keyword&gt;&lt;keyword&gt;Policy analysis&lt;/keyword&gt;&lt;/keywords&gt;&lt;dates&gt;&lt;year&gt;2009&lt;/year&gt;&lt;/dates&gt;&lt;isbn&gt;0301-4215&lt;/isbn&gt;&lt;urls&gt;&lt;related-urls&gt;&lt;url&gt;http://www.sciencedirect.com/science/article/B6V2W-4V87DRS-2/2/7666a751ef4ca946e07705f6c62f837a&lt;/url&gt;&lt;/related-urls&gt;&lt;/urls&gt;&lt;/record&gt;&lt;/Cite&gt;&lt;/EndNote&gt;</w:instrText>
      </w:r>
      <w:r w:rsidR="00880B2F">
        <w:rPr>
          <w:lang w:val="en-US"/>
        </w:rPr>
        <w:fldChar w:fldCharType="separate"/>
      </w:r>
      <w:r w:rsidR="00760D21">
        <w:rPr>
          <w:noProof/>
          <w:lang w:val="en-US"/>
        </w:rPr>
        <w:t>(</w:t>
      </w:r>
      <w:hyperlink w:anchor="_ENREF_17" w:tooltip="de Haan, 2009 #867" w:history="1">
        <w:r w:rsidR="00D67197">
          <w:rPr>
            <w:noProof/>
            <w:lang w:val="en-US"/>
          </w:rPr>
          <w:t>de Haan et al., 2009</w:t>
        </w:r>
      </w:hyperlink>
      <w:r w:rsidR="00760D21">
        <w:rPr>
          <w:noProof/>
          <w:lang w:val="en-US"/>
        </w:rPr>
        <w:t xml:space="preserve">; </w:t>
      </w:r>
      <w:hyperlink w:anchor="_ENREF_67" w:tooltip="Small, 2007 #929" w:history="1">
        <w:r w:rsidR="00D67197">
          <w:rPr>
            <w:noProof/>
            <w:lang w:val="en-US"/>
          </w:rPr>
          <w:t>Small and Van Dender, 2007</w:t>
        </w:r>
      </w:hyperlink>
      <w:r w:rsidR="00760D21">
        <w:rPr>
          <w:noProof/>
          <w:lang w:val="en-US"/>
        </w:rPr>
        <w:t>)</w:t>
      </w:r>
      <w:r w:rsidR="00880B2F">
        <w:rPr>
          <w:lang w:val="en-US"/>
        </w:rPr>
        <w:fldChar w:fldCharType="end"/>
      </w:r>
      <w:r w:rsidRPr="000D65CF">
        <w:rPr>
          <w:lang w:val="en-US"/>
        </w:rPr>
        <w:t xml:space="preserve"> which is largely consistent with the rates of GDP growth and modest oil price </w:t>
      </w:r>
      <w:r w:rsidR="00513A2E">
        <w:rPr>
          <w:lang w:val="en-US"/>
        </w:rPr>
        <w:t xml:space="preserve">increases </w:t>
      </w:r>
      <w:r w:rsidRPr="000D65CF">
        <w:rPr>
          <w:lang w:val="en-US"/>
        </w:rPr>
        <w:t xml:space="preserve">used in the </w:t>
      </w:r>
      <w:r w:rsidR="00426386" w:rsidRPr="000D65CF">
        <w:rPr>
          <w:lang w:val="en-US"/>
        </w:rPr>
        <w:t>modeling</w:t>
      </w:r>
      <w:r w:rsidRPr="000D65CF">
        <w:rPr>
          <w:lang w:val="en-US"/>
        </w:rPr>
        <w:t xml:space="preserve"> for this study. However, future values for rebound effects will crucially depend on how fuel prices and real income growth will evolve over time.  </w:t>
      </w:r>
    </w:p>
    <w:p w14:paraId="578E9B40" w14:textId="77777777" w:rsidR="00426386" w:rsidRDefault="00426386" w:rsidP="00A018D1">
      <w:pPr>
        <w:rPr>
          <w:lang w:val="en-US"/>
        </w:rPr>
      </w:pPr>
    </w:p>
    <w:p w14:paraId="679A9E52" w14:textId="57814A73" w:rsidR="005B675D" w:rsidRDefault="000D65CF" w:rsidP="00B17287">
      <w:pPr>
        <w:rPr>
          <w:lang w:val="en-US"/>
        </w:rPr>
      </w:pPr>
      <w:r w:rsidRPr="000D65CF">
        <w:rPr>
          <w:lang w:val="en-US"/>
        </w:rPr>
        <w:t>While we were not attempting to make economic comparisons between scenarios (usually by measuring the ‘social welfare’), we could meaningfully compare government revenue streams implied by different scenarios. Clearly the fiscal incentives considered here can have significant effects on government revenue streams</w:t>
      </w:r>
      <w:r w:rsidR="009D1FA6">
        <w:rPr>
          <w:lang w:val="en-US"/>
        </w:rPr>
        <w:t xml:space="preserve">, as recent empirical evidence suggests </w:t>
      </w:r>
      <w:r w:rsidR="009D1FA6">
        <w:rPr>
          <w:lang w:val="en-US"/>
        </w:rPr>
        <w:fldChar w:fldCharType="begin"/>
      </w:r>
      <w:r w:rsidR="009D1FA6">
        <w:rPr>
          <w:lang w:val="en-US"/>
        </w:rPr>
        <w:instrText xml:space="preserve"> ADDIN EN.CITE &lt;EndNote&gt;&lt;Cite&gt;&lt;Author&gt;Rogan&lt;/Author&gt;&lt;Year&gt;2011&lt;/Year&gt;&lt;RecNum&gt;885&lt;/RecNum&gt;&lt;DisplayText&gt;(Diem, 2011; Rogan et al., 2011)&lt;/DisplayText&gt;&lt;record&gt;&lt;rec-number&gt;885&lt;/rec-number&gt;&lt;foreign-keys&gt;&lt;key app="EN" db-id="a0wpest2552swgezzsnxxwsnpp9axwswpaww"&gt;885&lt;/key&gt;&lt;/foreign-keys&gt;&lt;ref-type name="Journal Article"&gt;17&lt;/ref-type&gt;&lt;contributors&gt;&lt;authors&gt;&lt;author&gt;Rogan, Fionn&lt;/author&gt;&lt;author&gt;Dennehy, Emer&lt;/author&gt;&lt;author&gt;Daly, Hannah&lt;/author&gt;&lt;author&gt;Howley, Martin&lt;/author&gt;&lt;author&gt;Ó Gallachóir, Brian P.&lt;/author&gt;&lt;/authors&gt;&lt;/contributors&gt;&lt;titles&gt;&lt;title&gt;Impacts of an emission based private car taxation policy - First year ex-post analysis&lt;/title&gt;&lt;secondary-title&gt;Transportation Research Part A: Policy and Practice&lt;/secondary-title&gt;&lt;/titles&gt;&lt;periodical&gt;&lt;full-title&gt;Transportation Research Part A: Policy and Practice&lt;/full-title&gt;&lt;abbr-1&gt;Transp. Res.: Part A: Pol. Practice&lt;/abbr-1&gt;&lt;/periodical&gt;&lt;pages&gt;583-597&lt;/pages&gt;&lt;volume&gt;45&lt;/volume&gt;&lt;number&gt;7&lt;/number&gt;&lt;keywords&gt;&lt;keyword&gt;Transport energy&lt;/keyword&gt;&lt;keyword&gt;Private car&lt;/keyword&gt;&lt;keyword&gt;CO2 emissions reduction&lt;/keyword&gt;&lt;keyword&gt;Climate change policy&lt;/keyword&gt;&lt;keyword&gt;Ex-post analysis&lt;/keyword&gt;&lt;keyword&gt;Ireland&lt;/keyword&gt;&lt;/keywords&gt;&lt;dates&gt;&lt;year&gt;2011&lt;/year&gt;&lt;/dates&gt;&lt;isbn&gt;0965-8564&lt;/isbn&gt;&lt;urls&gt;&lt;related-urls&gt;&lt;url&gt;http://www.sciencedirect.com/science/article/pii/S096585641100053X&lt;/url&gt;&lt;/related-urls&gt;&lt;/urls&gt;&lt;electronic-resource-num&gt;10.1016/j.tra.2011.03.007&lt;/electronic-resource-num&gt;&lt;/record&gt;&lt;/Cite&gt;&lt;Cite&gt;&lt;Author&gt;Diem&lt;/Author&gt;&lt;Year&gt;2011&lt;/Year&gt;&lt;RecNum&gt;937&lt;/RecNum&gt;&lt;record&gt;&lt;rec-number&gt;937&lt;/rec-number&gt;&lt;foreign-keys&gt;&lt;key app="EN" db-id="a0wpest2552swgezzsnxxwsnpp9axwswpaww"&gt;937&lt;/key&gt;&lt;/foreign-keys&gt;&lt;ref-type name="Newspaper Article"&gt;23&lt;/ref-type&gt;&lt;contributors&gt;&lt;authors&gt;&lt;author&gt;William Diem&lt;/author&gt;&lt;/authors&gt;&lt;/contributors&gt;&lt;titles&gt;&lt;title&gt;France Cuts High-Mileage Car Bonuses, Hikes Gas-Hog Levies &lt;/title&gt;&lt;secondary-title&gt;WardsAuto.com&lt;/secondary-title&gt;&lt;/titles&gt;&lt;dates&gt;&lt;year&gt;2011&lt;/year&gt;&lt;/dates&gt;&lt;publisher&gt;Penton Media, Inc.&lt;/publisher&gt;&lt;urls&gt;&lt;/urls&gt;&lt;/record&gt;&lt;/Cite&gt;&lt;/EndNote&gt;</w:instrText>
      </w:r>
      <w:r w:rsidR="009D1FA6">
        <w:rPr>
          <w:lang w:val="en-US"/>
        </w:rPr>
        <w:fldChar w:fldCharType="separate"/>
      </w:r>
      <w:r w:rsidR="009D1FA6">
        <w:rPr>
          <w:noProof/>
          <w:lang w:val="en-US"/>
        </w:rPr>
        <w:t>(</w:t>
      </w:r>
      <w:hyperlink w:anchor="_ENREF_21" w:tooltip="Diem, 2011 #937" w:history="1">
        <w:r w:rsidR="00D67197">
          <w:rPr>
            <w:noProof/>
            <w:lang w:val="en-US"/>
          </w:rPr>
          <w:t>Diem, 2011</w:t>
        </w:r>
      </w:hyperlink>
      <w:r w:rsidR="009D1FA6">
        <w:rPr>
          <w:noProof/>
          <w:lang w:val="en-US"/>
        </w:rPr>
        <w:t xml:space="preserve">; </w:t>
      </w:r>
      <w:hyperlink w:anchor="_ENREF_61" w:tooltip="Rogan, 2011 #885" w:history="1">
        <w:r w:rsidR="00D67197">
          <w:rPr>
            <w:noProof/>
            <w:lang w:val="en-US"/>
          </w:rPr>
          <w:t>Rogan et al., 2011</w:t>
        </w:r>
      </w:hyperlink>
      <w:r w:rsidR="009D1FA6">
        <w:rPr>
          <w:noProof/>
          <w:lang w:val="en-US"/>
        </w:rPr>
        <w:t>)</w:t>
      </w:r>
      <w:r w:rsidR="009D1FA6">
        <w:rPr>
          <w:lang w:val="en-US"/>
        </w:rPr>
        <w:fldChar w:fldCharType="end"/>
      </w:r>
      <w:r w:rsidRPr="000D65CF">
        <w:rPr>
          <w:lang w:val="en-US"/>
        </w:rPr>
        <w:t xml:space="preserve">. Additional tax burdens may </w:t>
      </w:r>
      <w:r w:rsidR="00513A2E">
        <w:rPr>
          <w:lang w:val="en-US"/>
        </w:rPr>
        <w:t>irritate</w:t>
      </w:r>
      <w:r w:rsidR="00513A2E" w:rsidRPr="000D65CF">
        <w:rPr>
          <w:lang w:val="en-US"/>
        </w:rPr>
        <w:t xml:space="preserve"> </w:t>
      </w:r>
      <w:r w:rsidRPr="000D65CF">
        <w:rPr>
          <w:lang w:val="en-US"/>
        </w:rPr>
        <w:t>consumers, especially if the taxes are not ring-fenced for improving, say, the public transport system</w:t>
      </w:r>
      <w:r w:rsidR="00513A2E">
        <w:rPr>
          <w:lang w:val="en-US"/>
        </w:rPr>
        <w:t>,</w:t>
      </w:r>
      <w:r w:rsidRPr="000D65CF">
        <w:rPr>
          <w:lang w:val="en-US"/>
        </w:rPr>
        <w:t xml:space="preserve"> or </w:t>
      </w:r>
      <w:r w:rsidR="00513A2E">
        <w:rPr>
          <w:lang w:val="en-US"/>
        </w:rPr>
        <w:t xml:space="preserve">if </w:t>
      </w:r>
      <w:r w:rsidRPr="000D65CF">
        <w:rPr>
          <w:lang w:val="en-US"/>
        </w:rPr>
        <w:t xml:space="preserve">the winners and </w:t>
      </w:r>
      <w:r w:rsidR="00513A2E" w:rsidRPr="000D65CF">
        <w:rPr>
          <w:lang w:val="en-US"/>
        </w:rPr>
        <w:t>losers</w:t>
      </w:r>
      <w:r w:rsidRPr="000D65CF">
        <w:rPr>
          <w:lang w:val="en-US"/>
        </w:rPr>
        <w:t xml:space="preserve"> are not distributed equally across social strata and geography. The welfare and distributional impacts of any fiscal instrument with respect to wider impacts on congestion</w:t>
      </w:r>
      <w:r w:rsidR="00513A2E">
        <w:rPr>
          <w:lang w:val="en-US"/>
        </w:rPr>
        <w:t>, local air pollution</w:t>
      </w:r>
      <w:r w:rsidRPr="000D65CF">
        <w:rPr>
          <w:lang w:val="en-US"/>
        </w:rPr>
        <w:t xml:space="preserve"> and revenue distribution were beyond the scope of this study but would be an important part of further po</w:t>
      </w:r>
      <w:r w:rsidR="005B675D">
        <w:rPr>
          <w:lang w:val="en-US"/>
        </w:rPr>
        <w:t>licy evaluation.</w:t>
      </w:r>
    </w:p>
    <w:p w14:paraId="10620D35" w14:textId="77777777" w:rsidR="005B675D" w:rsidRDefault="005B675D" w:rsidP="00B17287">
      <w:pPr>
        <w:rPr>
          <w:lang w:val="en-US"/>
        </w:rPr>
      </w:pPr>
    </w:p>
    <w:p w14:paraId="1FCFAEDC" w14:textId="29DE49A2" w:rsidR="00B17287" w:rsidRPr="00C64BF5" w:rsidRDefault="009D1FA6" w:rsidP="00B17287">
      <w:pPr>
        <w:rPr>
          <w:lang w:val="en-US"/>
        </w:rPr>
      </w:pPr>
      <w:r>
        <w:rPr>
          <w:lang w:val="en-US"/>
        </w:rPr>
        <w:t>T</w:t>
      </w:r>
      <w:r w:rsidR="000D65CF" w:rsidRPr="000D65CF">
        <w:rPr>
          <w:lang w:val="en-US"/>
        </w:rPr>
        <w:t xml:space="preserve">he sizeable and negative NPVs of GBP-25 billion (CPT3a) and GBP-30 billion (CPT3) </w:t>
      </w:r>
      <w:r>
        <w:rPr>
          <w:lang w:val="en-US"/>
        </w:rPr>
        <w:t xml:space="preserve">for the ‘high’ ambition </w:t>
      </w:r>
      <w:proofErr w:type="spellStart"/>
      <w:r>
        <w:rPr>
          <w:lang w:val="en-US"/>
        </w:rPr>
        <w:t>feebate</w:t>
      </w:r>
      <w:proofErr w:type="spellEnd"/>
      <w:r>
        <w:rPr>
          <w:lang w:val="en-US"/>
        </w:rPr>
        <w:t xml:space="preserve"> schemes </w:t>
      </w:r>
      <w:r w:rsidR="005B675D">
        <w:rPr>
          <w:lang w:val="en-US"/>
        </w:rPr>
        <w:t xml:space="preserve">would undoubtedly prompt </w:t>
      </w:r>
      <w:r w:rsidR="000D65CF" w:rsidRPr="000D65CF">
        <w:rPr>
          <w:lang w:val="en-US"/>
        </w:rPr>
        <w:t xml:space="preserve">the UK Government to fill the revenue gap by other means, e.g. through </w:t>
      </w:r>
      <w:proofErr w:type="gramStart"/>
      <w:r w:rsidR="000D65CF" w:rsidRPr="000D65CF">
        <w:rPr>
          <w:lang w:val="en-US"/>
        </w:rPr>
        <w:t>raising</w:t>
      </w:r>
      <w:proofErr w:type="gramEnd"/>
      <w:r w:rsidR="000D65CF" w:rsidRPr="000D65CF">
        <w:rPr>
          <w:lang w:val="en-US"/>
        </w:rPr>
        <w:t xml:space="preserve"> fuel duties or road taxes. As the results suggest, </w:t>
      </w:r>
      <w:r w:rsidR="00E95015">
        <w:rPr>
          <w:lang w:val="en-US"/>
        </w:rPr>
        <w:t xml:space="preserve">designing </w:t>
      </w:r>
      <w:r w:rsidR="000D65CF" w:rsidRPr="000D65CF">
        <w:rPr>
          <w:lang w:val="en-US"/>
        </w:rPr>
        <w:t>a</w:t>
      </w:r>
      <w:r w:rsidR="00E95015">
        <w:rPr>
          <w:lang w:val="en-US"/>
        </w:rPr>
        <w:t>n incentive</w:t>
      </w:r>
      <w:r w:rsidR="000D65CF" w:rsidRPr="000D65CF">
        <w:rPr>
          <w:lang w:val="en-US"/>
        </w:rPr>
        <w:t xml:space="preserve"> structure that </w:t>
      </w:r>
      <w:r w:rsidR="00E95015">
        <w:rPr>
          <w:lang w:val="en-US"/>
        </w:rPr>
        <w:t xml:space="preserve">(a) </w:t>
      </w:r>
      <w:r w:rsidR="000D65CF" w:rsidRPr="000D65CF">
        <w:rPr>
          <w:lang w:val="en-US"/>
        </w:rPr>
        <w:t xml:space="preserve">satisfies governments and consumers </w:t>
      </w:r>
      <w:r w:rsidR="00E95015">
        <w:rPr>
          <w:lang w:val="en-US"/>
        </w:rPr>
        <w:t xml:space="preserve">and (b) is flexible and dynamic </w:t>
      </w:r>
      <w:r w:rsidR="000D65CF" w:rsidRPr="000D65CF">
        <w:rPr>
          <w:lang w:val="en-US"/>
        </w:rPr>
        <w:t>presents an important challenge, mainly due to the uncertainty</w:t>
      </w:r>
      <w:r w:rsidR="00513A2E">
        <w:rPr>
          <w:lang w:val="en-US"/>
        </w:rPr>
        <w:t xml:space="preserve"> </w:t>
      </w:r>
      <w:r w:rsidR="000D65CF" w:rsidRPr="000D65CF">
        <w:rPr>
          <w:lang w:val="en-US"/>
        </w:rPr>
        <w:t xml:space="preserve">regarding consumers’ response to fiscal pricing incentives. This uncertainty makes it difficult to determine the optimal </w:t>
      </w:r>
      <w:proofErr w:type="spellStart"/>
      <w:r w:rsidR="000D65CF" w:rsidRPr="000D65CF">
        <w:rPr>
          <w:lang w:val="en-US"/>
        </w:rPr>
        <w:t>feebate</w:t>
      </w:r>
      <w:proofErr w:type="spellEnd"/>
      <w:r w:rsidR="000D65CF" w:rsidRPr="000D65CF">
        <w:rPr>
          <w:lang w:val="en-US"/>
        </w:rPr>
        <w:t xml:space="preserve"> rates and timing of the tightening by emissions band </w:t>
      </w:r>
      <w:r w:rsidR="00880B2F" w:rsidRPr="000D65CF">
        <w:rPr>
          <w:lang w:val="en-US"/>
        </w:rPr>
        <w:fldChar w:fldCharType="begin"/>
      </w:r>
      <w:r w:rsidR="00C2662B">
        <w:rPr>
          <w:lang w:val="en-US"/>
        </w:rPr>
        <w:instrText xml:space="preserve"> ADDIN EN.CITE &lt;EndNote&gt;&lt;Cite&gt;&lt;Author&gt;Gallagher&lt;/Author&gt;&lt;Year&gt;2007&lt;/Year&gt;&lt;RecNum&gt;890&lt;/RecNum&gt;&lt;DisplayText&gt;(Gallagher et al., 2007)&lt;/DisplayText&gt;&lt;record&gt;&lt;rec-number&gt;890&lt;/rec-number&gt;&lt;foreign-keys&gt;&lt;key app="EN" db-id="a0wpest2552swgezzsnxxwsnpp9axwswpaww"&gt;890&lt;/key&gt;&lt;/foreign-keys&gt;&lt;ref-type name="Manuscript"&gt;36&lt;/ref-type&gt;&lt;contributors&gt;&lt;authors&gt;&lt;author&gt;Gallagher, K.&lt;/author&gt;&lt;author&gt;Collantes, G.&lt;/author&gt;&lt;author&gt;Holdren, J.&lt;/author&gt;&lt;author&gt;Lee, H.&lt;/author&gt;&lt;author&gt;Frosch, R.&lt;/author&gt;&lt;/authors&gt;&lt;/contributors&gt;&lt;titles&gt;&lt;title&gt;Policy options for reducing oil consumption and greenhouse-gas emissions from the US Transportation Sector, Discussion Paper&lt;/title&gt;&lt;/titles&gt;&lt;dates&gt;&lt;year&gt;2007&lt;/year&gt;&lt;/dates&gt;&lt;publisher&gt;Belfer Center for Science and International Affairs, John F. Kennedy School of Government, Harvard University&lt;/publisher&gt;&lt;urls&gt;&lt;related-urls&gt;&lt;url&gt;http://belfercenter.ksg.harvard.edu/files/policy_options_oil_climate_transport_final.pdf&lt;/url&gt;&lt;/related-urls&gt;&lt;/urls&gt;&lt;/record&gt;&lt;/Cite&gt;&lt;/EndNote&gt;</w:instrText>
      </w:r>
      <w:r w:rsidR="00880B2F" w:rsidRPr="000D65CF">
        <w:rPr>
          <w:lang w:val="en-US"/>
        </w:rPr>
        <w:fldChar w:fldCharType="separate"/>
      </w:r>
      <w:r w:rsidR="00C2662B">
        <w:rPr>
          <w:noProof/>
          <w:lang w:val="en-US"/>
        </w:rPr>
        <w:t>(</w:t>
      </w:r>
      <w:hyperlink w:anchor="_ENREF_31" w:tooltip="Gallagher, 2007 #890" w:history="1">
        <w:r w:rsidR="00D67197">
          <w:rPr>
            <w:noProof/>
            <w:lang w:val="en-US"/>
          </w:rPr>
          <w:t>Gallagher et al., 2007</w:t>
        </w:r>
      </w:hyperlink>
      <w:r w:rsidR="00C2662B">
        <w:rPr>
          <w:noProof/>
          <w:lang w:val="en-US"/>
        </w:rPr>
        <w:t>)</w:t>
      </w:r>
      <w:r w:rsidR="00880B2F" w:rsidRPr="000D65CF">
        <w:rPr>
          <w:lang w:val="en-US"/>
        </w:rPr>
        <w:fldChar w:fldCharType="end"/>
      </w:r>
      <w:r w:rsidR="000D65CF" w:rsidRPr="000D65CF">
        <w:rPr>
          <w:lang w:val="en-US"/>
        </w:rPr>
        <w:t xml:space="preserve">. However, </w:t>
      </w:r>
      <w:bookmarkStart w:id="12" w:name="bbib107"/>
      <w:bookmarkEnd w:id="12"/>
      <w:r w:rsidR="000D65CF" w:rsidRPr="000D65CF">
        <w:rPr>
          <w:lang w:val="en-US"/>
        </w:rPr>
        <w:t xml:space="preserve">we and others </w:t>
      </w:r>
      <w:r w:rsidR="00880B2F" w:rsidRPr="000D65CF">
        <w:rPr>
          <w:lang w:val="en-US"/>
        </w:rPr>
        <w:fldChar w:fldCharType="begin"/>
      </w:r>
      <w:r w:rsidR="00867C8A">
        <w:rPr>
          <w:lang w:val="en-US"/>
        </w:rPr>
        <w:instrText xml:space="preserve"> ADDIN EN.CITE &lt;EndNote&gt;&lt;Cite&gt;&lt;Author&gt;BenDor&lt;/Author&gt;&lt;Year&gt;2006&lt;/Year&gt;&lt;RecNum&gt;889&lt;/RecNum&gt;&lt;DisplayText&gt;(BenDor and Ford, 2006)&lt;/DisplayText&gt;&lt;record&gt;&lt;rec-number&gt;889&lt;/rec-number&gt;&lt;foreign-keys&gt;&lt;key app="EN" db-id="a0wpest2552swgezzsnxxwsnpp9axwswpaww"&gt;889&lt;/key&gt;&lt;/foreign-keys&gt;&lt;ref-type name="Journal Article"&gt;17&lt;/ref-type&gt;&lt;contributors&gt;&lt;authors&gt;&lt;author&gt;BenDor, Todd&lt;/author&gt;&lt;author&gt;Ford, Andrew&lt;/author&gt;&lt;/authors&gt;&lt;/contributors&gt;&lt;titles&gt;&lt;title&gt;Simulating a combination of feebates and scrappage incentives to reduce automobile emissions&lt;/title&gt;&lt;secondary-title&gt;Energy&lt;/secondary-title&gt;&lt;/titles&gt;&lt;periodical&gt;&lt;full-title&gt;Energy&lt;/full-title&gt;&lt;/periodical&gt;&lt;pages&gt;1197-1214&lt;/pages&gt;&lt;volume&gt;31&lt;/volume&gt;&lt;number&gt;8-9&lt;/number&gt;&lt;dates&gt;&lt;year&gt;2006&lt;/year&gt;&lt;/dates&gt;&lt;isbn&gt;0360-5442&lt;/isbn&gt;&lt;urls&gt;&lt;related-urls&gt;&lt;url&gt;http://www.sciencedirect.com/science/article/pii/S0360544205001404&lt;/url&gt;&lt;/related-urls&gt;&lt;/urls&gt;&lt;electronic-resource-num&gt;10.1016/j.energy.2005.05.024&lt;/electronic-resource-num&gt;&lt;/record&gt;&lt;/Cite&gt;&lt;/EndNote&gt;</w:instrText>
      </w:r>
      <w:r w:rsidR="00880B2F" w:rsidRPr="000D65CF">
        <w:rPr>
          <w:lang w:val="en-US"/>
        </w:rPr>
        <w:fldChar w:fldCharType="separate"/>
      </w:r>
      <w:r w:rsidR="00C2662B">
        <w:rPr>
          <w:noProof/>
          <w:lang w:val="en-US"/>
        </w:rPr>
        <w:t>(</w:t>
      </w:r>
      <w:hyperlink w:anchor="_ENREF_6" w:tooltip="BenDor, 2006 #889" w:history="1">
        <w:r w:rsidR="00D67197">
          <w:rPr>
            <w:noProof/>
            <w:lang w:val="en-US"/>
          </w:rPr>
          <w:t>BenDor and Ford, 2006</w:t>
        </w:r>
      </w:hyperlink>
      <w:r w:rsidR="00C2662B">
        <w:rPr>
          <w:noProof/>
          <w:lang w:val="en-US"/>
        </w:rPr>
        <w:t>)</w:t>
      </w:r>
      <w:r w:rsidR="00880B2F" w:rsidRPr="000D65CF">
        <w:rPr>
          <w:lang w:val="en-US"/>
        </w:rPr>
        <w:fldChar w:fldCharType="end"/>
      </w:r>
      <w:r w:rsidR="000D65CF" w:rsidRPr="000D65CF">
        <w:rPr>
          <w:lang w:val="en-US"/>
        </w:rPr>
        <w:t xml:space="preserve"> believe that despite the uncertainties over market shares, it is possible to maintain a reasonable balance and control </w:t>
      </w:r>
      <w:r w:rsidR="00513A2E">
        <w:rPr>
          <w:lang w:val="en-US"/>
        </w:rPr>
        <w:t xml:space="preserve">of </w:t>
      </w:r>
      <w:r w:rsidR="000D65CF" w:rsidRPr="000D65CF">
        <w:rPr>
          <w:lang w:val="en-US"/>
        </w:rPr>
        <w:t xml:space="preserve">the finances, provided that the </w:t>
      </w:r>
      <w:r w:rsidR="00E95015">
        <w:rPr>
          <w:lang w:val="en-US"/>
        </w:rPr>
        <w:t>incentive</w:t>
      </w:r>
      <w:r w:rsidR="000D65CF" w:rsidRPr="000D65CF">
        <w:rPr>
          <w:lang w:val="en-US"/>
        </w:rPr>
        <w:t xml:space="preserve"> plan is flexible enough.</w:t>
      </w:r>
    </w:p>
    <w:p w14:paraId="7D73F4E0" w14:textId="77777777" w:rsidR="00471C2F" w:rsidRPr="00C64BF5" w:rsidRDefault="00471C2F" w:rsidP="00B17287">
      <w:pPr>
        <w:rPr>
          <w:lang w:val="en-US"/>
        </w:rPr>
      </w:pPr>
    </w:p>
    <w:p w14:paraId="6486361A" w14:textId="0EE44449" w:rsidR="00F57F7A" w:rsidRPr="00C64BF5" w:rsidRDefault="000D65CF" w:rsidP="00A018D1">
      <w:pPr>
        <w:rPr>
          <w:lang w:val="en-US"/>
        </w:rPr>
      </w:pPr>
      <w:r w:rsidRPr="000D65CF">
        <w:rPr>
          <w:lang w:val="en-US"/>
        </w:rPr>
        <w:t>The results for the VED policies again highlight that grading (by fuel type, CO</w:t>
      </w:r>
      <w:r w:rsidRPr="000D65CF">
        <w:rPr>
          <w:vertAlign w:val="subscript"/>
          <w:lang w:val="en-US"/>
        </w:rPr>
        <w:t>2</w:t>
      </w:r>
      <w:r w:rsidRPr="000D65CF">
        <w:rPr>
          <w:lang w:val="en-US"/>
        </w:rPr>
        <w:t xml:space="preserve"> emissions rating, </w:t>
      </w:r>
      <w:proofErr w:type="gramStart"/>
      <w:r w:rsidRPr="000D65CF">
        <w:rPr>
          <w:lang w:val="en-US"/>
        </w:rPr>
        <w:t>first</w:t>
      </w:r>
      <w:proofErr w:type="gramEnd"/>
      <w:r w:rsidRPr="000D65CF">
        <w:rPr>
          <w:lang w:val="en-US"/>
        </w:rPr>
        <w:t xml:space="preserve"> year of registration) and tightening of CO</w:t>
      </w:r>
      <w:r w:rsidRPr="000D65CF">
        <w:rPr>
          <w:vertAlign w:val="subscript"/>
          <w:lang w:val="en-US"/>
        </w:rPr>
        <w:t>2</w:t>
      </w:r>
      <w:r w:rsidRPr="000D65CF">
        <w:rPr>
          <w:lang w:val="en-US"/>
        </w:rPr>
        <w:t xml:space="preserve"> limits over time are crucial in achieving the transition to low carbon mobility. The ‘medium’ and ‘high’ VED policies achieve significantly higher acceleration of low carbon technology, lower car use, lower life cycle GHG emissions and much higher revenues than the current UK VED scheme (VED1), especially in the long run. However, they are not as effective </w:t>
      </w:r>
      <w:r w:rsidR="009D1FA6">
        <w:rPr>
          <w:lang w:val="en-US"/>
        </w:rPr>
        <w:t xml:space="preserve">in this respect </w:t>
      </w:r>
      <w:r w:rsidRPr="000D65CF">
        <w:rPr>
          <w:lang w:val="en-US"/>
        </w:rPr>
        <w:t>as the purchase tax/</w:t>
      </w:r>
      <w:proofErr w:type="spellStart"/>
      <w:r w:rsidRPr="000D65CF">
        <w:rPr>
          <w:lang w:val="en-US"/>
        </w:rPr>
        <w:t>feebate</w:t>
      </w:r>
      <w:proofErr w:type="spellEnd"/>
      <w:r w:rsidRPr="000D65CF">
        <w:rPr>
          <w:lang w:val="en-US"/>
        </w:rPr>
        <w:t xml:space="preserve"> schemes</w:t>
      </w:r>
      <w:r w:rsidR="00E95015">
        <w:rPr>
          <w:lang w:val="en-US"/>
        </w:rPr>
        <w:t xml:space="preserve"> </w:t>
      </w:r>
      <w:r w:rsidR="00E95015" w:rsidRPr="000D65CF">
        <w:rPr>
          <w:lang w:val="en-US"/>
        </w:rPr>
        <w:t>in the short to medium term</w:t>
      </w:r>
      <w:r w:rsidRPr="000D65CF">
        <w:rPr>
          <w:lang w:val="en-US"/>
        </w:rPr>
        <w:t xml:space="preserve">. This could be explained by the growing evidence that consumers respond more effectively to up-front price signals than to future savings or costs. For instance, consumers claim fuel efficiency to be an important vehicle purchasing criteria, yet heavily discount future cost savings through improved fuel economy, while expecting short pay back periods </w:t>
      </w:r>
      <w:r w:rsidR="00880B2F">
        <w:rPr>
          <w:lang w:val="en-US"/>
        </w:rPr>
        <w:fldChar w:fldCharType="begin"/>
      </w:r>
      <w:r w:rsidR="00C2662B">
        <w:rPr>
          <w:lang w:val="en-US"/>
        </w:rPr>
        <w:instrText xml:space="preserve"> ADDIN EN.CITE &lt;EndNote&gt;&lt;Cite&gt;&lt;Author&gt;Gross&lt;/Author&gt;&lt;Year&gt;2009&lt;/Year&gt;&lt;RecNum&gt;728&lt;/RecNum&gt;&lt;Prefix&gt;see &lt;/Prefix&gt;&lt;Suffix&gt; for a review of the extensive literature in this area&lt;/Suffix&gt;&lt;DisplayText&gt;(see Gross et al., 2009 for a review of the extensive literature in this area)&lt;/DisplayText&gt;&lt;record&gt;&lt;rec-number&gt;728&lt;/rec-number&gt;&lt;foreign-keys&gt;&lt;key app="EN" db-id="a0wpest2552swgezzsnxxwsnpp9axwswpaww"&gt;728&lt;/key&gt;&lt;/foreign-keys&gt;&lt;ref-type name="Report"&gt;27&lt;/ref-type&gt;&lt;contributors&gt;&lt;authors&gt;&lt;author&gt;Robert Gross&lt;/author&gt;&lt;author&gt;Phil Heptonstall&lt;/author&gt;&lt;author&gt;Jillian Anable&lt;/author&gt;&lt;author&gt;Philip Greenacre&lt;/author&gt;&lt;author&gt;E4tech&lt;/author&gt;&lt;/authors&gt;&lt;/contributors&gt;&lt;titles&gt;&lt;title&gt;What policies are effective at reducing carbon emissions from surface passenger transport? A review of interventions to encourage behavioural and technological change, ISBN 1 903144 0 7 8&lt;/title&gt;&lt;/titles&gt;&lt;dates&gt;&lt;year&gt;2009&lt;/year&gt;&lt;/dates&gt;&lt;pub-location&gt;London&lt;/pub-location&gt;&lt;publisher&gt;UK Energy Research Centre&lt;/publisher&gt;&lt;urls&gt;&lt;/urls&gt;&lt;/record&gt;&lt;/Cite&gt;&lt;/EndNote&gt;</w:instrText>
      </w:r>
      <w:r w:rsidR="00880B2F">
        <w:rPr>
          <w:lang w:val="en-US"/>
        </w:rPr>
        <w:fldChar w:fldCharType="separate"/>
      </w:r>
      <w:r w:rsidR="00C2662B">
        <w:rPr>
          <w:noProof/>
          <w:lang w:val="en-US"/>
        </w:rPr>
        <w:t>(</w:t>
      </w:r>
      <w:hyperlink w:anchor="_ENREF_38" w:tooltip="Gross, 2009 #728" w:history="1">
        <w:r w:rsidR="00D67197">
          <w:rPr>
            <w:noProof/>
            <w:lang w:val="en-US"/>
          </w:rPr>
          <w:t>see Gross et al., 2009 for a review of the extensive literature in this area</w:t>
        </w:r>
      </w:hyperlink>
      <w:r w:rsidR="00C2662B">
        <w:rPr>
          <w:noProof/>
          <w:lang w:val="en-US"/>
        </w:rPr>
        <w:t>)</w:t>
      </w:r>
      <w:r w:rsidR="00880B2F">
        <w:rPr>
          <w:lang w:val="en-US"/>
        </w:rPr>
        <w:fldChar w:fldCharType="end"/>
      </w:r>
      <w:r w:rsidRPr="000D65CF">
        <w:rPr>
          <w:lang w:val="en-US"/>
        </w:rPr>
        <w:t>.</w:t>
      </w:r>
    </w:p>
    <w:p w14:paraId="0BD65FB0" w14:textId="77777777" w:rsidR="000D72BE" w:rsidRPr="00C64BF5" w:rsidRDefault="000D72BE" w:rsidP="00A018D1">
      <w:pPr>
        <w:rPr>
          <w:lang w:val="en-US"/>
        </w:rPr>
      </w:pPr>
    </w:p>
    <w:p w14:paraId="3A21870E" w14:textId="609EFBA0" w:rsidR="008A36A2" w:rsidRDefault="000D65CF" w:rsidP="00A018D1">
      <w:pPr>
        <w:rPr>
          <w:lang w:val="en-US"/>
        </w:rPr>
      </w:pPr>
      <w:r w:rsidRPr="000D65CF">
        <w:rPr>
          <w:lang w:val="en-US"/>
        </w:rPr>
        <w:lastRenderedPageBreak/>
        <w:t xml:space="preserve">Scrappage incentives are distinct from the above policies as recently designed schemes have regarded any carbon reduction to be a mere additional bonus above and beyond providing </w:t>
      </w:r>
      <w:r w:rsidR="00F4699B">
        <w:rPr>
          <w:lang w:val="en-US"/>
        </w:rPr>
        <w:t>“</w:t>
      </w:r>
      <w:r w:rsidRPr="000D65CF">
        <w:rPr>
          <w:lang w:val="en-US"/>
        </w:rPr>
        <w:t xml:space="preserve">a vital stimulus for the motor industry, boosting the market and protecting jobs throughout the supply chain” </w:t>
      </w:r>
      <w:r w:rsidR="00880B2F" w:rsidRPr="000D65CF">
        <w:rPr>
          <w:lang w:val="en-US"/>
        </w:rPr>
        <w:fldChar w:fldCharType="begin"/>
      </w:r>
      <w:r w:rsidR="00C2662B">
        <w:rPr>
          <w:lang w:val="en-US"/>
        </w:rPr>
        <w:instrText xml:space="preserve"> ADDIN EN.CITE &lt;EndNote&gt;&lt;Cite&gt;&lt;Author&gt;SMMT&lt;/Author&gt;&lt;Year&gt;2010&lt;/Year&gt;&lt;RecNum&gt;833&lt;/RecNum&gt;&lt;DisplayText&gt;(SMMT, 2010)&lt;/DisplayText&gt;&lt;record&gt;&lt;rec-number&gt;833&lt;/rec-number&gt;&lt;foreign-keys&gt;&lt;key app="EN" db-id="a0wpest2552swgezzsnxxwsnpp9axwswpaww"&gt;833&lt;/key&gt;&lt;/foreign-keys&gt;&lt;ref-type name="Web Page"&gt;12&lt;/ref-type&gt;&lt;contributors&gt;&lt;authors&gt;&lt;author&gt;SMMT&lt;/author&gt;&lt;/authors&gt;&lt;/contributors&gt;&lt;titles&gt;&lt;title&gt;Scrappage scheme comes to an end&lt;/title&gt;&lt;/titles&gt;&lt;number&gt;11/02/2011&lt;/number&gt;&lt;dates&gt;&lt;year&gt;2010&lt;/year&gt;&lt;/dates&gt;&lt;pub-location&gt;London&lt;/pub-location&gt;&lt;publisher&gt;Society of Motor Manufacturers and Traders (SMMT)&lt;/publisher&gt;&lt;urls&gt;&lt;related-urls&gt;&lt;url&gt;http://www.smmt.co.uk/2010/03/scrappage-scheme-comes-to-an-end/&lt;/url&gt;&lt;/related-urls&gt;&lt;/urls&gt;&lt;/record&gt;&lt;/Cite&gt;&lt;/EndNote&gt;</w:instrText>
      </w:r>
      <w:r w:rsidR="00880B2F" w:rsidRPr="000D65CF">
        <w:rPr>
          <w:lang w:val="en-US"/>
        </w:rPr>
        <w:fldChar w:fldCharType="separate"/>
      </w:r>
      <w:r w:rsidR="00C2662B">
        <w:rPr>
          <w:noProof/>
          <w:lang w:val="en-US"/>
        </w:rPr>
        <w:t>(</w:t>
      </w:r>
      <w:hyperlink w:anchor="_ENREF_69" w:tooltip="SMMT, 2010 #833" w:history="1">
        <w:r w:rsidR="00D67197">
          <w:rPr>
            <w:noProof/>
            <w:lang w:val="en-US"/>
          </w:rPr>
          <w:t>SMMT, 2010</w:t>
        </w:r>
      </w:hyperlink>
      <w:r w:rsidR="00C2662B">
        <w:rPr>
          <w:noProof/>
          <w:lang w:val="en-US"/>
        </w:rPr>
        <w:t>)</w:t>
      </w:r>
      <w:r w:rsidR="00880B2F" w:rsidRPr="000D65CF">
        <w:rPr>
          <w:lang w:val="en-US"/>
        </w:rPr>
        <w:fldChar w:fldCharType="end"/>
      </w:r>
      <w:r w:rsidRPr="000D65CF">
        <w:rPr>
          <w:lang w:val="en-US"/>
        </w:rPr>
        <w:t>. The analysis of the simple scrappage scheme</w:t>
      </w:r>
      <w:r w:rsidR="00F4699B">
        <w:rPr>
          <w:lang w:val="en-US"/>
        </w:rPr>
        <w:t xml:space="preserve"> implemented in the UK in 2009</w:t>
      </w:r>
      <w:r w:rsidRPr="000D65CF">
        <w:rPr>
          <w:lang w:val="en-US"/>
        </w:rPr>
        <w:t xml:space="preserve">, SCR1, has largely confirmed recent criticisms that a reduction of emissions from newer cars would be offset by the new vehicles being driven more, that there would be significant environmental costs associated with the production of vehicles and that fewer sales will occur after the economy has picked up </w:t>
      </w:r>
      <w:r w:rsidR="00880B2F" w:rsidRPr="000D65CF">
        <w:rPr>
          <w:lang w:val="en-US"/>
        </w:rPr>
        <w:fldChar w:fldCharType="begin"/>
      </w:r>
      <w:r w:rsidR="00C2662B">
        <w:rPr>
          <w:lang w:val="en-US"/>
        </w:rPr>
        <w:instrText xml:space="preserve"> ADDIN EN.CITE &lt;EndNote&gt;&lt;Cite&gt;&lt;Author&gt;IFS&lt;/Author&gt;&lt;Year&gt;2009&lt;/Year&gt;&lt;RecNum&gt;834&lt;/RecNum&gt;&lt;DisplayText&gt;(IFS, 2009)&lt;/DisplayText&gt;&lt;record&gt;&lt;rec-number&gt;834&lt;/rec-number&gt;&lt;foreign-keys&gt;&lt;key app="EN" db-id="a0wpest2552swgezzsnxxwsnpp9axwswpaww"&gt;834&lt;/key&gt;&lt;/foreign-keys&gt;&lt;ref-type name="Report"&gt;27&lt;/ref-type&gt;&lt;contributors&gt;&lt;authors&gt;&lt;author&gt;IFS,&lt;/author&gt;&lt;/authors&gt;&lt;/contributors&gt;&lt;titles&gt;&lt;title&gt;Some initial reactions to Budget 2009. http://www.ifs.org.uk/pr/budget09_initial.pdf. Retrieved 2010-03-10&lt;/title&gt;&lt;/titles&gt;&lt;dates&gt;&lt;year&gt;2009&lt;/year&gt;&lt;/dates&gt;&lt;pub-location&gt;London&lt;/pub-location&gt;&lt;publisher&gt;Institute for Fiscal Studies&lt;/publisher&gt;&lt;urls&gt;&lt;/urls&gt;&lt;/record&gt;&lt;/Cite&gt;&lt;/EndNote&gt;</w:instrText>
      </w:r>
      <w:r w:rsidR="00880B2F" w:rsidRPr="000D65CF">
        <w:rPr>
          <w:lang w:val="en-US"/>
        </w:rPr>
        <w:fldChar w:fldCharType="separate"/>
      </w:r>
      <w:r w:rsidR="00C2662B">
        <w:rPr>
          <w:noProof/>
          <w:lang w:val="en-US"/>
        </w:rPr>
        <w:t>(</w:t>
      </w:r>
      <w:hyperlink w:anchor="_ENREF_46" w:tooltip="IFS, 2009 #834" w:history="1">
        <w:r w:rsidR="00D67197">
          <w:rPr>
            <w:noProof/>
            <w:lang w:val="en-US"/>
          </w:rPr>
          <w:t>IFS, 2009</w:t>
        </w:r>
      </w:hyperlink>
      <w:r w:rsidR="00C2662B">
        <w:rPr>
          <w:noProof/>
          <w:lang w:val="en-US"/>
        </w:rPr>
        <w:t>)</w:t>
      </w:r>
      <w:r w:rsidR="00880B2F" w:rsidRPr="000D65CF">
        <w:rPr>
          <w:lang w:val="en-US"/>
        </w:rPr>
        <w:fldChar w:fldCharType="end"/>
      </w:r>
      <w:r w:rsidRPr="000D65CF">
        <w:rPr>
          <w:lang w:val="en-US"/>
        </w:rPr>
        <w:t xml:space="preserve">. By designing scrappage schemes to be ‘greener’ and longer term, moderate emissions savings can be achieved (SCR2/3); however, this comes with a hefty price tag (of direct subsidies to industry via consumers) so may not be economically feasible for long. </w:t>
      </w:r>
    </w:p>
    <w:p w14:paraId="3346ECB1" w14:textId="77777777" w:rsidR="00E41EE1" w:rsidRPr="00E41EE1" w:rsidRDefault="00E41EE1" w:rsidP="00A018D1"/>
    <w:p w14:paraId="42F31C84" w14:textId="77777777" w:rsidR="004E6864" w:rsidRPr="00C64BF5" w:rsidRDefault="000D65CF" w:rsidP="004E6864">
      <w:pPr>
        <w:pStyle w:val="Heading1"/>
        <w:rPr>
          <w:lang w:val="en-US"/>
        </w:rPr>
      </w:pPr>
      <w:r w:rsidRPr="000D65CF">
        <w:rPr>
          <w:lang w:val="en-US"/>
        </w:rPr>
        <w:t>6 CONCLUSION AND OUTLOOK</w:t>
      </w:r>
    </w:p>
    <w:p w14:paraId="0399C21B" w14:textId="55A132A1" w:rsidR="006C300A" w:rsidRDefault="000D65CF" w:rsidP="004E6864">
      <w:pPr>
        <w:rPr>
          <w:lang w:val="en-US"/>
        </w:rPr>
      </w:pPr>
      <w:r w:rsidRPr="000D65CF">
        <w:rPr>
          <w:lang w:val="en-US"/>
        </w:rPr>
        <w:t>This paper start</w:t>
      </w:r>
      <w:r w:rsidR="006C300A">
        <w:rPr>
          <w:lang w:val="en-US"/>
        </w:rPr>
        <w:t>ed</w:t>
      </w:r>
      <w:r w:rsidRPr="000D65CF">
        <w:rPr>
          <w:lang w:val="en-US"/>
        </w:rPr>
        <w:t xml:space="preserve"> with the premise that there is a gap in understanding how individual fiscal policy instruments aimed at influencing consumer vehicle choice can affect low carbon technology acceleration and associated carbon emissions reductions. </w:t>
      </w:r>
      <w:r w:rsidRPr="006C300A">
        <w:rPr>
          <w:lang w:val="en-US"/>
        </w:rPr>
        <w:t>To fill this gap, it explore</w:t>
      </w:r>
      <w:r w:rsidR="006C300A">
        <w:rPr>
          <w:lang w:val="en-US"/>
        </w:rPr>
        <w:t>d</w:t>
      </w:r>
      <w:r w:rsidRPr="000D65CF">
        <w:rPr>
          <w:highlight w:val="yellow"/>
          <w:lang w:val="en-US"/>
        </w:rPr>
        <w:t xml:space="preserve"> </w:t>
      </w:r>
      <w:r w:rsidR="006C300A" w:rsidRPr="006C300A">
        <w:rPr>
          <w:lang w:val="en-US"/>
        </w:rPr>
        <w:t>which type of taxation on low carbon passenger vehicles accelerates fuel, technology and purchasing behavioral transitions the fastest with (</w:t>
      </w:r>
      <w:proofErr w:type="spellStart"/>
      <w:r w:rsidR="006C300A" w:rsidRPr="006C300A">
        <w:rPr>
          <w:lang w:val="en-US"/>
        </w:rPr>
        <w:t>i</w:t>
      </w:r>
      <w:proofErr w:type="spellEnd"/>
      <w:r w:rsidR="006C300A" w:rsidRPr="006C300A">
        <w:rPr>
          <w:lang w:val="en-US"/>
        </w:rPr>
        <w:t xml:space="preserve">) most life cycle GHG emissions savings, (ii) potential revenue neutrality for the UK Treasury and (iii) </w:t>
      </w:r>
      <w:r w:rsidR="00E95015">
        <w:rPr>
          <w:lang w:val="en-US"/>
        </w:rPr>
        <w:t>no adverse effects on car use</w:t>
      </w:r>
      <w:r w:rsidRPr="000D65CF">
        <w:rPr>
          <w:lang w:val="en-US"/>
        </w:rPr>
        <w:t>.</w:t>
      </w:r>
    </w:p>
    <w:p w14:paraId="3CB84A98" w14:textId="77777777" w:rsidR="006C300A" w:rsidRDefault="006C300A" w:rsidP="004E6864">
      <w:pPr>
        <w:rPr>
          <w:lang w:val="en-US"/>
        </w:rPr>
      </w:pPr>
    </w:p>
    <w:p w14:paraId="05127952" w14:textId="77777777" w:rsidR="004A02A8" w:rsidRPr="00C64BF5" w:rsidRDefault="000D65CF" w:rsidP="004E6864">
      <w:pPr>
        <w:rPr>
          <w:lang w:val="en-US"/>
        </w:rPr>
      </w:pPr>
      <w:r w:rsidRPr="000D65CF">
        <w:rPr>
          <w:lang w:val="en-US"/>
        </w:rPr>
        <w:t>It employ</w:t>
      </w:r>
      <w:r w:rsidR="006C300A">
        <w:rPr>
          <w:lang w:val="en-US"/>
        </w:rPr>
        <w:t>ed</w:t>
      </w:r>
      <w:r w:rsidRPr="000D65CF">
        <w:rPr>
          <w:lang w:val="en-US"/>
        </w:rPr>
        <w:t xml:space="preserve"> </w:t>
      </w:r>
      <w:r w:rsidR="006C300A">
        <w:rPr>
          <w:lang w:val="en-US"/>
        </w:rPr>
        <w:t xml:space="preserve">the UKTCM modeling framework </w:t>
      </w:r>
      <w:r w:rsidRPr="000D65CF">
        <w:rPr>
          <w:lang w:val="en-US"/>
        </w:rPr>
        <w:t xml:space="preserve">to develop nine core scenarios and five scenario variants of fiscal policies primarily affecting car ownership and their effects on low carbon technology uptake, car use, life cycle energy use and carbon emissions. The UKTCM </w:t>
      </w:r>
      <w:r w:rsidR="006C300A">
        <w:rPr>
          <w:lang w:val="en-US"/>
        </w:rPr>
        <w:t>was</w:t>
      </w:r>
      <w:r w:rsidRPr="000D65CF">
        <w:rPr>
          <w:lang w:val="en-US"/>
        </w:rPr>
        <w:t xml:space="preserve"> the tool of choice for this analysis because it integrates a household car ownership model, vehicle consumer choice model, vehicle stock evolution model and vehicle and fuel life cycle emissions model in a single scenario modeling framework.</w:t>
      </w:r>
      <w:r w:rsidR="006C300A">
        <w:rPr>
          <w:lang w:val="en-US"/>
        </w:rPr>
        <w:t xml:space="preserve"> </w:t>
      </w:r>
      <w:r w:rsidRPr="000D65CF">
        <w:rPr>
          <w:lang w:val="en-US"/>
        </w:rPr>
        <w:t>Most importantly, this paper has adopted a consistent modeling framework to compare various instruments on the basis of their whole life cycle emissions, including potential changes in the way in which cars are used, together with the impacts on government tax revenue. Consideration of these wider impacts has important implications for the rate with which cumulative carbon reduction budgets are managed and each instrument’s likely political feasibility. The rate with which CO</w:t>
      </w:r>
      <w:r w:rsidRPr="00491E63">
        <w:rPr>
          <w:vertAlign w:val="subscript"/>
          <w:lang w:val="en-US"/>
        </w:rPr>
        <w:t>2</w:t>
      </w:r>
      <w:r w:rsidRPr="000D65CF">
        <w:rPr>
          <w:lang w:val="en-US"/>
        </w:rPr>
        <w:t xml:space="preserve"> limits need to be tightened in order to keep pace with fuel efficiency improvements, avoid net revenue losses but maintain public acceptability demands consideration of potential future scenarios in this way. In addition, the modeling framework allows some evaluation of potential flanking policies, such as increases in the cost of electricity used in road vehicles. </w:t>
      </w:r>
    </w:p>
    <w:p w14:paraId="30C4F8EF" w14:textId="77777777" w:rsidR="004A02A8" w:rsidRDefault="004A02A8" w:rsidP="004E6864">
      <w:pPr>
        <w:rPr>
          <w:lang w:val="en-US"/>
        </w:rPr>
      </w:pPr>
    </w:p>
    <w:p w14:paraId="0F8EC0DE" w14:textId="4C46C7A6" w:rsidR="000D72BE" w:rsidRPr="00C64BF5" w:rsidRDefault="00026495" w:rsidP="004E6864">
      <w:pPr>
        <w:rPr>
          <w:lang w:val="en-US"/>
        </w:rPr>
      </w:pPr>
      <w:r>
        <w:rPr>
          <w:lang w:val="en-US"/>
        </w:rPr>
        <w:t>Of the policy incentives and ambitions modeled for this paper, t</w:t>
      </w:r>
      <w:r w:rsidR="000D65CF" w:rsidRPr="000D65CF">
        <w:rPr>
          <w:lang w:val="en-US"/>
        </w:rPr>
        <w:t xml:space="preserve">he car purchase </w:t>
      </w:r>
      <w:proofErr w:type="spellStart"/>
      <w:r w:rsidR="000D65CF" w:rsidRPr="000D65CF">
        <w:rPr>
          <w:lang w:val="en-US"/>
        </w:rPr>
        <w:t>feebate</w:t>
      </w:r>
      <w:proofErr w:type="spellEnd"/>
      <w:r w:rsidR="000D65CF" w:rsidRPr="000D65CF">
        <w:rPr>
          <w:lang w:val="en-US"/>
        </w:rPr>
        <w:t xml:space="preserve"> policies are shown to be the most effective in accelerating low carbon technology uptake, reducing life cycle greenhouse gas emissions and, if designed carefully</w:t>
      </w:r>
      <w:r>
        <w:rPr>
          <w:lang w:val="en-US"/>
        </w:rPr>
        <w:t xml:space="preserve"> and adjusted over time</w:t>
      </w:r>
      <w:r w:rsidR="000D65CF" w:rsidRPr="000D65CF">
        <w:rPr>
          <w:lang w:val="en-US"/>
        </w:rPr>
        <w:t xml:space="preserve">, can avoid overburdening consumers with ever more taxation whilst ensuring revenue neutrality. Highly graduated road taxes (or VED) can also be successful in reducing emissions; but while they can provide handy revenue streams to governments that could be recycled into accompanying low carbon measures, they </w:t>
      </w:r>
      <w:r>
        <w:rPr>
          <w:lang w:val="en-US"/>
        </w:rPr>
        <w:t>may</w:t>
      </w:r>
      <w:r w:rsidR="000D65CF" w:rsidRPr="000D65CF">
        <w:rPr>
          <w:lang w:val="en-US"/>
        </w:rPr>
        <w:t xml:space="preserve"> face opposition by the driving population </w:t>
      </w:r>
      <w:r>
        <w:rPr>
          <w:lang w:val="en-US"/>
        </w:rPr>
        <w:t xml:space="preserve">and car </w:t>
      </w:r>
      <w:r w:rsidR="000D65CF" w:rsidRPr="000D65CF">
        <w:rPr>
          <w:lang w:val="en-US"/>
        </w:rPr>
        <w:t>lobby groups</w:t>
      </w:r>
      <w:r>
        <w:rPr>
          <w:lang w:val="en-US"/>
        </w:rPr>
        <w:t xml:space="preserve"> for increasing private motoring taxes once again</w:t>
      </w:r>
      <w:r w:rsidR="000D65CF" w:rsidRPr="000D65CF">
        <w:rPr>
          <w:lang w:val="en-US"/>
        </w:rPr>
        <w:t>. Scrappage schemes are found to save little carbon, particularly when direct and indirect impacts are considered and may even increase emissions on a life cycle basis.</w:t>
      </w:r>
      <w:r w:rsidR="00491E63">
        <w:rPr>
          <w:lang w:val="en-US"/>
        </w:rPr>
        <w:t xml:space="preserve"> Thus</w:t>
      </w:r>
      <w:r w:rsidR="000D65CF" w:rsidRPr="000D65CF">
        <w:rPr>
          <w:lang w:val="en-US"/>
        </w:rPr>
        <w:t xml:space="preserve"> </w:t>
      </w:r>
      <w:r w:rsidR="00491E63">
        <w:rPr>
          <w:lang w:val="en-US"/>
        </w:rPr>
        <w:t>i</w:t>
      </w:r>
      <w:r w:rsidR="000D65CF" w:rsidRPr="000D65CF">
        <w:rPr>
          <w:lang w:val="en-US"/>
        </w:rPr>
        <w:t xml:space="preserve">n order to achieve the transition to a low carbon transport system governments should focus on designing incentive schemes with strong up-front price signals that </w:t>
      </w:r>
      <w:r w:rsidR="000D65CF" w:rsidRPr="000D65CF">
        <w:rPr>
          <w:lang w:val="en-US"/>
        </w:rPr>
        <w:lastRenderedPageBreak/>
        <w:t>reward ‘low carb</w:t>
      </w:r>
      <w:r>
        <w:rPr>
          <w:lang w:val="en-US"/>
        </w:rPr>
        <w:t xml:space="preserve">on’ and </w:t>
      </w:r>
      <w:proofErr w:type="spellStart"/>
      <w:r>
        <w:rPr>
          <w:lang w:val="en-US"/>
        </w:rPr>
        <w:t>penalise</w:t>
      </w:r>
      <w:proofErr w:type="spellEnd"/>
      <w:r>
        <w:rPr>
          <w:lang w:val="en-US"/>
        </w:rPr>
        <w:t xml:space="preserve"> ‘high carbon’. </w:t>
      </w:r>
      <w:r w:rsidR="000D65CF" w:rsidRPr="000D65CF">
        <w:rPr>
          <w:lang w:val="en-US"/>
        </w:rPr>
        <w:t xml:space="preserve">However, there is more work to be done to assess the effects of a </w:t>
      </w:r>
      <w:r w:rsidR="000D65CF" w:rsidRPr="00491E63">
        <w:rPr>
          <w:i/>
          <w:lang w:val="en-US"/>
        </w:rPr>
        <w:t>combination</w:t>
      </w:r>
      <w:r w:rsidR="000D65CF" w:rsidRPr="000D65CF">
        <w:rPr>
          <w:lang w:val="en-US"/>
        </w:rPr>
        <w:t xml:space="preserve"> of policies</w:t>
      </w:r>
      <w:r w:rsidR="00491E63">
        <w:rPr>
          <w:lang w:val="en-US"/>
        </w:rPr>
        <w:t xml:space="preserve">. </w:t>
      </w:r>
      <w:r w:rsidR="000D65CF" w:rsidRPr="000D65CF">
        <w:rPr>
          <w:lang w:val="en-US"/>
        </w:rPr>
        <w:t xml:space="preserve">For instance, a VED policy such as VED3 might complement a purchase </w:t>
      </w:r>
      <w:proofErr w:type="spellStart"/>
      <w:r w:rsidR="000D65CF" w:rsidRPr="000D65CF">
        <w:rPr>
          <w:lang w:val="en-US"/>
        </w:rPr>
        <w:t>feebate</w:t>
      </w:r>
      <w:proofErr w:type="spellEnd"/>
      <w:r w:rsidR="000D65CF" w:rsidRPr="000D65CF">
        <w:rPr>
          <w:lang w:val="en-US"/>
        </w:rPr>
        <w:t xml:space="preserve"> policy (e.g. CPT3) and help fill the revenue hole. The UKTCM could easily be used for such an analysis; hence we consider this as a first step for future work.</w:t>
      </w:r>
    </w:p>
    <w:p w14:paraId="7289C888" w14:textId="77777777" w:rsidR="00CC718B" w:rsidRPr="00C64BF5" w:rsidRDefault="00CC718B" w:rsidP="004E6864">
      <w:pPr>
        <w:rPr>
          <w:lang w:val="en-US"/>
        </w:rPr>
      </w:pPr>
    </w:p>
    <w:p w14:paraId="2ADEF8FA" w14:textId="387BE3F7" w:rsidR="00E20BD7" w:rsidRPr="00C64BF5" w:rsidRDefault="000D65CF" w:rsidP="00A018D1">
      <w:pPr>
        <w:rPr>
          <w:bCs/>
          <w:lang w:val="en-US"/>
        </w:rPr>
      </w:pPr>
      <w:r w:rsidRPr="000D65CF">
        <w:rPr>
          <w:lang w:val="en-US"/>
        </w:rPr>
        <w:t xml:space="preserve">In this analysis, the impact of rebound as a result of changes to marginal driving costs together with the attempts to lock in these savings by increasing electricity tariffs made small but important differences to the carbon and revenue calculations. In reality, the strength of the </w:t>
      </w:r>
      <w:r w:rsidR="00491E63" w:rsidRPr="000D65CF">
        <w:rPr>
          <w:lang w:val="en-US"/>
        </w:rPr>
        <w:t>behavioral</w:t>
      </w:r>
      <w:r w:rsidRPr="000D65CF">
        <w:rPr>
          <w:lang w:val="en-US"/>
        </w:rPr>
        <w:t xml:space="preserve"> response to changes in marginal driving costs is dependent on price differentials across different fuels and any parallel changes in incomes, both of which were not altered in the scenarios adopted here</w:t>
      </w:r>
      <w:r w:rsidR="00491E63">
        <w:rPr>
          <w:lang w:val="en-US"/>
        </w:rPr>
        <w:t xml:space="preserve"> over and above changes in the Reference case</w:t>
      </w:r>
      <w:r w:rsidRPr="000D65CF">
        <w:rPr>
          <w:lang w:val="en-US"/>
        </w:rPr>
        <w:t xml:space="preserve">. In addition, </w:t>
      </w:r>
      <w:r w:rsidR="00491E63">
        <w:rPr>
          <w:lang w:val="en-US"/>
        </w:rPr>
        <w:t>GHG</w:t>
      </w:r>
      <w:r w:rsidRPr="000D65CF">
        <w:rPr>
          <w:lang w:val="en-US"/>
        </w:rPr>
        <w:t xml:space="preserve"> emissions will be dependent on the carbon intensity of the grid which</w:t>
      </w:r>
      <w:r w:rsidR="00491E63">
        <w:rPr>
          <w:lang w:val="en-US"/>
        </w:rPr>
        <w:t xml:space="preserve"> never went below 400gCO</w:t>
      </w:r>
      <w:r w:rsidR="00491E63" w:rsidRPr="00491E63">
        <w:rPr>
          <w:vertAlign w:val="subscript"/>
          <w:lang w:val="en-US"/>
        </w:rPr>
        <w:t>2</w:t>
      </w:r>
      <w:r w:rsidR="00491E63">
        <w:rPr>
          <w:lang w:val="en-US"/>
        </w:rPr>
        <w:t>/kWh and was not altered between scenarios</w:t>
      </w:r>
      <w:r w:rsidRPr="000D65CF">
        <w:rPr>
          <w:lang w:val="en-US"/>
        </w:rPr>
        <w:t xml:space="preserve">. The underlying assumption of the scenarios modeled here is that apart from vehicle taxation levels no other factors are changed relative to baseline (REF). There is more to be done to understand the links with other fiscal policies, notably fuel duty on future transport fuels such as electricity and hydrogen (both assumed to attract zero duty) and VAT on cars. These parameters are able to be tested in further modeling runs. More challenging, however, is the ability to reflect non-price determinants of consumer behavior in the modeling framework such as the potential for different emotional responses depending on the form, timing, payment method, magnitude and familiarity of the fiscal instruments and thresholds or tipping points which lead to disproportionate reactions. In addition, spatially disaggregated analysis within a life cycle assessment framework would reveal important distributional impacts with respect to congestion and air pollution impacts. Further work could also look into the recycling of any large amounts of tax revenues to other low carbon policies such as those aimed at reducing the need to travel, or travel by more sustainable modes </w:t>
      </w:r>
      <w:r w:rsidR="00880B2F" w:rsidRPr="000D65CF">
        <w:rPr>
          <w:lang w:val="en-US"/>
        </w:rPr>
        <w:fldChar w:fldCharType="begin"/>
      </w:r>
      <w:r w:rsidR="00546ABC">
        <w:rPr>
          <w:lang w:val="en-US"/>
        </w:rPr>
        <w:instrText xml:space="preserve"> ADDIN EN.CITE &lt;EndNote&gt;&lt;Cite&gt;&lt;Author&gt;Cairns&lt;/Author&gt;&lt;Year&gt;2008&lt;/Year&gt;&lt;RecNum&gt;860&lt;/RecNum&gt;&lt;DisplayText&gt;(Cairns et al., 2008)&lt;/DisplayText&gt;&lt;record&gt;&lt;rec-number&gt;860&lt;/rec-number&gt;&lt;foreign-keys&gt;&lt;key app="EN" db-id="a0wpest2552swgezzsnxxwsnpp9axwswpaww"&gt;860&lt;/key&gt;&lt;/foreign-keys&gt;&lt;ref-type name="Journal Article"&gt;17&lt;/ref-type&gt;&lt;contributors&gt;&lt;authors&gt;&lt;author&gt;Cairns, S.&lt;/author&gt;&lt;author&gt;Sloman, L.&lt;/author&gt;&lt;author&gt;Newson, C.&lt;/author&gt;&lt;author&gt;Anable, J.&lt;/author&gt;&lt;author&gt;Kirkbride, A.&lt;/author&gt;&lt;author&gt;Goodwin, P.&lt;/author&gt;&lt;/authors&gt;&lt;/contributors&gt;&lt;titles&gt;&lt;title&gt;Smarter Choices: Assessing the potential to achieve traffic reduction using ‘soft measures’&lt;/title&gt;&lt;secondary-title&gt;Transport Reviews&lt;/secondary-title&gt;&lt;/titles&gt;&lt;pages&gt;593-618&lt;/pages&gt;&lt;volume&gt;28&lt;/volume&gt;&lt;number&gt; &lt;/number&gt;&lt;dates&gt;&lt;year&gt;2008&lt;/year&gt;&lt;/dates&gt;&lt;urls&gt;&lt;/urls&gt;&lt;/record&gt;&lt;/Cite&gt;&lt;/EndNote&gt;</w:instrText>
      </w:r>
      <w:r w:rsidR="00880B2F" w:rsidRPr="000D65CF">
        <w:rPr>
          <w:lang w:val="en-US"/>
        </w:rPr>
        <w:fldChar w:fldCharType="separate"/>
      </w:r>
      <w:r w:rsidR="00C2662B">
        <w:rPr>
          <w:noProof/>
          <w:lang w:val="en-US"/>
        </w:rPr>
        <w:t>(</w:t>
      </w:r>
      <w:hyperlink w:anchor="_ENREF_14" w:tooltip="Cairns, 2008 #860" w:history="1">
        <w:r w:rsidR="00D67197">
          <w:rPr>
            <w:noProof/>
            <w:lang w:val="en-US"/>
          </w:rPr>
          <w:t>Cairns et al., 2008</w:t>
        </w:r>
      </w:hyperlink>
      <w:r w:rsidR="00C2662B">
        <w:rPr>
          <w:noProof/>
          <w:lang w:val="en-US"/>
        </w:rPr>
        <w:t>)</w:t>
      </w:r>
      <w:r w:rsidR="00880B2F" w:rsidRPr="000D65CF">
        <w:rPr>
          <w:lang w:val="en-US"/>
        </w:rPr>
        <w:fldChar w:fldCharType="end"/>
      </w:r>
      <w:r w:rsidRPr="000D65CF">
        <w:rPr>
          <w:lang w:val="en-US"/>
        </w:rPr>
        <w:t xml:space="preserve">. The focus of this work </w:t>
      </w:r>
      <w:r w:rsidR="00491E63">
        <w:rPr>
          <w:lang w:val="en-US"/>
        </w:rPr>
        <w:t>was</w:t>
      </w:r>
      <w:r w:rsidRPr="000D65CF">
        <w:rPr>
          <w:lang w:val="en-US"/>
        </w:rPr>
        <w:t xml:space="preserve"> on cars; yet the analysis could easily be applied to vans, trucks and buses where pricing plays perhaps an even larger role. </w:t>
      </w:r>
      <w:r w:rsidR="00491E63">
        <w:rPr>
          <w:lang w:val="en-US"/>
        </w:rPr>
        <w:t xml:space="preserve">Finally, </w:t>
      </w:r>
      <w:r w:rsidRPr="000D65CF">
        <w:rPr>
          <w:lang w:val="en-US"/>
        </w:rPr>
        <w:t xml:space="preserve">more work needs to be done to understand </w:t>
      </w:r>
      <w:r w:rsidRPr="000D65CF">
        <w:rPr>
          <w:bCs/>
          <w:lang w:val="en-US"/>
        </w:rPr>
        <w:t xml:space="preserve">system-wide energy implications of low carbon transitions in transport as well as other sectors, in particular when looking at the likely electrification of road and rail transport </w:t>
      </w:r>
      <w:r w:rsidR="00880B2F" w:rsidRPr="000D65CF">
        <w:rPr>
          <w:bCs/>
          <w:lang w:val="en-US"/>
        </w:rPr>
        <w:fldChar w:fldCharType="begin"/>
      </w:r>
      <w:r w:rsidR="00653C01">
        <w:rPr>
          <w:bCs/>
          <w:lang w:val="en-US"/>
        </w:rPr>
        <w:instrText xml:space="preserve"> ADDIN EN.CITE &lt;EndNote&gt;&lt;Cite&gt;&lt;Author&gt;Anable&lt;/Author&gt;&lt;Year&gt;2012&lt;/Year&gt;&lt;RecNum&gt;818&lt;/RecNum&gt;&lt;DisplayText&gt;(Anable et al., 2012)&lt;/DisplayText&gt;&lt;record&gt;&lt;rec-number&gt;818&lt;/rec-number&gt;&lt;foreign-keys&gt;&lt;key app="EN" db-id="a0wpest2552swgezzsnxxwsnpp9axwswpaww"&gt;818&lt;/key&gt;&lt;/foreign-keys&gt;&lt;ref-type name="Journal Article"&gt;17&lt;/ref-type&gt;&lt;contributors&gt;&lt;authors&gt;&lt;author&gt;Anable, Jillian&lt;/author&gt;&lt;author&gt;Brand, Christian&lt;/author&gt;&lt;author&gt;Tran, Martino&lt;/author&gt;&lt;author&gt;Eyre, Nick&lt;/author&gt;&lt;/authors&gt;&lt;/contributors&gt;&lt;titles&gt;&lt;title&gt;Modelling transport energy demand: A socio-technical approach&lt;/title&gt;&lt;secondary-title&gt;Energy Policy&lt;/secondary-title&gt;&lt;/titles&gt;&lt;periodical&gt;&lt;full-title&gt;Energy Policy&lt;/full-title&gt;&lt;/periodical&gt;&lt;pages&gt;125-138&lt;/pages&gt;&lt;volume&gt;41&lt;/volume&gt;&lt;keywords&gt;&lt;keyword&gt;Transport energy modelling&lt;/keyword&gt;&lt;keyword&gt;Lifestyles&lt;/keyword&gt;&lt;keyword&gt;Socio-technical scenarios&lt;/keyword&gt;&lt;/keywords&gt;&lt;dates&gt;&lt;year&gt;2012&lt;/year&gt;&lt;/dates&gt;&lt;isbn&gt;0301-4215&lt;/isbn&gt;&lt;urls&gt;&lt;related-urls&gt;&lt;url&gt;http://www.sciencedirect.com/science/article/B6V2W-50XTT7B-2/2/cd7e2c97fc5eeafd6dd12903f3c50159&lt;/url&gt;&lt;/related-urls&gt;&lt;/urls&gt;&lt;/record&gt;&lt;/Cite&gt;&lt;/EndNote&gt;</w:instrText>
      </w:r>
      <w:r w:rsidR="00880B2F" w:rsidRPr="000D65CF">
        <w:rPr>
          <w:bCs/>
          <w:lang w:val="en-US"/>
        </w:rPr>
        <w:fldChar w:fldCharType="separate"/>
      </w:r>
      <w:r w:rsidR="00546ABC">
        <w:rPr>
          <w:bCs/>
          <w:noProof/>
          <w:lang w:val="en-US"/>
        </w:rPr>
        <w:t>(</w:t>
      </w:r>
      <w:hyperlink w:anchor="_ENREF_3" w:tooltip="Anable, 2012 #818" w:history="1">
        <w:r w:rsidR="00D67197">
          <w:rPr>
            <w:bCs/>
            <w:noProof/>
            <w:lang w:val="en-US"/>
          </w:rPr>
          <w:t>Anable et al., 2012</w:t>
        </w:r>
      </w:hyperlink>
      <w:r w:rsidR="00546ABC">
        <w:rPr>
          <w:bCs/>
          <w:noProof/>
          <w:lang w:val="en-US"/>
        </w:rPr>
        <w:t>)</w:t>
      </w:r>
      <w:r w:rsidR="00880B2F" w:rsidRPr="000D65CF">
        <w:rPr>
          <w:bCs/>
          <w:lang w:val="en-US"/>
        </w:rPr>
        <w:fldChar w:fldCharType="end"/>
      </w:r>
      <w:r w:rsidRPr="000D65CF">
        <w:rPr>
          <w:bCs/>
          <w:lang w:val="en-US"/>
        </w:rPr>
        <w:t>.</w:t>
      </w:r>
    </w:p>
    <w:p w14:paraId="47025421" w14:textId="77777777" w:rsidR="0098753B" w:rsidRPr="00C64BF5" w:rsidRDefault="0098753B" w:rsidP="00A018D1">
      <w:pPr>
        <w:rPr>
          <w:lang w:val="en-US"/>
        </w:rPr>
      </w:pPr>
    </w:p>
    <w:p w14:paraId="3F625081" w14:textId="77777777" w:rsidR="0098753B" w:rsidRPr="00C64BF5" w:rsidRDefault="000D65CF" w:rsidP="000D72BE">
      <w:pPr>
        <w:pStyle w:val="Heading1"/>
        <w:rPr>
          <w:caps/>
          <w:lang w:val="en-US"/>
        </w:rPr>
      </w:pPr>
      <w:r w:rsidRPr="000D65CF">
        <w:rPr>
          <w:caps/>
          <w:lang w:val="en-US"/>
        </w:rPr>
        <w:t>Acknowledgement</w:t>
      </w:r>
      <w:r w:rsidR="00703D04">
        <w:rPr>
          <w:caps/>
          <w:lang w:val="en-US"/>
        </w:rPr>
        <w:t>S</w:t>
      </w:r>
    </w:p>
    <w:p w14:paraId="39B72886" w14:textId="0ED17500" w:rsidR="0098753B" w:rsidRPr="00C64BF5" w:rsidRDefault="000D65CF" w:rsidP="00A018D1">
      <w:pPr>
        <w:rPr>
          <w:lang w:val="en-US"/>
        </w:rPr>
      </w:pPr>
      <w:r w:rsidRPr="000D65CF">
        <w:rPr>
          <w:lang w:val="en-US"/>
        </w:rPr>
        <w:t>This research was funded by the UK Research Councils (Grant No: NERC NE/G007748/1) as part of the Energy Demand Theme of the UK Energy Research Centre (UKERC).</w:t>
      </w:r>
      <w:r w:rsidR="00654C22">
        <w:rPr>
          <w:lang w:val="en-US"/>
        </w:rPr>
        <w:t xml:space="preserve"> </w:t>
      </w:r>
      <w:r w:rsidR="00654C22" w:rsidRPr="00654C22">
        <w:rPr>
          <w:lang w:val="en-US"/>
        </w:rPr>
        <w:t xml:space="preserve">We want to thank the </w:t>
      </w:r>
      <w:r w:rsidR="00654C22">
        <w:rPr>
          <w:lang w:val="en-US"/>
        </w:rPr>
        <w:t xml:space="preserve">two </w:t>
      </w:r>
      <w:r w:rsidR="00654C22" w:rsidRPr="00654C22">
        <w:rPr>
          <w:lang w:val="en-US"/>
        </w:rPr>
        <w:t>anonymous reviewer</w:t>
      </w:r>
      <w:r w:rsidR="00654C22">
        <w:rPr>
          <w:lang w:val="en-US"/>
        </w:rPr>
        <w:t>s</w:t>
      </w:r>
      <w:r w:rsidR="00654C22" w:rsidRPr="00654C22">
        <w:rPr>
          <w:lang w:val="en-US"/>
        </w:rPr>
        <w:t xml:space="preserve"> for the constructive </w:t>
      </w:r>
      <w:r w:rsidR="00654C22">
        <w:rPr>
          <w:lang w:val="en-US"/>
        </w:rPr>
        <w:t xml:space="preserve">comments and suggestions which </w:t>
      </w:r>
      <w:r w:rsidR="00654C22" w:rsidRPr="00654C22">
        <w:rPr>
          <w:lang w:val="en-US"/>
        </w:rPr>
        <w:t>were a great help to improve the manuscript.</w:t>
      </w:r>
    </w:p>
    <w:p w14:paraId="429A7758" w14:textId="77777777" w:rsidR="003C5A1A" w:rsidRPr="00C64BF5" w:rsidRDefault="003C5A1A" w:rsidP="00A018D1">
      <w:pPr>
        <w:rPr>
          <w:lang w:val="en-US"/>
        </w:rPr>
      </w:pPr>
    </w:p>
    <w:p w14:paraId="3AE13C91" w14:textId="77777777" w:rsidR="008A36A2" w:rsidRPr="00C64BF5" w:rsidRDefault="000D65CF" w:rsidP="000D72BE">
      <w:pPr>
        <w:pStyle w:val="Heading1"/>
        <w:rPr>
          <w:caps/>
          <w:lang w:val="en-US"/>
        </w:rPr>
      </w:pPr>
      <w:r w:rsidRPr="000D65CF">
        <w:rPr>
          <w:caps/>
          <w:lang w:val="en-US"/>
        </w:rPr>
        <w:t>REFERENCES</w:t>
      </w:r>
    </w:p>
    <w:p w14:paraId="73992022" w14:textId="77777777" w:rsidR="00D67197" w:rsidRDefault="00880B2F" w:rsidP="00D67197">
      <w:pPr>
        <w:spacing w:after="240" w:line="240" w:lineRule="atLeast"/>
        <w:rPr>
          <w:noProof/>
          <w:lang w:val="en-US"/>
        </w:rPr>
      </w:pPr>
      <w:r w:rsidRPr="000D65CF">
        <w:rPr>
          <w:lang w:val="en-US"/>
        </w:rPr>
        <w:fldChar w:fldCharType="begin"/>
      </w:r>
      <w:r w:rsidR="000D65CF" w:rsidRPr="000D65CF">
        <w:rPr>
          <w:lang w:val="en-US"/>
        </w:rPr>
        <w:instrText xml:space="preserve"> ADDIN EN.REFLIST </w:instrText>
      </w:r>
      <w:r w:rsidRPr="000D65CF">
        <w:rPr>
          <w:lang w:val="en-US"/>
        </w:rPr>
        <w:fldChar w:fldCharType="separate"/>
      </w:r>
      <w:bookmarkStart w:id="13" w:name="_ENREF_1"/>
      <w:r w:rsidR="00D67197">
        <w:rPr>
          <w:noProof/>
          <w:lang w:val="en-US"/>
        </w:rPr>
        <w:t xml:space="preserve">AEA Technology Environment (2007) </w:t>
      </w:r>
      <w:r w:rsidR="00D67197" w:rsidRPr="00D67197">
        <w:rPr>
          <w:i/>
          <w:noProof/>
          <w:lang w:val="en-US"/>
        </w:rPr>
        <w:t>Combined Impact Assessment of Proposed Emissions Related Congestion Charging; Report to Transport for London, ED 05584, Issue 1</w:t>
      </w:r>
      <w:r w:rsidR="00D67197">
        <w:rPr>
          <w:noProof/>
          <w:lang w:val="en-US"/>
        </w:rPr>
        <w:t>. AEA Technology Environment, Harwell.</w:t>
      </w:r>
      <w:bookmarkEnd w:id="13"/>
    </w:p>
    <w:p w14:paraId="05CC622B" w14:textId="77777777" w:rsidR="00D67197" w:rsidRDefault="00D67197" w:rsidP="00D67197">
      <w:pPr>
        <w:spacing w:after="240" w:line="240" w:lineRule="atLeast"/>
        <w:rPr>
          <w:noProof/>
          <w:lang w:val="en-US"/>
        </w:rPr>
      </w:pPr>
      <w:bookmarkStart w:id="14" w:name="_ENREF_2"/>
      <w:r>
        <w:rPr>
          <w:noProof/>
          <w:lang w:val="en-US"/>
        </w:rPr>
        <w:t xml:space="preserve">Anable, J., Brand, C., Eyre, N., Layberry, R., Bergman, N., Strachan, N., Fawcett, T., Tran, M. (2011) </w:t>
      </w:r>
      <w:r w:rsidRPr="00D67197">
        <w:rPr>
          <w:i/>
          <w:noProof/>
          <w:lang w:val="en-US"/>
        </w:rPr>
        <w:t>Energy 2050 - WG1 Energy Demand: Lifestyle and Energy Consumption, UKERC Working Paper</w:t>
      </w:r>
      <w:r>
        <w:rPr>
          <w:noProof/>
          <w:lang w:val="en-US"/>
        </w:rPr>
        <w:t>. UK Energy Research Centre (UKERC), Energy Demand Theme, Oxford.</w:t>
      </w:r>
      <w:bookmarkEnd w:id="14"/>
    </w:p>
    <w:p w14:paraId="3B999F28" w14:textId="77777777" w:rsidR="00D67197" w:rsidRDefault="00D67197" w:rsidP="00D67197">
      <w:pPr>
        <w:spacing w:after="240" w:line="240" w:lineRule="atLeast"/>
        <w:rPr>
          <w:noProof/>
          <w:lang w:val="en-US"/>
        </w:rPr>
      </w:pPr>
      <w:bookmarkStart w:id="15" w:name="_ENREF_3"/>
      <w:r>
        <w:rPr>
          <w:noProof/>
          <w:lang w:val="en-US"/>
        </w:rPr>
        <w:lastRenderedPageBreak/>
        <w:t xml:space="preserve">Anable, J., Brand, C., Tran, M., Eyre, N. (2012) Modelling transport energy demand: A socio-technical approach. </w:t>
      </w:r>
      <w:r w:rsidRPr="00D67197">
        <w:rPr>
          <w:i/>
          <w:noProof/>
          <w:lang w:val="en-US"/>
        </w:rPr>
        <w:t>Energy Policy</w:t>
      </w:r>
      <w:r>
        <w:rPr>
          <w:noProof/>
          <w:lang w:val="en-US"/>
        </w:rPr>
        <w:t xml:space="preserve"> 41, 125-138.</w:t>
      </w:r>
      <w:bookmarkEnd w:id="15"/>
    </w:p>
    <w:p w14:paraId="326035B0" w14:textId="77777777" w:rsidR="00D67197" w:rsidRDefault="00D67197" w:rsidP="00D67197">
      <w:pPr>
        <w:spacing w:after="240" w:line="240" w:lineRule="atLeast"/>
        <w:rPr>
          <w:noProof/>
          <w:lang w:val="en-US"/>
        </w:rPr>
      </w:pPr>
      <w:bookmarkStart w:id="16" w:name="_ENREF_4"/>
      <w:r>
        <w:rPr>
          <w:noProof/>
          <w:lang w:val="en-US"/>
        </w:rPr>
        <w:t xml:space="preserve">Anable, J., Bristow, A. (2007) </w:t>
      </w:r>
      <w:r w:rsidRPr="00D67197">
        <w:rPr>
          <w:i/>
          <w:noProof/>
          <w:lang w:val="en-US"/>
        </w:rPr>
        <w:t>Transport and Climate Change: Supporting document to the CfIT report, Report prepared for the Climate Change Working Group of the Commission for Integrated Transport (CfIT)</w:t>
      </w:r>
      <w:r>
        <w:rPr>
          <w:noProof/>
          <w:lang w:val="en-US"/>
        </w:rPr>
        <w:t>. CfIT, London.</w:t>
      </w:r>
      <w:bookmarkEnd w:id="16"/>
    </w:p>
    <w:p w14:paraId="687A0DC2" w14:textId="77777777" w:rsidR="00D67197" w:rsidRDefault="00D67197" w:rsidP="00D67197">
      <w:pPr>
        <w:spacing w:after="240" w:line="240" w:lineRule="atLeast"/>
        <w:rPr>
          <w:noProof/>
          <w:lang w:val="en-US"/>
        </w:rPr>
      </w:pPr>
      <w:bookmarkStart w:id="17" w:name="_ENREF_5"/>
      <w:r>
        <w:rPr>
          <w:noProof/>
          <w:lang w:val="en-US"/>
        </w:rPr>
        <w:t xml:space="preserve">Bastani, P., Heywood, J.B., Hope, C. (2012) The effect of uncertainty on US transport-related GHG emissions and fuel consumption out to 2050. </w:t>
      </w:r>
      <w:r w:rsidRPr="00D67197">
        <w:rPr>
          <w:i/>
          <w:noProof/>
          <w:lang w:val="en-US"/>
        </w:rPr>
        <w:t>Transp. Res.: Part A: Pol. Practice</w:t>
      </w:r>
      <w:r>
        <w:rPr>
          <w:noProof/>
          <w:lang w:val="en-US"/>
        </w:rPr>
        <w:t xml:space="preserve"> 46, 517-548.</w:t>
      </w:r>
      <w:bookmarkEnd w:id="17"/>
    </w:p>
    <w:p w14:paraId="645BD044" w14:textId="77777777" w:rsidR="00D67197" w:rsidRDefault="00D67197" w:rsidP="00D67197">
      <w:pPr>
        <w:spacing w:after="240" w:line="240" w:lineRule="atLeast"/>
        <w:rPr>
          <w:noProof/>
          <w:lang w:val="en-US"/>
        </w:rPr>
      </w:pPr>
      <w:bookmarkStart w:id="18" w:name="_ENREF_6"/>
      <w:r>
        <w:rPr>
          <w:noProof/>
          <w:lang w:val="en-US"/>
        </w:rPr>
        <w:t xml:space="preserve">BenDor, T., Ford, A. (2006) Simulating a combination of feebates and scrappage incentives to reduce automobile emissions. </w:t>
      </w:r>
      <w:r w:rsidRPr="00D67197">
        <w:rPr>
          <w:i/>
          <w:noProof/>
          <w:lang w:val="en-US"/>
        </w:rPr>
        <w:t>Energy</w:t>
      </w:r>
      <w:r>
        <w:rPr>
          <w:noProof/>
          <w:lang w:val="en-US"/>
        </w:rPr>
        <w:t xml:space="preserve"> 31, 1197-1214.</w:t>
      </w:r>
      <w:bookmarkEnd w:id="18"/>
    </w:p>
    <w:p w14:paraId="46715EE1" w14:textId="0D8CA7EE" w:rsidR="00D67197" w:rsidRDefault="00D67197" w:rsidP="00D67197">
      <w:pPr>
        <w:spacing w:after="240" w:line="240" w:lineRule="atLeast"/>
        <w:rPr>
          <w:noProof/>
          <w:lang w:val="en-US"/>
        </w:rPr>
      </w:pPr>
      <w:bookmarkStart w:id="19" w:name="_ENREF_7"/>
      <w:r>
        <w:rPr>
          <w:noProof/>
          <w:lang w:val="en-US"/>
        </w:rPr>
        <w:t xml:space="preserve">Borup, M. (2007) Environmental vehicle excise duty in Sweden, Retrieved from </w:t>
      </w:r>
      <w:hyperlink r:id="rId22" w:history="1">
        <w:r w:rsidRPr="00D67197">
          <w:rPr>
            <w:rStyle w:val="Hyperlink"/>
            <w:noProof/>
            <w:lang w:val="en-US"/>
          </w:rPr>
          <w:t>http://www.risoe.dk/rispubl/art/2007_161_paper.pdf</w:t>
        </w:r>
      </w:hyperlink>
      <w:r>
        <w:rPr>
          <w:noProof/>
          <w:lang w:val="en-US"/>
        </w:rPr>
        <w:t xml:space="preserve">. </w:t>
      </w:r>
      <w:r w:rsidRPr="00D67197">
        <w:rPr>
          <w:i/>
          <w:noProof/>
          <w:lang w:val="en-US"/>
        </w:rPr>
        <w:t>Proceedings: Cases in Sustainable Consumption and Production: Workshop of the Sustainable Consumption Research Exchange (SCORE!) Network</w:t>
      </w:r>
      <w:r>
        <w:rPr>
          <w:noProof/>
          <w:lang w:val="en-US"/>
        </w:rPr>
        <w:t>, Paris, 4-5 June 2007.</w:t>
      </w:r>
      <w:bookmarkEnd w:id="19"/>
    </w:p>
    <w:p w14:paraId="60589253" w14:textId="77777777" w:rsidR="00D67197" w:rsidRDefault="00D67197" w:rsidP="00D67197">
      <w:pPr>
        <w:spacing w:after="240" w:line="240" w:lineRule="atLeast"/>
        <w:rPr>
          <w:noProof/>
          <w:lang w:val="en-US"/>
        </w:rPr>
      </w:pPr>
      <w:bookmarkStart w:id="20" w:name="_ENREF_8"/>
      <w:r>
        <w:rPr>
          <w:noProof/>
          <w:lang w:val="en-US"/>
        </w:rPr>
        <w:t xml:space="preserve">Boutin, X., Haultfoeuille, X., Givord, P. (2010) The Environmental Effect of Green Taxation: The Case of the French Bonus-Malus. </w:t>
      </w:r>
      <w:r w:rsidRPr="00D67197">
        <w:rPr>
          <w:i/>
          <w:noProof/>
          <w:lang w:val="en-US"/>
        </w:rPr>
        <w:t>Proceedings of</w:t>
      </w:r>
      <w:r>
        <w:rPr>
          <w:noProof/>
          <w:lang w:val="en-US"/>
        </w:rPr>
        <w:t xml:space="preserve"> </w:t>
      </w:r>
      <w:r w:rsidRPr="00D67197">
        <w:rPr>
          <w:i/>
          <w:noProof/>
          <w:lang w:val="en-US"/>
        </w:rPr>
        <w:t>The 11th CEPR Conference on Applied Industrial Organization</w:t>
      </w:r>
      <w:r>
        <w:rPr>
          <w:noProof/>
          <w:lang w:val="en-US"/>
        </w:rPr>
        <w:t>, Toulouse, France, 29 May 2010.</w:t>
      </w:r>
      <w:bookmarkEnd w:id="20"/>
    </w:p>
    <w:p w14:paraId="1ACFC787" w14:textId="77777777" w:rsidR="00D67197" w:rsidRDefault="00D67197" w:rsidP="00D67197">
      <w:pPr>
        <w:spacing w:after="240" w:line="240" w:lineRule="atLeast"/>
        <w:rPr>
          <w:noProof/>
          <w:lang w:val="en-US"/>
        </w:rPr>
      </w:pPr>
      <w:bookmarkStart w:id="21" w:name="_ENREF_9"/>
      <w:r>
        <w:rPr>
          <w:noProof/>
          <w:lang w:val="en-US"/>
        </w:rPr>
        <w:t xml:space="preserve">Brand, C. (2010a) </w:t>
      </w:r>
      <w:r w:rsidRPr="00D67197">
        <w:rPr>
          <w:i/>
          <w:noProof/>
          <w:lang w:val="en-US"/>
        </w:rPr>
        <w:t>UK Transport Carbon Model: Reference Guide v1.0</w:t>
      </w:r>
      <w:r>
        <w:rPr>
          <w:noProof/>
          <w:lang w:val="en-US"/>
        </w:rPr>
        <w:t>. UK Energy Research Centre, Energy Demand Theme, Oxford.</w:t>
      </w:r>
      <w:bookmarkEnd w:id="21"/>
    </w:p>
    <w:p w14:paraId="4545B751" w14:textId="77777777" w:rsidR="00D67197" w:rsidRDefault="00D67197" w:rsidP="00D67197">
      <w:pPr>
        <w:spacing w:after="240" w:line="240" w:lineRule="atLeast"/>
        <w:rPr>
          <w:noProof/>
          <w:lang w:val="en-US"/>
        </w:rPr>
      </w:pPr>
      <w:bookmarkStart w:id="22" w:name="_ENREF_10"/>
      <w:r>
        <w:rPr>
          <w:noProof/>
          <w:lang w:val="en-US"/>
        </w:rPr>
        <w:t xml:space="preserve">Brand, C. (2010b) </w:t>
      </w:r>
      <w:r w:rsidRPr="00D67197">
        <w:rPr>
          <w:i/>
          <w:noProof/>
          <w:lang w:val="en-US"/>
        </w:rPr>
        <w:t>UK Transport Carbon Model: User Guide v1.0</w:t>
      </w:r>
      <w:r>
        <w:rPr>
          <w:noProof/>
          <w:lang w:val="en-US"/>
        </w:rPr>
        <w:t>. UK Energy Research Centre, Energy Demand Theme, Oxford.</w:t>
      </w:r>
      <w:bookmarkEnd w:id="22"/>
    </w:p>
    <w:p w14:paraId="447EA2A3" w14:textId="77777777" w:rsidR="00D67197" w:rsidRDefault="00D67197" w:rsidP="00D67197">
      <w:pPr>
        <w:spacing w:after="240" w:line="240" w:lineRule="atLeast"/>
        <w:rPr>
          <w:noProof/>
          <w:lang w:val="en-US"/>
        </w:rPr>
      </w:pPr>
      <w:bookmarkStart w:id="23" w:name="_ENREF_11"/>
      <w:r>
        <w:rPr>
          <w:noProof/>
          <w:lang w:val="en-US"/>
        </w:rPr>
        <w:t xml:space="preserve">Brand, C., Tran, M., Anable, J. (2012) The UK transport carbon model: An integrated life cycle approach to explore low carbon futures. </w:t>
      </w:r>
      <w:r w:rsidRPr="00D67197">
        <w:rPr>
          <w:i/>
          <w:noProof/>
          <w:lang w:val="en-US"/>
        </w:rPr>
        <w:t>Energy Policy</w:t>
      </w:r>
      <w:r>
        <w:rPr>
          <w:noProof/>
          <w:lang w:val="en-US"/>
        </w:rPr>
        <w:t xml:space="preserve"> 41, 107-124.</w:t>
      </w:r>
      <w:bookmarkEnd w:id="23"/>
    </w:p>
    <w:p w14:paraId="24EE3375" w14:textId="77777777" w:rsidR="00D67197" w:rsidRDefault="00D67197" w:rsidP="00D67197">
      <w:pPr>
        <w:spacing w:after="240" w:line="240" w:lineRule="atLeast"/>
        <w:rPr>
          <w:noProof/>
          <w:lang w:val="en-US"/>
        </w:rPr>
      </w:pPr>
      <w:bookmarkStart w:id="24" w:name="_ENREF_12"/>
      <w:r>
        <w:rPr>
          <w:noProof/>
          <w:lang w:val="en-US"/>
        </w:rPr>
        <w:t xml:space="preserve">Brownstone, D., Bunch, D.S., Train, K. (2000) Joint mixed logit models of stated and revealed preferences for alternative-fuel vehicles. </w:t>
      </w:r>
      <w:r w:rsidRPr="00D67197">
        <w:rPr>
          <w:i/>
          <w:noProof/>
          <w:lang w:val="en-US"/>
        </w:rPr>
        <w:t>Transp. Res.: Part B: Methodological</w:t>
      </w:r>
      <w:r>
        <w:rPr>
          <w:noProof/>
          <w:lang w:val="en-US"/>
        </w:rPr>
        <w:t xml:space="preserve"> 34, 315-338.</w:t>
      </w:r>
      <w:bookmarkEnd w:id="24"/>
    </w:p>
    <w:p w14:paraId="16F20210" w14:textId="77777777" w:rsidR="00D67197" w:rsidRDefault="00D67197" w:rsidP="00D67197">
      <w:pPr>
        <w:spacing w:after="240" w:line="240" w:lineRule="atLeast"/>
        <w:rPr>
          <w:noProof/>
          <w:lang w:val="en-US"/>
        </w:rPr>
      </w:pPr>
      <w:bookmarkStart w:id="25" w:name="_ENREF_13"/>
      <w:r>
        <w:rPr>
          <w:noProof/>
          <w:lang w:val="en-US"/>
        </w:rPr>
        <w:t xml:space="preserve">Bunch, D.S., Greene, D.L. (2010) </w:t>
      </w:r>
      <w:r w:rsidRPr="00D67197">
        <w:rPr>
          <w:i/>
          <w:noProof/>
          <w:lang w:val="en-US"/>
        </w:rPr>
        <w:t>Potential Design, Implementation, and Benefits of a Feebate Program for New Passenger Vehicles in California: Interim Statement of Research Findings, Research Report UCD-ITS-RR-10-13</w:t>
      </w:r>
      <w:r>
        <w:rPr>
          <w:noProof/>
          <w:lang w:val="en-US"/>
        </w:rPr>
        <w:t>. Institute of Transportation Studies, University of California, Davis.</w:t>
      </w:r>
      <w:bookmarkEnd w:id="25"/>
    </w:p>
    <w:p w14:paraId="5C937ADC" w14:textId="77777777" w:rsidR="00D67197" w:rsidRDefault="00D67197" w:rsidP="00D67197">
      <w:pPr>
        <w:spacing w:after="240" w:line="240" w:lineRule="atLeast"/>
        <w:rPr>
          <w:noProof/>
          <w:lang w:val="en-US"/>
        </w:rPr>
      </w:pPr>
      <w:bookmarkStart w:id="26" w:name="_ENREF_14"/>
      <w:r>
        <w:rPr>
          <w:noProof/>
          <w:lang w:val="en-US"/>
        </w:rPr>
        <w:t xml:space="preserve">Cairns, S., Sloman, L., Newson, C., Anable, J., Kirkbride, A., Goodwin, P. (2008) Smarter Choices: Assessing the potential to achieve traffic reduction using ‘soft measures’. </w:t>
      </w:r>
      <w:r w:rsidRPr="00D67197">
        <w:rPr>
          <w:i/>
          <w:noProof/>
          <w:lang w:val="en-US"/>
        </w:rPr>
        <w:t>Transport Reviews</w:t>
      </w:r>
      <w:r>
        <w:rPr>
          <w:noProof/>
          <w:lang w:val="en-US"/>
        </w:rPr>
        <w:t xml:space="preserve"> 28, 593-618.</w:t>
      </w:r>
      <w:bookmarkEnd w:id="26"/>
    </w:p>
    <w:p w14:paraId="011F2F28" w14:textId="326283CC" w:rsidR="00D67197" w:rsidRDefault="00D67197" w:rsidP="00D67197">
      <w:pPr>
        <w:spacing w:after="240" w:line="240" w:lineRule="atLeast"/>
        <w:rPr>
          <w:noProof/>
          <w:lang w:val="en-US"/>
        </w:rPr>
      </w:pPr>
      <w:bookmarkStart w:id="27" w:name="_ENREF_15"/>
      <w:r>
        <w:rPr>
          <w:noProof/>
          <w:lang w:val="en-US"/>
        </w:rPr>
        <w:t xml:space="preserve">CEMT (1999) </w:t>
      </w:r>
      <w:r w:rsidRPr="00D67197">
        <w:rPr>
          <w:i/>
          <w:noProof/>
          <w:lang w:val="en-US"/>
        </w:rPr>
        <w:t xml:space="preserve">Conclusions and Recommendations on Scrappage Schemes and Their Role in Improving the Environmental Performance of the Car Fleet, Retrieved at: </w:t>
      </w:r>
      <w:hyperlink r:id="rId23" w:history="1">
        <w:r w:rsidRPr="00D67197">
          <w:rPr>
            <w:rStyle w:val="Hyperlink"/>
            <w:i/>
            <w:noProof/>
            <w:lang w:val="en-US"/>
          </w:rPr>
          <w:t>http://www.cemt.org/topics/env/CM9926Fe.pdf</w:t>
        </w:r>
      </w:hyperlink>
      <w:r>
        <w:rPr>
          <w:noProof/>
          <w:lang w:val="en-US"/>
        </w:rPr>
        <w:t>. Conférence Européenne des Ministres des Transports (CEMT), Paris.</w:t>
      </w:r>
      <w:bookmarkEnd w:id="27"/>
    </w:p>
    <w:p w14:paraId="75AA77AC" w14:textId="77777777" w:rsidR="00D67197" w:rsidRDefault="00D67197" w:rsidP="00D67197">
      <w:pPr>
        <w:spacing w:after="240" w:line="240" w:lineRule="atLeast"/>
        <w:rPr>
          <w:noProof/>
          <w:lang w:val="en-US"/>
        </w:rPr>
      </w:pPr>
      <w:bookmarkStart w:id="28" w:name="_ENREF_16"/>
      <w:r>
        <w:rPr>
          <w:noProof/>
          <w:lang w:val="en-US"/>
        </w:rPr>
        <w:t xml:space="preserve">COWI (2002) </w:t>
      </w:r>
      <w:r w:rsidRPr="00D67197">
        <w:rPr>
          <w:i/>
          <w:noProof/>
          <w:lang w:val="en-US"/>
        </w:rPr>
        <w:t>Fiscal Measures to Reduce CO2 Emissions from new Passenger Cars. Report to the European Commission's Directorate-General for Environment</w:t>
      </w:r>
      <w:r>
        <w:rPr>
          <w:noProof/>
          <w:lang w:val="en-US"/>
        </w:rPr>
        <w:t>. COWI, Brussels.</w:t>
      </w:r>
      <w:bookmarkEnd w:id="28"/>
    </w:p>
    <w:p w14:paraId="7A1E7A5B" w14:textId="77777777" w:rsidR="00D67197" w:rsidRDefault="00D67197" w:rsidP="00D67197">
      <w:pPr>
        <w:spacing w:after="240" w:line="240" w:lineRule="atLeast"/>
        <w:rPr>
          <w:noProof/>
          <w:lang w:val="en-US"/>
        </w:rPr>
      </w:pPr>
      <w:bookmarkStart w:id="29" w:name="_ENREF_17"/>
      <w:r>
        <w:rPr>
          <w:noProof/>
          <w:lang w:val="en-US"/>
        </w:rPr>
        <w:lastRenderedPageBreak/>
        <w:t xml:space="preserve">de Haan, P., Mueller, M.G., Scholz, R.W. (2009) How much do incentives affect car purchase? Agent-based microsimulation of consumer choice of new cars--Part II: Forecasting effects of feebates based on energy-efficiency. </w:t>
      </w:r>
      <w:r w:rsidRPr="00D67197">
        <w:rPr>
          <w:i/>
          <w:noProof/>
          <w:lang w:val="en-US"/>
        </w:rPr>
        <w:t>Energy Policy</w:t>
      </w:r>
      <w:r>
        <w:rPr>
          <w:noProof/>
          <w:lang w:val="en-US"/>
        </w:rPr>
        <w:t xml:space="preserve"> 37, 1083-1094.</w:t>
      </w:r>
      <w:bookmarkEnd w:id="29"/>
    </w:p>
    <w:p w14:paraId="50F89172" w14:textId="77777777" w:rsidR="00D67197" w:rsidRDefault="00D67197" w:rsidP="00D67197">
      <w:pPr>
        <w:spacing w:after="240" w:line="240" w:lineRule="atLeast"/>
        <w:rPr>
          <w:noProof/>
          <w:lang w:val="en-US"/>
        </w:rPr>
      </w:pPr>
      <w:bookmarkStart w:id="30" w:name="_ENREF_18"/>
      <w:r>
        <w:rPr>
          <w:noProof/>
          <w:lang w:val="en-US"/>
        </w:rPr>
        <w:t xml:space="preserve">DfT (2009) </w:t>
      </w:r>
      <w:r w:rsidRPr="00D67197">
        <w:rPr>
          <w:i/>
          <w:noProof/>
          <w:lang w:val="en-US"/>
        </w:rPr>
        <w:t>Vehicle Licensing Statistics: 2008</w:t>
      </w:r>
      <w:r>
        <w:rPr>
          <w:noProof/>
          <w:lang w:val="en-US"/>
        </w:rPr>
        <w:t>. Department for Transport (DfT), The Stationary Office, London.</w:t>
      </w:r>
      <w:bookmarkEnd w:id="30"/>
    </w:p>
    <w:p w14:paraId="6C90F0B3" w14:textId="77777777" w:rsidR="00D67197" w:rsidRDefault="00D67197" w:rsidP="00D67197">
      <w:pPr>
        <w:spacing w:after="240" w:line="240" w:lineRule="atLeast"/>
        <w:rPr>
          <w:noProof/>
          <w:lang w:val="en-US"/>
        </w:rPr>
      </w:pPr>
      <w:bookmarkStart w:id="31" w:name="_ENREF_19"/>
      <w:r>
        <w:rPr>
          <w:noProof/>
          <w:lang w:val="en-US"/>
        </w:rPr>
        <w:t xml:space="preserve">DfT (2010) </w:t>
      </w:r>
      <w:r w:rsidRPr="00D67197">
        <w:rPr>
          <w:i/>
          <w:noProof/>
          <w:lang w:val="en-US"/>
        </w:rPr>
        <w:t>Transport Statistics Great Britain: 2010 edition</w:t>
      </w:r>
      <w:r>
        <w:rPr>
          <w:noProof/>
          <w:lang w:val="en-US"/>
        </w:rPr>
        <w:t>. Department for Transport (DfT), The Stationary Office, London.</w:t>
      </w:r>
      <w:bookmarkEnd w:id="31"/>
    </w:p>
    <w:p w14:paraId="2C5B13F7" w14:textId="77777777" w:rsidR="00D67197" w:rsidRDefault="00D67197" w:rsidP="00D67197">
      <w:pPr>
        <w:spacing w:after="240" w:line="240" w:lineRule="atLeast"/>
        <w:rPr>
          <w:noProof/>
          <w:lang w:val="en-US"/>
        </w:rPr>
      </w:pPr>
      <w:bookmarkStart w:id="32" w:name="_ENREF_20"/>
      <w:r>
        <w:rPr>
          <w:noProof/>
          <w:lang w:val="en-US"/>
        </w:rPr>
        <w:t xml:space="preserve">DfT (2011) </w:t>
      </w:r>
      <w:r w:rsidRPr="00D67197">
        <w:rPr>
          <w:i/>
          <w:noProof/>
          <w:lang w:val="en-US"/>
        </w:rPr>
        <w:t>Transport Statistics Great Britain: 2011 edition</w:t>
      </w:r>
      <w:r>
        <w:rPr>
          <w:noProof/>
          <w:lang w:val="en-US"/>
        </w:rPr>
        <w:t>. Department for Transport (DfT), The Stationary Office, London.</w:t>
      </w:r>
      <w:bookmarkEnd w:id="32"/>
    </w:p>
    <w:p w14:paraId="0F3153E7" w14:textId="77777777" w:rsidR="00D67197" w:rsidRDefault="00D67197" w:rsidP="00D67197">
      <w:pPr>
        <w:spacing w:after="240" w:line="240" w:lineRule="atLeast"/>
        <w:rPr>
          <w:noProof/>
          <w:lang w:val="en-US"/>
        </w:rPr>
      </w:pPr>
      <w:bookmarkStart w:id="33" w:name="_ENREF_21"/>
      <w:r>
        <w:rPr>
          <w:noProof/>
          <w:lang w:val="en-US"/>
        </w:rPr>
        <w:t xml:space="preserve">Diem, W. (2011) France Cuts High-Mileage Car Bonuses, Hikes Gas-Hog Levies </w:t>
      </w:r>
      <w:r w:rsidRPr="00D67197">
        <w:rPr>
          <w:i/>
          <w:noProof/>
          <w:lang w:val="en-US"/>
        </w:rPr>
        <w:t>WardsAuto.com</w:t>
      </w:r>
      <w:r>
        <w:rPr>
          <w:noProof/>
          <w:lang w:val="en-US"/>
        </w:rPr>
        <w:t>. Penton Media, Inc.</w:t>
      </w:r>
      <w:bookmarkEnd w:id="33"/>
    </w:p>
    <w:p w14:paraId="46704B12" w14:textId="77777777" w:rsidR="00D67197" w:rsidRDefault="00D67197" w:rsidP="00D67197">
      <w:pPr>
        <w:spacing w:after="240" w:line="240" w:lineRule="atLeast"/>
        <w:rPr>
          <w:noProof/>
          <w:lang w:val="en-US"/>
        </w:rPr>
      </w:pPr>
      <w:bookmarkStart w:id="34" w:name="_ENREF_22"/>
      <w:r>
        <w:rPr>
          <w:noProof/>
          <w:lang w:val="en-US"/>
        </w:rPr>
        <w:t xml:space="preserve">Dill, J. (2004) Estimating emissions reductions from accelerated vehicle retirement programs. </w:t>
      </w:r>
      <w:r w:rsidRPr="00D67197">
        <w:rPr>
          <w:i/>
          <w:noProof/>
          <w:lang w:val="en-US"/>
        </w:rPr>
        <w:t>Transp. Res.: Part D: Transport Environ.</w:t>
      </w:r>
      <w:r>
        <w:rPr>
          <w:noProof/>
          <w:lang w:val="en-US"/>
        </w:rPr>
        <w:t xml:space="preserve"> 9, 87-106.</w:t>
      </w:r>
      <w:bookmarkEnd w:id="34"/>
    </w:p>
    <w:p w14:paraId="28BBA5D9" w14:textId="77777777" w:rsidR="00D67197" w:rsidRDefault="00D67197" w:rsidP="00D67197">
      <w:pPr>
        <w:spacing w:after="240" w:line="240" w:lineRule="atLeast"/>
        <w:rPr>
          <w:noProof/>
          <w:lang w:val="en-US"/>
        </w:rPr>
      </w:pPr>
      <w:bookmarkStart w:id="35" w:name="_ENREF_23"/>
      <w:r>
        <w:rPr>
          <w:noProof/>
          <w:lang w:val="en-US"/>
        </w:rPr>
        <w:t xml:space="preserve">EEA (2012) </w:t>
      </w:r>
      <w:r w:rsidRPr="00D67197">
        <w:rPr>
          <w:i/>
          <w:noProof/>
          <w:lang w:val="en-US"/>
        </w:rPr>
        <w:t>Monitoring CO</w:t>
      </w:r>
      <w:r w:rsidRPr="00D67197">
        <w:rPr>
          <w:i/>
          <w:noProof/>
          <w:vertAlign w:val="subscript"/>
          <w:lang w:val="en-US"/>
        </w:rPr>
        <w:t>2</w:t>
      </w:r>
      <w:r w:rsidRPr="00D67197">
        <w:rPr>
          <w:i/>
          <w:noProof/>
          <w:lang w:val="en-US"/>
        </w:rPr>
        <w:t xml:space="preserve"> emissions from new passenger cars in the EU: summary of data for 2011</w:t>
      </w:r>
      <w:r>
        <w:rPr>
          <w:noProof/>
          <w:lang w:val="en-US"/>
        </w:rPr>
        <w:t>. European Environment Agency (EEA), Copenhagen.</w:t>
      </w:r>
      <w:bookmarkEnd w:id="35"/>
    </w:p>
    <w:p w14:paraId="0419F9ED" w14:textId="77777777" w:rsidR="00D67197" w:rsidRDefault="00D67197" w:rsidP="00D67197">
      <w:pPr>
        <w:spacing w:after="240" w:line="240" w:lineRule="atLeast"/>
        <w:rPr>
          <w:noProof/>
          <w:lang w:val="en-US"/>
        </w:rPr>
      </w:pPr>
      <w:bookmarkStart w:id="36" w:name="_ENREF_24"/>
      <w:r>
        <w:rPr>
          <w:noProof/>
          <w:lang w:val="en-US"/>
        </w:rPr>
        <w:t xml:space="preserve">Ekins, P., Anandarajah, G., Hughes, N., Kannan, R., Strachan, N. (2009) Chapter 2. </w:t>
      </w:r>
      <w:r w:rsidRPr="00D67197">
        <w:rPr>
          <w:i/>
          <w:noProof/>
          <w:lang w:val="en-US"/>
        </w:rPr>
        <w:t>Making the transition to a secure and low-carbon energy system: synthesis report</w:t>
      </w:r>
      <w:r>
        <w:rPr>
          <w:noProof/>
          <w:lang w:val="en-US"/>
        </w:rPr>
        <w:t xml:space="preserve">  eds Ekins, P., Skea, J. UK Energy Research Centre, London.</w:t>
      </w:r>
      <w:bookmarkEnd w:id="36"/>
    </w:p>
    <w:p w14:paraId="78620552" w14:textId="7D8FCCAF" w:rsidR="00D67197" w:rsidRDefault="00D67197" w:rsidP="00D67197">
      <w:pPr>
        <w:spacing w:after="240" w:line="240" w:lineRule="atLeast"/>
        <w:rPr>
          <w:noProof/>
          <w:lang w:val="en-US"/>
        </w:rPr>
      </w:pPr>
      <w:bookmarkStart w:id="37" w:name="_ENREF_25"/>
      <w:r>
        <w:rPr>
          <w:noProof/>
          <w:lang w:val="en-US"/>
        </w:rPr>
        <w:t xml:space="preserve">EST (2007) </w:t>
      </w:r>
      <w:r w:rsidRPr="00D67197">
        <w:rPr>
          <w:i/>
          <w:noProof/>
          <w:lang w:val="en-US"/>
        </w:rPr>
        <w:t xml:space="preserve">Modelling the impact of VED: a new approach. Retrieved from: </w:t>
      </w:r>
      <w:hyperlink r:id="rId24" w:history="1">
        <w:r w:rsidRPr="00D67197">
          <w:rPr>
            <w:rStyle w:val="Hyperlink"/>
            <w:i/>
            <w:noProof/>
            <w:lang w:val="en-US"/>
          </w:rPr>
          <w:t>http://www.energysavingtrust.org.uk/uploads/documents/fleet/Modelling%20the%20impact%20of%20VED.pdf</w:t>
        </w:r>
      </w:hyperlink>
      <w:r>
        <w:rPr>
          <w:noProof/>
          <w:lang w:val="en-US"/>
        </w:rPr>
        <w:t>. Energy Savings Trust (EST), London.</w:t>
      </w:r>
      <w:bookmarkEnd w:id="37"/>
    </w:p>
    <w:p w14:paraId="7FC36168" w14:textId="2BE36C45" w:rsidR="00D67197" w:rsidRDefault="00D67197" w:rsidP="00D67197">
      <w:pPr>
        <w:spacing w:after="240" w:line="240" w:lineRule="atLeast"/>
        <w:rPr>
          <w:noProof/>
          <w:lang w:val="en-US"/>
        </w:rPr>
      </w:pPr>
      <w:bookmarkStart w:id="38" w:name="_ENREF_26"/>
      <w:r>
        <w:rPr>
          <w:noProof/>
          <w:lang w:val="en-US"/>
        </w:rPr>
        <w:t xml:space="preserve">EST and IEEP (2004) </w:t>
      </w:r>
      <w:r w:rsidRPr="00D67197">
        <w:rPr>
          <w:i/>
          <w:noProof/>
          <w:lang w:val="en-US"/>
        </w:rPr>
        <w:t xml:space="preserve">Passenger cars: CO2 emissions and Vehicle Excise Duty. Retrieved from: </w:t>
      </w:r>
      <w:hyperlink r:id="rId25" w:history="1">
        <w:r w:rsidRPr="00D67197">
          <w:rPr>
            <w:rStyle w:val="Hyperlink"/>
            <w:i/>
            <w:noProof/>
            <w:lang w:val="en-US"/>
          </w:rPr>
          <w:t>http://www.lowcvp.org.uk/assets/reports/EST-IEEP_VED_Report_-_Nov_2004.pdf</w:t>
        </w:r>
      </w:hyperlink>
      <w:r>
        <w:rPr>
          <w:noProof/>
          <w:lang w:val="en-US"/>
        </w:rPr>
        <w:t>. Energy Savings Trust (EST) and Institute for European Environmental Policy (IEEP), London.</w:t>
      </w:r>
      <w:bookmarkEnd w:id="38"/>
    </w:p>
    <w:p w14:paraId="2112DB28" w14:textId="77777777" w:rsidR="00D67197" w:rsidRDefault="00D67197" w:rsidP="00D67197">
      <w:pPr>
        <w:spacing w:after="240" w:line="240" w:lineRule="atLeast"/>
        <w:rPr>
          <w:noProof/>
          <w:lang w:val="en-US"/>
        </w:rPr>
      </w:pPr>
      <w:bookmarkStart w:id="39" w:name="_ENREF_27"/>
      <w:r>
        <w:rPr>
          <w:noProof/>
          <w:lang w:val="en-US"/>
        </w:rPr>
        <w:t xml:space="preserve">European Commission (2005) </w:t>
      </w:r>
      <w:r w:rsidRPr="00D67197">
        <w:rPr>
          <w:i/>
          <w:noProof/>
          <w:lang w:val="en-US"/>
        </w:rPr>
        <w:t>World Energy Technology Outlook - 2050 (WETO-H2)</w:t>
      </w:r>
      <w:r>
        <w:rPr>
          <w:noProof/>
          <w:lang w:val="en-US"/>
        </w:rPr>
        <w:t>. European Commission, Luxembourg.</w:t>
      </w:r>
      <w:bookmarkEnd w:id="39"/>
    </w:p>
    <w:p w14:paraId="29072E85" w14:textId="77777777" w:rsidR="00D67197" w:rsidRDefault="00D67197" w:rsidP="00D67197">
      <w:pPr>
        <w:spacing w:after="240" w:line="240" w:lineRule="atLeast"/>
        <w:rPr>
          <w:noProof/>
          <w:lang w:val="en-US"/>
        </w:rPr>
      </w:pPr>
      <w:bookmarkStart w:id="40" w:name="_ENREF_28"/>
      <w:r>
        <w:rPr>
          <w:noProof/>
          <w:lang w:val="en-US"/>
        </w:rPr>
        <w:t xml:space="preserve">Ewing, G.O., Sarigollu, E. (1998) Car fuel-type choice under travel demand management and economic incentives. </w:t>
      </w:r>
      <w:r w:rsidRPr="00D67197">
        <w:rPr>
          <w:i/>
          <w:noProof/>
          <w:lang w:val="en-US"/>
        </w:rPr>
        <w:t>Transp. Res.: Part D: Transport Environ.</w:t>
      </w:r>
      <w:r>
        <w:rPr>
          <w:noProof/>
          <w:lang w:val="en-US"/>
        </w:rPr>
        <w:t xml:space="preserve"> 3, 429-444.</w:t>
      </w:r>
      <w:bookmarkEnd w:id="40"/>
    </w:p>
    <w:p w14:paraId="26A11499" w14:textId="77777777" w:rsidR="00D67197" w:rsidRDefault="00D67197" w:rsidP="00D67197">
      <w:pPr>
        <w:spacing w:after="240" w:line="240" w:lineRule="atLeast"/>
        <w:rPr>
          <w:noProof/>
          <w:lang w:val="en-US"/>
        </w:rPr>
      </w:pPr>
      <w:bookmarkStart w:id="41" w:name="_ENREF_29"/>
      <w:r>
        <w:rPr>
          <w:noProof/>
          <w:lang w:val="en-US"/>
        </w:rPr>
        <w:t xml:space="preserve">Foster, B., Langer, T. (2011) </w:t>
      </w:r>
      <w:r w:rsidRPr="00D67197">
        <w:rPr>
          <w:i/>
          <w:noProof/>
          <w:lang w:val="en-US"/>
        </w:rPr>
        <w:t>Cash for Clunkers: A missed opportunity for fuel economy gains. Report No. T112</w:t>
      </w:r>
      <w:r>
        <w:rPr>
          <w:noProof/>
          <w:lang w:val="en-US"/>
        </w:rPr>
        <w:t>. American Council for an Energy Efficient Economy, Washington DC.</w:t>
      </w:r>
      <w:bookmarkEnd w:id="41"/>
    </w:p>
    <w:p w14:paraId="3F67B1A4" w14:textId="77777777" w:rsidR="00D67197" w:rsidRDefault="00D67197" w:rsidP="00D67197">
      <w:pPr>
        <w:spacing w:after="240" w:line="240" w:lineRule="atLeast"/>
        <w:rPr>
          <w:noProof/>
          <w:lang w:val="en-US"/>
        </w:rPr>
      </w:pPr>
      <w:bookmarkStart w:id="42" w:name="_ENREF_30"/>
      <w:r>
        <w:rPr>
          <w:noProof/>
          <w:lang w:val="en-US"/>
        </w:rPr>
        <w:t xml:space="preserve">Fulton, L., Cazzola, P., Cuenot, F. (2009) IEA Mobility Model (MoMo) and its use in the ETP 2008. </w:t>
      </w:r>
      <w:r w:rsidRPr="00D67197">
        <w:rPr>
          <w:i/>
          <w:noProof/>
          <w:lang w:val="en-US"/>
        </w:rPr>
        <w:t>Energy Policy</w:t>
      </w:r>
      <w:r>
        <w:rPr>
          <w:noProof/>
          <w:lang w:val="en-US"/>
        </w:rPr>
        <w:t xml:space="preserve"> 37, 3758-3768.</w:t>
      </w:r>
      <w:bookmarkEnd w:id="42"/>
    </w:p>
    <w:p w14:paraId="205521C3" w14:textId="77777777" w:rsidR="00D67197" w:rsidRDefault="00D67197" w:rsidP="00D67197">
      <w:pPr>
        <w:spacing w:after="240" w:line="240" w:lineRule="atLeast"/>
        <w:rPr>
          <w:noProof/>
          <w:lang w:val="en-US"/>
        </w:rPr>
      </w:pPr>
      <w:bookmarkStart w:id="43" w:name="_ENREF_31"/>
      <w:r>
        <w:rPr>
          <w:noProof/>
          <w:lang w:val="en-US"/>
        </w:rPr>
        <w:t>Gallagher, K., Collantes, G., Holdren, J., Lee, H., Frosch, R. (2007) Policy options for reducing oil consumption and greenhouse-gas emissions from the US Transportation Sector, Discussion Paper. Belfer Center for Science and International Affairs, John F. Kennedy School of Government, Harvard University.</w:t>
      </w:r>
      <w:bookmarkEnd w:id="43"/>
    </w:p>
    <w:p w14:paraId="0E444CE1" w14:textId="77777777" w:rsidR="00D67197" w:rsidRDefault="00D67197" w:rsidP="00D67197">
      <w:pPr>
        <w:spacing w:after="240" w:line="240" w:lineRule="atLeast"/>
        <w:rPr>
          <w:noProof/>
          <w:lang w:val="en-US"/>
        </w:rPr>
      </w:pPr>
      <w:bookmarkStart w:id="44" w:name="_ENREF_32"/>
      <w:r>
        <w:rPr>
          <w:noProof/>
          <w:lang w:val="en-US"/>
        </w:rPr>
        <w:t xml:space="preserve">Gallagher, K.S., Muehlegger, E. (2011) Giving green to get green? Incentives and consumer adoption of hybrid vehicle technology. </w:t>
      </w:r>
      <w:r w:rsidRPr="00D67197">
        <w:rPr>
          <w:i/>
          <w:noProof/>
          <w:lang w:val="en-US"/>
        </w:rPr>
        <w:t>J. Environ. Econ. Manage.</w:t>
      </w:r>
      <w:r>
        <w:rPr>
          <w:noProof/>
          <w:lang w:val="en-US"/>
        </w:rPr>
        <w:t xml:space="preserve"> 61, 1-15.</w:t>
      </w:r>
      <w:bookmarkEnd w:id="44"/>
    </w:p>
    <w:p w14:paraId="1EFEF88E" w14:textId="77777777" w:rsidR="00D67197" w:rsidRDefault="00D67197" w:rsidP="00D67197">
      <w:pPr>
        <w:spacing w:after="240" w:line="240" w:lineRule="atLeast"/>
        <w:rPr>
          <w:noProof/>
          <w:lang w:val="en-US"/>
        </w:rPr>
      </w:pPr>
      <w:bookmarkStart w:id="45" w:name="_ENREF_33"/>
      <w:r>
        <w:rPr>
          <w:noProof/>
          <w:lang w:val="en-US"/>
        </w:rPr>
        <w:lastRenderedPageBreak/>
        <w:t xml:space="preserve">Golob, T.F., Torous, J., Bradley, M., Brownstone, D., Crane, S.S., Bunch, D.S. (1997) Commercial fleet demand for alternative-fuel vehicles in California. </w:t>
      </w:r>
      <w:r w:rsidRPr="00D67197">
        <w:rPr>
          <w:i/>
          <w:noProof/>
          <w:lang w:val="en-US"/>
        </w:rPr>
        <w:t>Transp. Res.: Part A: Pol. Practice</w:t>
      </w:r>
      <w:r>
        <w:rPr>
          <w:noProof/>
          <w:lang w:val="en-US"/>
        </w:rPr>
        <w:t xml:space="preserve"> 31, 219-233.</w:t>
      </w:r>
      <w:bookmarkEnd w:id="45"/>
    </w:p>
    <w:p w14:paraId="1DACF615" w14:textId="77777777" w:rsidR="00D67197" w:rsidRDefault="00D67197" w:rsidP="00D67197">
      <w:pPr>
        <w:spacing w:after="240" w:line="240" w:lineRule="atLeast"/>
        <w:rPr>
          <w:noProof/>
          <w:lang w:val="en-US"/>
        </w:rPr>
      </w:pPr>
      <w:bookmarkStart w:id="46" w:name="_ENREF_34"/>
      <w:r>
        <w:rPr>
          <w:noProof/>
          <w:lang w:val="en-US"/>
        </w:rPr>
        <w:t xml:space="preserve">Goodwin, P., Dargay, J., Hanly, M. (2004) Elasticities of Road Traffic and Fuel Consumption with Respect to Price and Income: A Review. </w:t>
      </w:r>
      <w:r w:rsidRPr="00D67197">
        <w:rPr>
          <w:i/>
          <w:noProof/>
          <w:lang w:val="en-US"/>
        </w:rPr>
        <w:t>Transport Reviews</w:t>
      </w:r>
      <w:r>
        <w:rPr>
          <w:noProof/>
          <w:lang w:val="en-US"/>
        </w:rPr>
        <w:t xml:space="preserve"> 24, 275-292.</w:t>
      </w:r>
      <w:bookmarkEnd w:id="46"/>
    </w:p>
    <w:p w14:paraId="0C17FDC0" w14:textId="77777777" w:rsidR="00D67197" w:rsidRDefault="00D67197" w:rsidP="00D67197">
      <w:pPr>
        <w:spacing w:after="240" w:line="240" w:lineRule="atLeast"/>
        <w:rPr>
          <w:noProof/>
          <w:lang w:val="en-US"/>
        </w:rPr>
      </w:pPr>
      <w:bookmarkStart w:id="47" w:name="_ENREF_35"/>
      <w:r>
        <w:rPr>
          <w:noProof/>
          <w:lang w:val="en-US"/>
        </w:rPr>
        <w:t xml:space="preserve">Graham-Rowe, E., Skippon, S., Gardner, B., Abraham, C. (2011) Can we reduce car use and, if so, how? A review of available evidence. </w:t>
      </w:r>
      <w:r w:rsidRPr="00D67197">
        <w:rPr>
          <w:i/>
          <w:noProof/>
          <w:lang w:val="en-US"/>
        </w:rPr>
        <w:t>Transp. Res.: Part A: Pol. Practice</w:t>
      </w:r>
      <w:r>
        <w:rPr>
          <w:noProof/>
          <w:lang w:val="en-US"/>
        </w:rPr>
        <w:t xml:space="preserve"> 45, 401-418.</w:t>
      </w:r>
      <w:bookmarkEnd w:id="47"/>
    </w:p>
    <w:p w14:paraId="1728AEDA" w14:textId="77777777" w:rsidR="00D67197" w:rsidRDefault="00D67197" w:rsidP="00D67197">
      <w:pPr>
        <w:spacing w:after="240" w:line="240" w:lineRule="atLeast"/>
        <w:rPr>
          <w:noProof/>
          <w:lang w:val="en-US"/>
        </w:rPr>
      </w:pPr>
      <w:bookmarkStart w:id="48" w:name="_ENREF_36"/>
      <w:r>
        <w:rPr>
          <w:noProof/>
          <w:lang w:val="en-US"/>
        </w:rPr>
        <w:t xml:space="preserve">Greene, D.L. (2009) Feebates, footprints and highway safety. </w:t>
      </w:r>
      <w:r w:rsidRPr="00D67197">
        <w:rPr>
          <w:i/>
          <w:noProof/>
          <w:lang w:val="en-US"/>
        </w:rPr>
        <w:t>Transp. Res.: Part D: Transport Environ.</w:t>
      </w:r>
      <w:r>
        <w:rPr>
          <w:noProof/>
          <w:lang w:val="en-US"/>
        </w:rPr>
        <w:t xml:space="preserve"> 14, 375-384.</w:t>
      </w:r>
      <w:bookmarkEnd w:id="48"/>
    </w:p>
    <w:p w14:paraId="57420E64" w14:textId="77777777" w:rsidR="00D67197" w:rsidRDefault="00D67197" w:rsidP="00D67197">
      <w:pPr>
        <w:spacing w:after="240" w:line="240" w:lineRule="atLeast"/>
        <w:rPr>
          <w:noProof/>
          <w:lang w:val="en-US"/>
        </w:rPr>
      </w:pPr>
      <w:bookmarkStart w:id="49" w:name="_ENREF_37"/>
      <w:r>
        <w:rPr>
          <w:noProof/>
          <w:lang w:val="en-US"/>
        </w:rPr>
        <w:t xml:space="preserve">Greene, D.L., Patterson, P.D., Singh, M., Li, J. (2005) Feebates, rebates and gas-guzzler taxes: a study of incentives for increased fuel economy. </w:t>
      </w:r>
      <w:r w:rsidRPr="00D67197">
        <w:rPr>
          <w:i/>
          <w:noProof/>
          <w:lang w:val="en-US"/>
        </w:rPr>
        <w:t>Energy Policy</w:t>
      </w:r>
      <w:r>
        <w:rPr>
          <w:noProof/>
          <w:lang w:val="en-US"/>
        </w:rPr>
        <w:t xml:space="preserve"> 33, 757-775.</w:t>
      </w:r>
      <w:bookmarkEnd w:id="49"/>
    </w:p>
    <w:p w14:paraId="08BB90EF" w14:textId="77777777" w:rsidR="00D67197" w:rsidRDefault="00D67197" w:rsidP="00D67197">
      <w:pPr>
        <w:spacing w:after="240" w:line="240" w:lineRule="atLeast"/>
        <w:rPr>
          <w:noProof/>
          <w:lang w:val="en-US"/>
        </w:rPr>
      </w:pPr>
      <w:bookmarkStart w:id="50" w:name="_ENREF_38"/>
      <w:r>
        <w:rPr>
          <w:noProof/>
          <w:lang w:val="en-US"/>
        </w:rPr>
        <w:t xml:space="preserve">Gross, R., Heptonstall, P., Anable, J., Greenacre, P., E4tech (2009) </w:t>
      </w:r>
      <w:r w:rsidRPr="00D67197">
        <w:rPr>
          <w:i/>
          <w:noProof/>
          <w:lang w:val="en-US"/>
        </w:rPr>
        <w:t>What policies are effective at reducing carbon emissions from surface passenger transport? A review of interventions to encourage behavioural and technological change, ISBN 1 903144 0 7 8</w:t>
      </w:r>
      <w:r>
        <w:rPr>
          <w:noProof/>
          <w:lang w:val="en-US"/>
        </w:rPr>
        <w:t>. UK Energy Research Centre, London.</w:t>
      </w:r>
      <w:bookmarkEnd w:id="50"/>
    </w:p>
    <w:p w14:paraId="5081F5C4" w14:textId="77777777" w:rsidR="00D67197" w:rsidRDefault="00D67197" w:rsidP="00D67197">
      <w:pPr>
        <w:spacing w:after="240" w:line="240" w:lineRule="atLeast"/>
        <w:rPr>
          <w:noProof/>
          <w:lang w:val="en-US"/>
        </w:rPr>
      </w:pPr>
      <w:bookmarkStart w:id="51" w:name="_ENREF_39"/>
      <w:r>
        <w:rPr>
          <w:noProof/>
          <w:lang w:val="en-US"/>
        </w:rPr>
        <w:t xml:space="preserve">Haan, P.d., Peters, A., Mueller, M. (2006) Comparison of Buyers of Hybrid and Conventional Internal Combustion Engine Automobiles: Characteristics, Preferences, and Previously Owned Vehicles. </w:t>
      </w:r>
      <w:r w:rsidRPr="00D67197">
        <w:rPr>
          <w:i/>
          <w:noProof/>
          <w:lang w:val="en-US"/>
        </w:rPr>
        <w:t>Transportation Research Record: Journal of the Transportation Research Board</w:t>
      </w:r>
      <w:r>
        <w:rPr>
          <w:noProof/>
          <w:lang w:val="en-US"/>
        </w:rPr>
        <w:t xml:space="preserve"> 1983, 106-113.</w:t>
      </w:r>
      <w:bookmarkEnd w:id="51"/>
    </w:p>
    <w:p w14:paraId="6632B08A" w14:textId="77777777" w:rsidR="00D67197" w:rsidRDefault="00D67197" w:rsidP="00D67197">
      <w:pPr>
        <w:spacing w:after="240" w:line="240" w:lineRule="atLeast"/>
        <w:rPr>
          <w:noProof/>
          <w:lang w:val="en-US"/>
        </w:rPr>
      </w:pPr>
      <w:bookmarkStart w:id="52" w:name="_ENREF_40"/>
      <w:r>
        <w:rPr>
          <w:noProof/>
          <w:lang w:val="en-US"/>
        </w:rPr>
        <w:t xml:space="preserve">Harmsen, R., Kroon, P., Ybema, J.R., Jespersen, M.S., Jordal-Jørgensen, J. (2003) </w:t>
      </w:r>
      <w:r w:rsidRPr="00D67197">
        <w:rPr>
          <w:i/>
          <w:noProof/>
          <w:lang w:val="en-US"/>
        </w:rPr>
        <w:t>International CO2 policy benchmark for the road transport sector: result of a pilot study, ECN 7.7484</w:t>
      </w:r>
      <w:r>
        <w:rPr>
          <w:noProof/>
          <w:lang w:val="en-US"/>
        </w:rPr>
        <w:t>. ECN, Netherlands.</w:t>
      </w:r>
      <w:bookmarkEnd w:id="52"/>
    </w:p>
    <w:p w14:paraId="69C27980" w14:textId="77777777" w:rsidR="00D67197" w:rsidRDefault="00D67197" w:rsidP="00D67197">
      <w:pPr>
        <w:spacing w:after="240" w:line="240" w:lineRule="atLeast"/>
        <w:rPr>
          <w:noProof/>
          <w:lang w:val="en-US"/>
        </w:rPr>
      </w:pPr>
      <w:bookmarkStart w:id="53" w:name="_ENREF_41"/>
      <w:r>
        <w:rPr>
          <w:noProof/>
          <w:lang w:val="en-US"/>
        </w:rPr>
        <w:t xml:space="preserve">HM Treasury (2006) </w:t>
      </w:r>
      <w:r w:rsidRPr="00D67197">
        <w:rPr>
          <w:i/>
          <w:noProof/>
          <w:lang w:val="en-US"/>
        </w:rPr>
        <w:t>The Stern Review: The Economics of Climate Change</w:t>
      </w:r>
      <w:r>
        <w:rPr>
          <w:noProof/>
          <w:lang w:val="en-US"/>
        </w:rPr>
        <w:t>. The Stationary Office, London.</w:t>
      </w:r>
      <w:bookmarkEnd w:id="53"/>
    </w:p>
    <w:p w14:paraId="210E7DED" w14:textId="77777777" w:rsidR="00D67197" w:rsidRDefault="00D67197" w:rsidP="00D67197">
      <w:pPr>
        <w:spacing w:after="240" w:line="240" w:lineRule="atLeast"/>
        <w:rPr>
          <w:noProof/>
          <w:lang w:val="en-US"/>
        </w:rPr>
      </w:pPr>
      <w:bookmarkStart w:id="54" w:name="_ENREF_42"/>
      <w:r>
        <w:rPr>
          <w:noProof/>
          <w:lang w:val="en-US"/>
        </w:rPr>
        <w:t xml:space="preserve">HM Treasury (2008) </w:t>
      </w:r>
      <w:r w:rsidRPr="00D67197">
        <w:rPr>
          <w:i/>
          <w:noProof/>
          <w:lang w:val="en-US"/>
        </w:rPr>
        <w:t>Pre-Budget Report 2008: Facing global challenges: supporting people through difficult times, Cm 7484</w:t>
      </w:r>
      <w:r>
        <w:rPr>
          <w:noProof/>
          <w:lang w:val="en-US"/>
        </w:rPr>
        <w:t>. The Stationery Office, London.</w:t>
      </w:r>
      <w:bookmarkEnd w:id="54"/>
    </w:p>
    <w:p w14:paraId="10A4949C" w14:textId="77777777" w:rsidR="00D67197" w:rsidRDefault="00D67197" w:rsidP="00D67197">
      <w:pPr>
        <w:spacing w:after="240" w:line="240" w:lineRule="atLeast"/>
        <w:rPr>
          <w:noProof/>
          <w:lang w:val="en-US"/>
        </w:rPr>
      </w:pPr>
      <w:bookmarkStart w:id="55" w:name="_ENREF_43"/>
      <w:r>
        <w:rPr>
          <w:noProof/>
          <w:lang w:val="en-US"/>
        </w:rPr>
        <w:t xml:space="preserve">HM Treasury (2010) </w:t>
      </w:r>
      <w:r w:rsidRPr="00D67197">
        <w:rPr>
          <w:i/>
          <w:noProof/>
          <w:lang w:val="en-US"/>
        </w:rPr>
        <w:t>Pocket Databank</w:t>
      </w:r>
      <w:r>
        <w:rPr>
          <w:noProof/>
          <w:lang w:val="en-US"/>
        </w:rPr>
        <w:t>. HM Treasury, London.</w:t>
      </w:r>
      <w:bookmarkEnd w:id="55"/>
    </w:p>
    <w:p w14:paraId="3E50C9C4" w14:textId="77777777" w:rsidR="00D67197" w:rsidRDefault="00D67197" w:rsidP="00D67197">
      <w:pPr>
        <w:spacing w:after="240" w:line="240" w:lineRule="atLeast"/>
        <w:rPr>
          <w:noProof/>
          <w:lang w:val="en-US"/>
        </w:rPr>
      </w:pPr>
      <w:bookmarkStart w:id="56" w:name="_ENREF_44"/>
      <w:r>
        <w:rPr>
          <w:noProof/>
          <w:lang w:val="en-US"/>
        </w:rPr>
        <w:t xml:space="preserve">Horne, M., Jaccard, M., Tiedemann, K. (2005) Improving behavioral realism in hybrid energy-economy models using discrete choice studies of personal transportation decisions. </w:t>
      </w:r>
      <w:r w:rsidRPr="00D67197">
        <w:rPr>
          <w:i/>
          <w:noProof/>
          <w:lang w:val="en-US"/>
        </w:rPr>
        <w:t>Energy Econ.</w:t>
      </w:r>
      <w:r>
        <w:rPr>
          <w:noProof/>
          <w:lang w:val="en-US"/>
        </w:rPr>
        <w:t xml:space="preserve"> 27, 59-77.</w:t>
      </w:r>
      <w:bookmarkEnd w:id="56"/>
    </w:p>
    <w:p w14:paraId="726432C7" w14:textId="77777777" w:rsidR="00D67197" w:rsidRDefault="00D67197" w:rsidP="00D67197">
      <w:pPr>
        <w:spacing w:after="240" w:line="240" w:lineRule="atLeast"/>
        <w:rPr>
          <w:noProof/>
          <w:lang w:val="en-US"/>
        </w:rPr>
      </w:pPr>
      <w:bookmarkStart w:id="57" w:name="_ENREF_45"/>
      <w:r>
        <w:rPr>
          <w:noProof/>
          <w:lang w:val="en-US"/>
        </w:rPr>
        <w:t xml:space="preserve">IEA (2011) </w:t>
      </w:r>
      <w:r w:rsidRPr="00D67197">
        <w:rPr>
          <w:i/>
          <w:noProof/>
          <w:lang w:val="en-US"/>
        </w:rPr>
        <w:t>Energy Technology Perspectives 2010, World Energy Outlook 2011</w:t>
      </w:r>
      <w:r>
        <w:rPr>
          <w:noProof/>
          <w:lang w:val="en-US"/>
        </w:rPr>
        <w:t>. International Energy Agency (IEA), Paris, France.</w:t>
      </w:r>
      <w:bookmarkEnd w:id="57"/>
    </w:p>
    <w:p w14:paraId="69F14297" w14:textId="37F176B2" w:rsidR="00D67197" w:rsidRDefault="00D67197" w:rsidP="00D67197">
      <w:pPr>
        <w:spacing w:after="240" w:line="240" w:lineRule="atLeast"/>
        <w:rPr>
          <w:noProof/>
          <w:lang w:val="en-US"/>
        </w:rPr>
      </w:pPr>
      <w:bookmarkStart w:id="58" w:name="_ENREF_46"/>
      <w:r>
        <w:rPr>
          <w:noProof/>
          <w:lang w:val="en-US"/>
        </w:rPr>
        <w:t xml:space="preserve">IFS (2009) </w:t>
      </w:r>
      <w:r w:rsidRPr="00D67197">
        <w:rPr>
          <w:i/>
          <w:noProof/>
          <w:lang w:val="en-US"/>
        </w:rPr>
        <w:t xml:space="preserve">Some initial reactions to Budget 2009. </w:t>
      </w:r>
      <w:hyperlink r:id="rId26" w:history="1">
        <w:r w:rsidRPr="00D67197">
          <w:rPr>
            <w:rStyle w:val="Hyperlink"/>
            <w:i/>
            <w:noProof/>
            <w:lang w:val="en-US"/>
          </w:rPr>
          <w:t>http://www.ifs.org.uk/pr/budget09_initial.pdf</w:t>
        </w:r>
      </w:hyperlink>
      <w:r w:rsidRPr="00D67197">
        <w:rPr>
          <w:i/>
          <w:noProof/>
          <w:lang w:val="en-US"/>
        </w:rPr>
        <w:t>. Retrieved 2010-03-10</w:t>
      </w:r>
      <w:r>
        <w:rPr>
          <w:noProof/>
          <w:lang w:val="en-US"/>
        </w:rPr>
        <w:t>. Institute for Fiscal Studies, London.</w:t>
      </w:r>
      <w:bookmarkEnd w:id="58"/>
    </w:p>
    <w:p w14:paraId="3BA717AB" w14:textId="77777777" w:rsidR="00D67197" w:rsidRDefault="00D67197" w:rsidP="00D67197">
      <w:pPr>
        <w:spacing w:after="240" w:line="240" w:lineRule="atLeast"/>
        <w:rPr>
          <w:noProof/>
          <w:lang w:val="en-US"/>
        </w:rPr>
      </w:pPr>
      <w:bookmarkStart w:id="59" w:name="_ENREF_47"/>
      <w:r>
        <w:rPr>
          <w:noProof/>
          <w:lang w:val="en-US"/>
        </w:rPr>
        <w:t xml:space="preserve">ITF (2011) </w:t>
      </w:r>
      <w:r w:rsidRPr="00D67197">
        <w:rPr>
          <w:i/>
          <w:noProof/>
          <w:lang w:val="en-US"/>
        </w:rPr>
        <w:t>Car Fleet Renewal Schemes: Environmental and Safety Impacts</w:t>
      </w:r>
      <w:r>
        <w:rPr>
          <w:noProof/>
          <w:lang w:val="en-US"/>
        </w:rPr>
        <w:t>. International Transport Forum/OECD, France.</w:t>
      </w:r>
      <w:bookmarkEnd w:id="59"/>
    </w:p>
    <w:p w14:paraId="08118145" w14:textId="77777777" w:rsidR="00D67197" w:rsidRDefault="00D67197" w:rsidP="00D67197">
      <w:pPr>
        <w:spacing w:after="240" w:line="240" w:lineRule="atLeast"/>
        <w:rPr>
          <w:noProof/>
          <w:lang w:val="en-US"/>
        </w:rPr>
      </w:pPr>
      <w:bookmarkStart w:id="60" w:name="_ENREF_48"/>
      <w:r>
        <w:rPr>
          <w:noProof/>
          <w:lang w:val="en-US"/>
        </w:rPr>
        <w:lastRenderedPageBreak/>
        <w:t xml:space="preserve">Jansen, H., Denis, C. (1999) A welfare cost assessment of various policy measures to reduce pollutant emissions from passenger road vehicles. </w:t>
      </w:r>
      <w:r w:rsidRPr="00D67197">
        <w:rPr>
          <w:i/>
          <w:noProof/>
          <w:lang w:val="en-US"/>
        </w:rPr>
        <w:t>Transp. Res.: Part D: Transport Environ.</w:t>
      </w:r>
      <w:r>
        <w:rPr>
          <w:noProof/>
          <w:lang w:val="en-US"/>
        </w:rPr>
        <w:t xml:space="preserve"> 4, 379-396.</w:t>
      </w:r>
      <w:bookmarkEnd w:id="60"/>
    </w:p>
    <w:p w14:paraId="47079AF2" w14:textId="77777777" w:rsidR="00D67197" w:rsidRDefault="00D67197" w:rsidP="00D67197">
      <w:pPr>
        <w:spacing w:after="240" w:line="240" w:lineRule="atLeast"/>
        <w:rPr>
          <w:noProof/>
          <w:lang w:val="en-US"/>
        </w:rPr>
      </w:pPr>
      <w:bookmarkStart w:id="61" w:name="_ENREF_49"/>
      <w:r>
        <w:rPr>
          <w:noProof/>
          <w:lang w:val="en-US"/>
        </w:rPr>
        <w:t xml:space="preserve">Johnson, K.C. (2007) Refunded emission taxes: a resolution to the cap-versus-tax dilemma for greenhouse gas regulation. </w:t>
      </w:r>
      <w:r w:rsidRPr="00D67197">
        <w:rPr>
          <w:i/>
          <w:noProof/>
          <w:lang w:val="en-US"/>
        </w:rPr>
        <w:t>Energy Policy</w:t>
      </w:r>
      <w:r>
        <w:rPr>
          <w:noProof/>
          <w:lang w:val="en-US"/>
        </w:rPr>
        <w:t xml:space="preserve"> 35.</w:t>
      </w:r>
      <w:bookmarkEnd w:id="61"/>
    </w:p>
    <w:p w14:paraId="127C420C" w14:textId="77777777" w:rsidR="00D67197" w:rsidRDefault="00D67197" w:rsidP="00D67197">
      <w:pPr>
        <w:spacing w:after="240" w:line="240" w:lineRule="atLeast"/>
        <w:rPr>
          <w:noProof/>
          <w:lang w:val="en-US"/>
        </w:rPr>
      </w:pPr>
      <w:bookmarkStart w:id="62" w:name="_ENREF_50"/>
      <w:r>
        <w:rPr>
          <w:noProof/>
          <w:lang w:val="en-US"/>
        </w:rPr>
        <w:t xml:space="preserve">Kavalec, C., Setiawan, W. (1997) An analysis of accelerated vehicle retirement programs using a discrete choice personal vehicle model. </w:t>
      </w:r>
      <w:r w:rsidRPr="00D67197">
        <w:rPr>
          <w:i/>
          <w:noProof/>
          <w:lang w:val="en-US"/>
        </w:rPr>
        <w:t>Transport Policy</w:t>
      </w:r>
      <w:r>
        <w:rPr>
          <w:noProof/>
          <w:lang w:val="en-US"/>
        </w:rPr>
        <w:t xml:space="preserve"> 4, 95-107.</w:t>
      </w:r>
      <w:bookmarkEnd w:id="62"/>
    </w:p>
    <w:p w14:paraId="164F8480" w14:textId="77777777" w:rsidR="00D67197" w:rsidRDefault="00D67197" w:rsidP="00D67197">
      <w:pPr>
        <w:spacing w:after="240" w:line="240" w:lineRule="atLeast"/>
        <w:rPr>
          <w:noProof/>
          <w:lang w:val="en-US"/>
        </w:rPr>
      </w:pPr>
      <w:bookmarkStart w:id="63" w:name="_ENREF_51"/>
      <w:r>
        <w:rPr>
          <w:noProof/>
          <w:lang w:val="en-US"/>
        </w:rPr>
        <w:t xml:space="preserve">Kopp, R.J. (2007) Policies to reduce CO2 emissions from the light-duty vehicle fleet. </w:t>
      </w:r>
      <w:r w:rsidRPr="00D67197">
        <w:rPr>
          <w:i/>
          <w:noProof/>
          <w:lang w:val="en-US"/>
        </w:rPr>
        <w:t>Assessing US Climate Policy Options</w:t>
      </w:r>
      <w:r>
        <w:rPr>
          <w:noProof/>
          <w:lang w:val="en-US"/>
        </w:rPr>
        <w:t xml:space="preserve">  eds Kopp, R.J., Pizer, W.A. Resources for the Future.</w:t>
      </w:r>
      <w:bookmarkEnd w:id="63"/>
    </w:p>
    <w:p w14:paraId="389C6F3C" w14:textId="77777777" w:rsidR="00D67197" w:rsidRDefault="00D67197" w:rsidP="00D67197">
      <w:pPr>
        <w:spacing w:after="240" w:line="240" w:lineRule="atLeast"/>
        <w:rPr>
          <w:noProof/>
          <w:lang w:val="en-US"/>
        </w:rPr>
      </w:pPr>
      <w:bookmarkStart w:id="64" w:name="_ENREF_52"/>
      <w:r>
        <w:rPr>
          <w:noProof/>
          <w:lang w:val="en-US"/>
        </w:rPr>
        <w:t xml:space="preserve">Lane, B. (2005) Consumer attitudes to low carbon and fuel efficient passenger cars. </w:t>
      </w:r>
      <w:r w:rsidRPr="00D67197">
        <w:rPr>
          <w:i/>
          <w:noProof/>
          <w:lang w:val="en-US"/>
        </w:rPr>
        <w:t>Low Carbon Vehicle Partnership</w:t>
      </w:r>
      <w:r>
        <w:rPr>
          <w:noProof/>
          <w:lang w:val="en-US"/>
        </w:rPr>
        <w:t>, London.</w:t>
      </w:r>
      <w:bookmarkEnd w:id="64"/>
    </w:p>
    <w:p w14:paraId="715465ED" w14:textId="77777777" w:rsidR="00D67197" w:rsidRDefault="00D67197" w:rsidP="00D67197">
      <w:pPr>
        <w:spacing w:after="240" w:line="240" w:lineRule="atLeast"/>
        <w:rPr>
          <w:noProof/>
          <w:lang w:val="en-US"/>
        </w:rPr>
      </w:pPr>
      <w:bookmarkStart w:id="65" w:name="_ENREF_53"/>
      <w:r>
        <w:rPr>
          <w:noProof/>
          <w:lang w:val="en-US"/>
        </w:rPr>
        <w:t xml:space="preserve">Mandell, S. (2009) Policies towards a more efficient car fleet. </w:t>
      </w:r>
      <w:r w:rsidRPr="00D67197">
        <w:rPr>
          <w:i/>
          <w:noProof/>
          <w:lang w:val="en-US"/>
        </w:rPr>
        <w:t>Energy Policy</w:t>
      </w:r>
      <w:r>
        <w:rPr>
          <w:noProof/>
          <w:lang w:val="en-US"/>
        </w:rPr>
        <w:t xml:space="preserve"> 37, 5184-5191.</w:t>
      </w:r>
      <w:bookmarkEnd w:id="65"/>
    </w:p>
    <w:p w14:paraId="4EA1E361" w14:textId="77777777" w:rsidR="00D67197" w:rsidRDefault="00D67197" w:rsidP="00D67197">
      <w:pPr>
        <w:spacing w:after="240" w:line="240" w:lineRule="atLeast"/>
        <w:rPr>
          <w:noProof/>
          <w:lang w:val="en-US"/>
        </w:rPr>
      </w:pPr>
      <w:bookmarkStart w:id="66" w:name="_ENREF_54"/>
      <w:r>
        <w:rPr>
          <w:noProof/>
          <w:lang w:val="en-US"/>
        </w:rPr>
        <w:t xml:space="preserve">McKinsey &amp; Company (2009) </w:t>
      </w:r>
      <w:r w:rsidRPr="00D67197">
        <w:rPr>
          <w:i/>
          <w:noProof/>
          <w:lang w:val="en-US"/>
        </w:rPr>
        <w:t>Averting the Next Energy Crisis: The Demand Challenge.</w:t>
      </w:r>
      <w:r>
        <w:rPr>
          <w:noProof/>
          <w:lang w:val="en-US"/>
        </w:rPr>
        <w:t xml:space="preserve"> Mckinsey Global Institute, San Francisco, USA.</w:t>
      </w:r>
      <w:bookmarkEnd w:id="66"/>
    </w:p>
    <w:p w14:paraId="7C6CA1C6" w14:textId="77777777" w:rsidR="00D67197" w:rsidRDefault="00D67197" w:rsidP="00D67197">
      <w:pPr>
        <w:spacing w:after="240" w:line="240" w:lineRule="atLeast"/>
        <w:rPr>
          <w:noProof/>
          <w:lang w:val="en-US"/>
        </w:rPr>
      </w:pPr>
      <w:bookmarkStart w:id="67" w:name="_ENREF_55"/>
      <w:r>
        <w:rPr>
          <w:noProof/>
          <w:lang w:val="en-US"/>
        </w:rPr>
        <w:t xml:space="preserve">Mirrlees, J., Adam, S., Besley, T., Blundell, R., Bond, S., Chote, R., Gammie, M., Johnson, P., Myles, G., Poterba, J. (2011) </w:t>
      </w:r>
      <w:r w:rsidRPr="00D67197">
        <w:rPr>
          <w:i/>
          <w:noProof/>
          <w:lang w:val="en-US"/>
        </w:rPr>
        <w:t>Tax by Design: the Mirrlees Review</w:t>
      </w:r>
      <w:r>
        <w:rPr>
          <w:noProof/>
          <w:lang w:val="en-US"/>
        </w:rPr>
        <w:t>. Oxford University Press: September 2011, Oxford.</w:t>
      </w:r>
      <w:bookmarkEnd w:id="67"/>
    </w:p>
    <w:p w14:paraId="501CC7B9" w14:textId="77777777" w:rsidR="00D67197" w:rsidRDefault="00D67197" w:rsidP="00D67197">
      <w:pPr>
        <w:spacing w:after="240" w:line="240" w:lineRule="atLeast"/>
        <w:rPr>
          <w:noProof/>
          <w:lang w:val="en-US"/>
        </w:rPr>
      </w:pPr>
      <w:bookmarkStart w:id="68" w:name="_ENREF_56"/>
      <w:r>
        <w:rPr>
          <w:noProof/>
          <w:lang w:val="en-US"/>
        </w:rPr>
        <w:t xml:space="preserve">Musti, S., Kockelman, K.M. (2011) Evolution of the household vehicle fleet: Anticipating fleet composition, PHEV adoption and GHG emissions in Austin, Texas. </w:t>
      </w:r>
      <w:r w:rsidRPr="00D67197">
        <w:rPr>
          <w:i/>
          <w:noProof/>
          <w:lang w:val="en-US"/>
        </w:rPr>
        <w:t>Transp. Res.: Part A: Pol. Practice</w:t>
      </w:r>
      <w:r>
        <w:rPr>
          <w:noProof/>
          <w:lang w:val="en-US"/>
        </w:rPr>
        <w:t xml:space="preserve"> 45, 707-720.</w:t>
      </w:r>
      <w:bookmarkEnd w:id="68"/>
    </w:p>
    <w:p w14:paraId="1FBF4BDF" w14:textId="77777777" w:rsidR="00D67197" w:rsidRDefault="00D67197" w:rsidP="00D67197">
      <w:pPr>
        <w:spacing w:after="240" w:line="240" w:lineRule="atLeast"/>
        <w:rPr>
          <w:noProof/>
          <w:lang w:val="en-US"/>
        </w:rPr>
      </w:pPr>
      <w:bookmarkStart w:id="69" w:name="_ENREF_57"/>
      <w:r>
        <w:rPr>
          <w:noProof/>
          <w:lang w:val="en-US"/>
        </w:rPr>
        <w:t xml:space="preserve">Newberry, D.M. (1995) Royal commission report on transport and the environment – economic effects of recommendations. </w:t>
      </w:r>
      <w:r w:rsidRPr="00D67197">
        <w:rPr>
          <w:i/>
          <w:noProof/>
          <w:lang w:val="en-US"/>
        </w:rPr>
        <w:t>The Economic Journal</w:t>
      </w:r>
      <w:r>
        <w:rPr>
          <w:noProof/>
          <w:lang w:val="en-US"/>
        </w:rPr>
        <w:t xml:space="preserve"> 105, 1258-1272.</w:t>
      </w:r>
      <w:bookmarkEnd w:id="69"/>
    </w:p>
    <w:p w14:paraId="7141266E" w14:textId="77777777" w:rsidR="00D67197" w:rsidRDefault="00D67197" w:rsidP="00D67197">
      <w:pPr>
        <w:spacing w:after="240" w:line="240" w:lineRule="atLeast"/>
        <w:rPr>
          <w:noProof/>
          <w:lang w:val="en-US"/>
        </w:rPr>
      </w:pPr>
      <w:bookmarkStart w:id="70" w:name="_ENREF_58"/>
      <w:r>
        <w:rPr>
          <w:noProof/>
          <w:lang w:val="en-US"/>
        </w:rPr>
        <w:t xml:space="preserve">ONS (2007) </w:t>
      </w:r>
      <w:r w:rsidRPr="00D67197">
        <w:rPr>
          <w:i/>
          <w:noProof/>
          <w:lang w:val="en-US"/>
        </w:rPr>
        <w:t>Transport Statistics Bulletin: National Travel Survey 2006</w:t>
      </w:r>
      <w:r>
        <w:rPr>
          <w:noProof/>
          <w:lang w:val="en-US"/>
        </w:rPr>
        <w:t>. Office of National Statistics, Department for Transport, London.</w:t>
      </w:r>
      <w:bookmarkEnd w:id="70"/>
    </w:p>
    <w:p w14:paraId="2091B879" w14:textId="77777777" w:rsidR="00D67197" w:rsidRDefault="00D67197" w:rsidP="00D67197">
      <w:pPr>
        <w:spacing w:after="240" w:line="240" w:lineRule="atLeast"/>
        <w:rPr>
          <w:noProof/>
          <w:lang w:val="en-US"/>
        </w:rPr>
      </w:pPr>
      <w:bookmarkStart w:id="71" w:name="_ENREF_59"/>
      <w:r>
        <w:rPr>
          <w:noProof/>
          <w:lang w:val="en-US"/>
        </w:rPr>
        <w:t xml:space="preserve">Peters, A., Mueller, M.G., de Haan, P., Scholz, R.W. (2008) Feebates promoting energy-efficient cars: Design options to address more consumers and possible counteracting effects. </w:t>
      </w:r>
      <w:r w:rsidRPr="00D67197">
        <w:rPr>
          <w:i/>
          <w:noProof/>
          <w:lang w:val="en-US"/>
        </w:rPr>
        <w:t>Energy Policy</w:t>
      </w:r>
      <w:r>
        <w:rPr>
          <w:noProof/>
          <w:lang w:val="en-US"/>
        </w:rPr>
        <w:t xml:space="preserve"> 36, 1355-1365.</w:t>
      </w:r>
      <w:bookmarkEnd w:id="71"/>
    </w:p>
    <w:p w14:paraId="02EC7790" w14:textId="77777777" w:rsidR="00D67197" w:rsidRDefault="00D67197" w:rsidP="00D67197">
      <w:pPr>
        <w:spacing w:after="240" w:line="240" w:lineRule="atLeast"/>
        <w:rPr>
          <w:noProof/>
          <w:lang w:val="en-US"/>
        </w:rPr>
      </w:pPr>
      <w:bookmarkStart w:id="72" w:name="_ENREF_60"/>
      <w:r>
        <w:rPr>
          <w:noProof/>
          <w:lang w:val="en-US"/>
        </w:rPr>
        <w:t xml:space="preserve">Poudenx, P. (2008) The effect of transportation policies on energy consumption and greenhouse gas emission from urban passenger transportation. </w:t>
      </w:r>
      <w:r w:rsidRPr="00D67197">
        <w:rPr>
          <w:i/>
          <w:noProof/>
          <w:lang w:val="en-US"/>
        </w:rPr>
        <w:t>Transp. Res.: Part A: Pol. Practice</w:t>
      </w:r>
      <w:r>
        <w:rPr>
          <w:noProof/>
          <w:lang w:val="en-US"/>
        </w:rPr>
        <w:t xml:space="preserve"> 42, 901-909.</w:t>
      </w:r>
      <w:bookmarkEnd w:id="72"/>
    </w:p>
    <w:p w14:paraId="3B973302" w14:textId="77777777" w:rsidR="00D67197" w:rsidRDefault="00D67197" w:rsidP="00D67197">
      <w:pPr>
        <w:spacing w:after="240" w:line="240" w:lineRule="atLeast"/>
        <w:rPr>
          <w:noProof/>
          <w:lang w:val="en-US"/>
        </w:rPr>
      </w:pPr>
      <w:bookmarkStart w:id="73" w:name="_ENREF_61"/>
      <w:r>
        <w:rPr>
          <w:noProof/>
          <w:lang w:val="en-US"/>
        </w:rPr>
        <w:t xml:space="preserve">Rogan, F., Dennehy, E., Daly, H., Howley, M., Ó Gallachóir, B.P. (2011) Impacts of an emission based private car taxation policy - First year ex-post analysis. </w:t>
      </w:r>
      <w:r w:rsidRPr="00D67197">
        <w:rPr>
          <w:i/>
          <w:noProof/>
          <w:lang w:val="en-US"/>
        </w:rPr>
        <w:t>Transp. Res.: Part A: Pol. Practice</w:t>
      </w:r>
      <w:r>
        <w:rPr>
          <w:noProof/>
          <w:lang w:val="en-US"/>
        </w:rPr>
        <w:t xml:space="preserve"> 45, 583-597.</w:t>
      </w:r>
      <w:bookmarkEnd w:id="73"/>
    </w:p>
    <w:p w14:paraId="60402D8F" w14:textId="77777777" w:rsidR="00D67197" w:rsidRDefault="00D67197" w:rsidP="00D67197">
      <w:pPr>
        <w:spacing w:after="240" w:line="240" w:lineRule="atLeast"/>
        <w:rPr>
          <w:noProof/>
          <w:lang w:val="en-US"/>
        </w:rPr>
      </w:pPr>
      <w:bookmarkStart w:id="74" w:name="_ENREF_62"/>
      <w:r>
        <w:rPr>
          <w:noProof/>
          <w:lang w:val="en-US"/>
        </w:rPr>
        <w:t xml:space="preserve">Ross Morrow, W., Gallagher, K.S., Collantes, G., Lee, H. (2010) Analysis of policies to reduce oil consumption and greenhouse-gas emissions from the US transportation sector. </w:t>
      </w:r>
      <w:r w:rsidRPr="00D67197">
        <w:rPr>
          <w:i/>
          <w:noProof/>
          <w:lang w:val="en-US"/>
        </w:rPr>
        <w:t>Energy Policy</w:t>
      </w:r>
      <w:r>
        <w:rPr>
          <w:noProof/>
          <w:lang w:val="en-US"/>
        </w:rPr>
        <w:t xml:space="preserve"> 38, 1305-1320.</w:t>
      </w:r>
      <w:bookmarkEnd w:id="74"/>
    </w:p>
    <w:p w14:paraId="14E1CA41" w14:textId="77777777" w:rsidR="00D67197" w:rsidRDefault="00D67197" w:rsidP="00D67197">
      <w:pPr>
        <w:spacing w:after="240" w:line="240" w:lineRule="atLeast"/>
        <w:rPr>
          <w:noProof/>
          <w:lang w:val="en-US"/>
        </w:rPr>
      </w:pPr>
      <w:bookmarkStart w:id="75" w:name="_ENREF_63"/>
      <w:r>
        <w:rPr>
          <w:noProof/>
          <w:lang w:val="en-US"/>
        </w:rPr>
        <w:lastRenderedPageBreak/>
        <w:t xml:space="preserve">Ryan, L., Ferreira, S., Convery, F. (2009) The impact of fiscal and other measures on new passenger car sales and CO2 emissions intensity: Evidence from Europe. </w:t>
      </w:r>
      <w:r w:rsidRPr="00D67197">
        <w:rPr>
          <w:i/>
          <w:noProof/>
          <w:lang w:val="en-US"/>
        </w:rPr>
        <w:t>Energy Econ.</w:t>
      </w:r>
      <w:r>
        <w:rPr>
          <w:noProof/>
          <w:lang w:val="en-US"/>
        </w:rPr>
        <w:t xml:space="preserve"> 31, 365-374.</w:t>
      </w:r>
      <w:bookmarkEnd w:id="75"/>
    </w:p>
    <w:p w14:paraId="431C2325" w14:textId="77777777" w:rsidR="00D67197" w:rsidRDefault="00D67197" w:rsidP="00D67197">
      <w:pPr>
        <w:spacing w:after="240" w:line="240" w:lineRule="atLeast"/>
        <w:rPr>
          <w:noProof/>
          <w:lang w:val="en-US"/>
        </w:rPr>
      </w:pPr>
      <w:bookmarkStart w:id="76" w:name="_ENREF_64"/>
      <w:r>
        <w:rPr>
          <w:noProof/>
          <w:lang w:val="en-US"/>
        </w:rPr>
        <w:t xml:space="preserve">Santos, G., Behrendt, H., Maconi, L., Shirvani, T., Teytelboym, A. (2010) Part I: Externalities and economic policies in road transport. </w:t>
      </w:r>
      <w:r w:rsidRPr="00D67197">
        <w:rPr>
          <w:i/>
          <w:noProof/>
          <w:lang w:val="en-US"/>
        </w:rPr>
        <w:t>Research in Transportation Economics</w:t>
      </w:r>
      <w:r>
        <w:rPr>
          <w:noProof/>
          <w:lang w:val="en-US"/>
        </w:rPr>
        <w:t xml:space="preserve"> 28, 2-45.</w:t>
      </w:r>
      <w:bookmarkEnd w:id="76"/>
    </w:p>
    <w:p w14:paraId="414B935D" w14:textId="77777777" w:rsidR="00D67197" w:rsidRDefault="00D67197" w:rsidP="00D67197">
      <w:pPr>
        <w:spacing w:after="240" w:line="240" w:lineRule="atLeast"/>
        <w:rPr>
          <w:noProof/>
          <w:lang w:val="en-US"/>
        </w:rPr>
      </w:pPr>
      <w:bookmarkStart w:id="77" w:name="_ENREF_65"/>
      <w:r>
        <w:rPr>
          <w:noProof/>
          <w:lang w:val="en-US"/>
        </w:rPr>
        <w:t xml:space="preserve">Schipper, L., Saenger, C., Sudardshan, A. (2011) Transport and carbon emissions in the United States: The long view. </w:t>
      </w:r>
      <w:r w:rsidRPr="00D67197">
        <w:rPr>
          <w:i/>
          <w:noProof/>
          <w:lang w:val="en-US"/>
        </w:rPr>
        <w:t>Energies</w:t>
      </w:r>
      <w:r>
        <w:rPr>
          <w:noProof/>
          <w:lang w:val="en-US"/>
        </w:rPr>
        <w:t xml:space="preserve"> 4, 563-581.</w:t>
      </w:r>
      <w:bookmarkEnd w:id="77"/>
    </w:p>
    <w:p w14:paraId="2A70674C" w14:textId="77777777" w:rsidR="00D67197" w:rsidRDefault="00D67197" w:rsidP="00D67197">
      <w:pPr>
        <w:spacing w:after="240" w:line="240" w:lineRule="atLeast"/>
        <w:rPr>
          <w:noProof/>
          <w:lang w:val="en-US"/>
        </w:rPr>
      </w:pPr>
      <w:bookmarkStart w:id="78" w:name="_ENREF_66"/>
      <w:r>
        <w:rPr>
          <w:noProof/>
          <w:lang w:val="en-US"/>
        </w:rPr>
        <w:t xml:space="preserve">Skippon, S., Veeraraghavan, S., Ma, H., Gadd, P., Tait, N. (2012) Combining technology development and behaviour change to meet CO2 cumulative emission budgets for road transport: Case studies for the USA and Europe. </w:t>
      </w:r>
      <w:r w:rsidRPr="00D67197">
        <w:rPr>
          <w:i/>
          <w:noProof/>
          <w:lang w:val="en-US"/>
        </w:rPr>
        <w:t>Transp. Res.: Part A: Pol. Practice</w:t>
      </w:r>
      <w:r>
        <w:rPr>
          <w:noProof/>
          <w:lang w:val="en-US"/>
        </w:rPr>
        <w:t xml:space="preserve"> 46, 1405-1423.</w:t>
      </w:r>
      <w:bookmarkEnd w:id="78"/>
    </w:p>
    <w:p w14:paraId="3226A262" w14:textId="77777777" w:rsidR="00D67197" w:rsidRDefault="00D67197" w:rsidP="00D67197">
      <w:pPr>
        <w:spacing w:after="240" w:line="240" w:lineRule="atLeast"/>
        <w:rPr>
          <w:noProof/>
          <w:lang w:val="en-US"/>
        </w:rPr>
      </w:pPr>
      <w:bookmarkStart w:id="79" w:name="_ENREF_67"/>
      <w:r>
        <w:rPr>
          <w:noProof/>
          <w:lang w:val="en-US"/>
        </w:rPr>
        <w:t xml:space="preserve">Small, K., Van Dender, K. (2007) Fuel efficiency and motor vehicle travel: the declining rebound effect. </w:t>
      </w:r>
      <w:r w:rsidRPr="00D67197">
        <w:rPr>
          <w:i/>
          <w:noProof/>
          <w:lang w:val="en-US"/>
        </w:rPr>
        <w:t>Energy J.</w:t>
      </w:r>
      <w:r>
        <w:rPr>
          <w:noProof/>
          <w:lang w:val="en-US"/>
        </w:rPr>
        <w:t xml:space="preserve"> 28, 25–51.</w:t>
      </w:r>
      <w:bookmarkEnd w:id="79"/>
    </w:p>
    <w:p w14:paraId="7096F8AF" w14:textId="77777777" w:rsidR="00D67197" w:rsidRDefault="00D67197" w:rsidP="00D67197">
      <w:pPr>
        <w:spacing w:after="240" w:line="240" w:lineRule="atLeast"/>
        <w:rPr>
          <w:noProof/>
          <w:lang w:val="en-US"/>
        </w:rPr>
      </w:pPr>
      <w:bookmarkStart w:id="80" w:name="_ENREF_68"/>
      <w:r>
        <w:rPr>
          <w:noProof/>
          <w:lang w:val="en-US"/>
        </w:rPr>
        <w:t xml:space="preserve">SMMT (2008) </w:t>
      </w:r>
      <w:r w:rsidRPr="00D67197">
        <w:rPr>
          <w:i/>
          <w:noProof/>
          <w:lang w:val="en-US"/>
        </w:rPr>
        <w:t>New car CO2 report 2008: driving down emissions</w:t>
      </w:r>
      <w:r>
        <w:rPr>
          <w:noProof/>
          <w:lang w:val="en-US"/>
        </w:rPr>
        <w:t>. The Society of Motor Manufacturers and Traders (SMMT), London.</w:t>
      </w:r>
      <w:bookmarkEnd w:id="80"/>
    </w:p>
    <w:p w14:paraId="2AC3DC08" w14:textId="77777777" w:rsidR="00D67197" w:rsidRDefault="00D67197" w:rsidP="00D67197">
      <w:pPr>
        <w:spacing w:after="240" w:line="240" w:lineRule="atLeast"/>
        <w:rPr>
          <w:noProof/>
          <w:lang w:val="en-US"/>
        </w:rPr>
      </w:pPr>
      <w:bookmarkStart w:id="81" w:name="_ENREF_69"/>
      <w:r>
        <w:rPr>
          <w:noProof/>
          <w:lang w:val="en-US"/>
        </w:rPr>
        <w:t>SMMT (2010) Scrappage scheme comes to an end. Society of Motor Manufacturers and Traders (SMMT), London.</w:t>
      </w:r>
      <w:bookmarkEnd w:id="81"/>
    </w:p>
    <w:p w14:paraId="50EB672D" w14:textId="77777777" w:rsidR="00D67197" w:rsidRDefault="00D67197" w:rsidP="00D67197">
      <w:pPr>
        <w:spacing w:after="240" w:line="240" w:lineRule="atLeast"/>
        <w:rPr>
          <w:noProof/>
          <w:lang w:val="en-US"/>
        </w:rPr>
      </w:pPr>
      <w:bookmarkStart w:id="82" w:name="_ENREF_70"/>
      <w:r>
        <w:rPr>
          <w:noProof/>
          <w:lang w:val="en-US"/>
        </w:rPr>
        <w:t xml:space="preserve">SMMT (2011) </w:t>
      </w:r>
      <w:r w:rsidRPr="00D67197">
        <w:rPr>
          <w:i/>
          <w:noProof/>
          <w:lang w:val="en-US"/>
        </w:rPr>
        <w:t>New Car CO2 Report 2011: The 10th report</w:t>
      </w:r>
      <w:r>
        <w:rPr>
          <w:noProof/>
          <w:lang w:val="en-US"/>
        </w:rPr>
        <w:t>. The Society of Motor Manufacturers and Traders (SMMT), London.</w:t>
      </w:r>
      <w:bookmarkEnd w:id="82"/>
    </w:p>
    <w:p w14:paraId="0989989E" w14:textId="77777777" w:rsidR="00D67197" w:rsidRDefault="00D67197" w:rsidP="00D67197">
      <w:pPr>
        <w:spacing w:after="240" w:line="240" w:lineRule="atLeast"/>
        <w:rPr>
          <w:noProof/>
          <w:lang w:val="en-US"/>
        </w:rPr>
      </w:pPr>
      <w:bookmarkStart w:id="83" w:name="_ENREF_71"/>
      <w:r>
        <w:rPr>
          <w:noProof/>
          <w:lang w:val="en-US"/>
        </w:rPr>
        <w:t xml:space="preserve">Spitzley, D.V., Grande, D.E., Keoleian, G.A., Kim, H.C. (2005) Life cycle optimization of ownership costs and emissions reduction in US vehicle retirement decisions. </w:t>
      </w:r>
      <w:r w:rsidRPr="00D67197">
        <w:rPr>
          <w:i/>
          <w:noProof/>
          <w:lang w:val="en-US"/>
        </w:rPr>
        <w:t>Transp. Res.: Part D: Transport Environ.</w:t>
      </w:r>
      <w:r>
        <w:rPr>
          <w:noProof/>
          <w:lang w:val="en-US"/>
        </w:rPr>
        <w:t xml:space="preserve"> 10, 161-175.</w:t>
      </w:r>
      <w:bookmarkEnd w:id="83"/>
    </w:p>
    <w:p w14:paraId="2A218759" w14:textId="77777777" w:rsidR="00D67197" w:rsidRDefault="00D67197" w:rsidP="00D67197">
      <w:pPr>
        <w:spacing w:after="240" w:line="240" w:lineRule="atLeast"/>
        <w:rPr>
          <w:noProof/>
          <w:lang w:val="en-US"/>
        </w:rPr>
      </w:pPr>
      <w:bookmarkStart w:id="84" w:name="_ENREF_72"/>
      <w:r>
        <w:rPr>
          <w:noProof/>
          <w:lang w:val="en-US"/>
        </w:rPr>
        <w:t xml:space="preserve">Sterner, T. (2007) Fuel taxes: An important instrument for climate policy. </w:t>
      </w:r>
      <w:r w:rsidRPr="00D67197">
        <w:rPr>
          <w:i/>
          <w:noProof/>
          <w:lang w:val="en-US"/>
        </w:rPr>
        <w:t>Energy Policy</w:t>
      </w:r>
      <w:r>
        <w:rPr>
          <w:noProof/>
          <w:lang w:val="en-US"/>
        </w:rPr>
        <w:t xml:space="preserve"> 35, 3194-3202.</w:t>
      </w:r>
      <w:bookmarkEnd w:id="84"/>
    </w:p>
    <w:p w14:paraId="620B974E" w14:textId="77777777" w:rsidR="00D67197" w:rsidRDefault="00D67197" w:rsidP="00D67197">
      <w:pPr>
        <w:spacing w:after="240" w:line="240" w:lineRule="atLeast"/>
        <w:rPr>
          <w:noProof/>
          <w:lang w:val="en-US"/>
        </w:rPr>
      </w:pPr>
      <w:bookmarkStart w:id="85" w:name="_ENREF_73"/>
      <w:r>
        <w:rPr>
          <w:noProof/>
          <w:lang w:val="en-US"/>
        </w:rPr>
        <w:t xml:space="preserve">Strachan, N., Kannan, R. (2008) Hybrid modelling of long-term carbon reduction scenarios for the UK. </w:t>
      </w:r>
      <w:r w:rsidRPr="00D67197">
        <w:rPr>
          <w:i/>
          <w:noProof/>
          <w:lang w:val="en-US"/>
        </w:rPr>
        <w:t>Energy Econ.</w:t>
      </w:r>
      <w:r>
        <w:rPr>
          <w:noProof/>
          <w:lang w:val="en-US"/>
        </w:rPr>
        <w:t xml:space="preserve"> 30, 2947-2963.</w:t>
      </w:r>
      <w:bookmarkEnd w:id="85"/>
    </w:p>
    <w:p w14:paraId="44DDEF3E" w14:textId="77777777" w:rsidR="00D67197" w:rsidRDefault="00D67197" w:rsidP="00D67197">
      <w:pPr>
        <w:spacing w:after="240" w:line="240" w:lineRule="atLeast"/>
        <w:rPr>
          <w:noProof/>
          <w:lang w:val="en-US"/>
        </w:rPr>
      </w:pPr>
      <w:bookmarkStart w:id="86" w:name="_ENREF_74"/>
      <w:r>
        <w:rPr>
          <w:noProof/>
          <w:lang w:val="en-US"/>
        </w:rPr>
        <w:t xml:space="preserve">Strachan, N., Kannan, R., Pye, S. (2008) </w:t>
      </w:r>
      <w:r w:rsidRPr="00D67197">
        <w:rPr>
          <w:i/>
          <w:noProof/>
          <w:lang w:val="en-US"/>
        </w:rPr>
        <w:t>Scenarios and Sensitivities on Long-term UK Carbon Reductions using the UK MARKAL and MARKAL-Macro Energy System Models</w:t>
      </w:r>
      <w:r>
        <w:rPr>
          <w:noProof/>
          <w:lang w:val="en-US"/>
        </w:rPr>
        <w:t>. UK Energy Research Centre (UKERC), London.</w:t>
      </w:r>
      <w:bookmarkEnd w:id="86"/>
    </w:p>
    <w:p w14:paraId="07BAD572" w14:textId="3C20E8B0" w:rsidR="00D67197" w:rsidRDefault="00D67197" w:rsidP="00D67197">
      <w:pPr>
        <w:spacing w:after="240" w:line="240" w:lineRule="atLeast"/>
        <w:rPr>
          <w:noProof/>
          <w:lang w:val="en-US"/>
        </w:rPr>
      </w:pPr>
      <w:bookmarkStart w:id="87" w:name="_ENREF_75"/>
      <w:r>
        <w:rPr>
          <w:noProof/>
          <w:lang w:val="en-US"/>
        </w:rPr>
        <w:t xml:space="preserve">TNO (2006) </w:t>
      </w:r>
      <w:r w:rsidRPr="00D67197">
        <w:rPr>
          <w:i/>
          <w:noProof/>
          <w:lang w:val="en-US"/>
        </w:rPr>
        <w:t xml:space="preserve">Review and analysis of the reduction potential and costs of technological and other measures to reduce CO2-emissions from passenger cars, Retrieved at </w:t>
      </w:r>
      <w:hyperlink r:id="rId27" w:history="1">
        <w:r w:rsidRPr="00D67197">
          <w:rPr>
            <w:rStyle w:val="Hyperlink"/>
            <w:i/>
            <w:noProof/>
            <w:lang w:val="en-US"/>
          </w:rPr>
          <w:t>http://ec.europa.eu/enterprise/sectors/automotive/files/projects/report_co2_reduction_en.pdf</w:t>
        </w:r>
      </w:hyperlink>
      <w:r w:rsidRPr="00D67197">
        <w:rPr>
          <w:i/>
          <w:noProof/>
          <w:lang w:val="en-US"/>
        </w:rPr>
        <w:t xml:space="preserve"> on 10/02/11</w:t>
      </w:r>
      <w:r>
        <w:rPr>
          <w:noProof/>
          <w:lang w:val="en-US"/>
        </w:rPr>
        <w:t>. TNO Science and Industry business unit, Delft.</w:t>
      </w:r>
      <w:bookmarkEnd w:id="87"/>
    </w:p>
    <w:p w14:paraId="6E33AD94" w14:textId="77777777" w:rsidR="00D67197" w:rsidRDefault="00D67197" w:rsidP="00D67197">
      <w:pPr>
        <w:spacing w:after="240" w:line="240" w:lineRule="atLeast"/>
        <w:rPr>
          <w:noProof/>
          <w:lang w:val="en-US"/>
        </w:rPr>
      </w:pPr>
      <w:bookmarkStart w:id="88" w:name="_ENREF_76"/>
      <w:r>
        <w:rPr>
          <w:noProof/>
          <w:lang w:val="en-US"/>
        </w:rPr>
        <w:t xml:space="preserve">Train, K. (1985) Discount rates in consumers' energy-related decisions: A review of the literature. </w:t>
      </w:r>
      <w:r w:rsidRPr="00D67197">
        <w:rPr>
          <w:i/>
          <w:noProof/>
          <w:lang w:val="en-US"/>
        </w:rPr>
        <w:t>Energy</w:t>
      </w:r>
      <w:r>
        <w:rPr>
          <w:noProof/>
          <w:lang w:val="en-US"/>
        </w:rPr>
        <w:t xml:space="preserve"> 10, 1243-1253.</w:t>
      </w:r>
      <w:bookmarkEnd w:id="88"/>
    </w:p>
    <w:p w14:paraId="7052057F" w14:textId="77777777" w:rsidR="00D67197" w:rsidRDefault="00D67197" w:rsidP="00D67197">
      <w:pPr>
        <w:spacing w:after="240" w:line="240" w:lineRule="atLeast"/>
        <w:rPr>
          <w:noProof/>
          <w:lang w:val="en-US"/>
        </w:rPr>
      </w:pPr>
      <w:bookmarkStart w:id="89" w:name="_ENREF_77"/>
      <w:r>
        <w:rPr>
          <w:noProof/>
          <w:lang w:val="en-US"/>
        </w:rPr>
        <w:t xml:space="preserve">UK Committee on Climate Change (2009) </w:t>
      </w:r>
      <w:r w:rsidRPr="00D67197">
        <w:rPr>
          <w:i/>
          <w:noProof/>
          <w:lang w:val="en-US"/>
        </w:rPr>
        <w:t>Meeting carbon budgets – the need for a step change. Progress report to Parliament</w:t>
      </w:r>
      <w:r>
        <w:rPr>
          <w:noProof/>
          <w:lang w:val="en-US"/>
        </w:rPr>
        <w:t>. Committee on Climate Change, London.</w:t>
      </w:r>
      <w:bookmarkEnd w:id="89"/>
    </w:p>
    <w:p w14:paraId="542A8A58" w14:textId="77777777" w:rsidR="00D67197" w:rsidRDefault="00D67197" w:rsidP="00D67197">
      <w:pPr>
        <w:spacing w:after="240" w:line="240" w:lineRule="atLeast"/>
        <w:rPr>
          <w:noProof/>
          <w:lang w:val="en-US"/>
        </w:rPr>
      </w:pPr>
      <w:bookmarkStart w:id="90" w:name="_ENREF_78"/>
      <w:r>
        <w:rPr>
          <w:noProof/>
          <w:lang w:val="en-US"/>
        </w:rPr>
        <w:t xml:space="preserve">UK Committee on Climate Change (2011) </w:t>
      </w:r>
      <w:r w:rsidRPr="00D67197">
        <w:rPr>
          <w:i/>
          <w:noProof/>
          <w:lang w:val="en-US"/>
        </w:rPr>
        <w:t>Meeting Carbon Budgets - 3rd Progress Report to Parliament</w:t>
      </w:r>
      <w:r>
        <w:rPr>
          <w:noProof/>
          <w:lang w:val="en-US"/>
        </w:rPr>
        <w:t>. Committee on Climate Change, London.</w:t>
      </w:r>
      <w:bookmarkEnd w:id="90"/>
    </w:p>
    <w:p w14:paraId="5D7F9236" w14:textId="77777777" w:rsidR="00D67197" w:rsidRDefault="00D67197" w:rsidP="00D67197">
      <w:pPr>
        <w:spacing w:after="240" w:line="240" w:lineRule="atLeast"/>
        <w:rPr>
          <w:noProof/>
          <w:lang w:val="en-US"/>
        </w:rPr>
      </w:pPr>
      <w:bookmarkStart w:id="91" w:name="_ENREF_79"/>
      <w:r>
        <w:rPr>
          <w:noProof/>
          <w:lang w:val="en-US"/>
        </w:rPr>
        <w:lastRenderedPageBreak/>
        <w:t xml:space="preserve">UK DECC (2010a) </w:t>
      </w:r>
      <w:r w:rsidRPr="00D67197">
        <w:rPr>
          <w:i/>
          <w:noProof/>
          <w:lang w:val="en-US"/>
        </w:rPr>
        <w:t>Updated Energy and Emissions Projections, URN 10D/510, Annex D - Major Power Producers generation by source</w:t>
      </w:r>
      <w:r>
        <w:rPr>
          <w:noProof/>
          <w:lang w:val="en-US"/>
        </w:rPr>
        <w:t>. Department of Energy and Climate Change, London.</w:t>
      </w:r>
      <w:bookmarkEnd w:id="91"/>
    </w:p>
    <w:p w14:paraId="14FD5776" w14:textId="77777777" w:rsidR="00D67197" w:rsidRDefault="00D67197" w:rsidP="00D67197">
      <w:pPr>
        <w:spacing w:after="240" w:line="240" w:lineRule="atLeast"/>
        <w:rPr>
          <w:noProof/>
          <w:lang w:val="en-US"/>
        </w:rPr>
      </w:pPr>
      <w:bookmarkStart w:id="92" w:name="_ENREF_80"/>
      <w:r>
        <w:rPr>
          <w:noProof/>
          <w:lang w:val="en-US"/>
        </w:rPr>
        <w:t xml:space="preserve">UK DECC (2010b) </w:t>
      </w:r>
      <w:r w:rsidRPr="00D67197">
        <w:rPr>
          <w:i/>
          <w:noProof/>
          <w:lang w:val="en-US"/>
        </w:rPr>
        <w:t>Updated Energy and Emissions Projections, URN 10D/510, Annex F - Fossil fuel and retail price assumptions</w:t>
      </w:r>
      <w:r>
        <w:rPr>
          <w:noProof/>
          <w:lang w:val="en-US"/>
        </w:rPr>
        <w:t>. Department of Energy and Climate Change, London.</w:t>
      </w:r>
      <w:bookmarkEnd w:id="92"/>
    </w:p>
    <w:p w14:paraId="148B6612" w14:textId="77777777" w:rsidR="00D67197" w:rsidRDefault="00D67197" w:rsidP="00D67197">
      <w:pPr>
        <w:spacing w:after="240" w:line="240" w:lineRule="atLeast"/>
        <w:rPr>
          <w:noProof/>
          <w:lang w:val="en-US"/>
        </w:rPr>
      </w:pPr>
      <w:bookmarkStart w:id="93" w:name="_ENREF_81"/>
      <w:r>
        <w:rPr>
          <w:noProof/>
          <w:lang w:val="en-US"/>
        </w:rPr>
        <w:t xml:space="preserve">UK DfT (2003) </w:t>
      </w:r>
      <w:r w:rsidRPr="00D67197">
        <w:rPr>
          <w:i/>
          <w:noProof/>
          <w:lang w:val="en-US"/>
        </w:rPr>
        <w:t>Assessing the impact of graduated vehicle excise duty – qualitative research</w:t>
      </w:r>
      <w:r>
        <w:rPr>
          <w:noProof/>
          <w:lang w:val="en-US"/>
        </w:rPr>
        <w:t>. Department for Transport, UK, London.</w:t>
      </w:r>
      <w:bookmarkEnd w:id="93"/>
    </w:p>
    <w:p w14:paraId="5EFAAA14" w14:textId="77777777" w:rsidR="00D67197" w:rsidRDefault="00D67197" w:rsidP="00D67197">
      <w:pPr>
        <w:spacing w:after="240" w:line="240" w:lineRule="atLeast"/>
        <w:rPr>
          <w:noProof/>
          <w:lang w:val="en-US"/>
        </w:rPr>
      </w:pPr>
      <w:bookmarkStart w:id="94" w:name="_ENREF_82"/>
      <w:r>
        <w:rPr>
          <w:noProof/>
          <w:lang w:val="en-US"/>
        </w:rPr>
        <w:t xml:space="preserve">UK DfT (2010) </w:t>
      </w:r>
      <w:r w:rsidRPr="00D67197">
        <w:rPr>
          <w:i/>
          <w:noProof/>
          <w:lang w:val="en-US"/>
        </w:rPr>
        <w:t>Road Transport Forecasts 2009</w:t>
      </w:r>
      <w:r>
        <w:rPr>
          <w:noProof/>
          <w:lang w:val="en-US"/>
        </w:rPr>
        <w:t>. Department for Transport (DfT), The Stationary Office, London.</w:t>
      </w:r>
      <w:bookmarkEnd w:id="94"/>
    </w:p>
    <w:p w14:paraId="46E8715B" w14:textId="77777777" w:rsidR="00D67197" w:rsidRDefault="00D67197" w:rsidP="00D67197">
      <w:pPr>
        <w:spacing w:after="240" w:line="240" w:lineRule="atLeast"/>
        <w:rPr>
          <w:noProof/>
          <w:lang w:val="en-US"/>
        </w:rPr>
      </w:pPr>
      <w:bookmarkStart w:id="95" w:name="_ENREF_83"/>
      <w:r>
        <w:rPr>
          <w:noProof/>
          <w:lang w:val="en-US"/>
        </w:rPr>
        <w:t xml:space="preserve">UK Energy Research Centre (2009) </w:t>
      </w:r>
      <w:r w:rsidRPr="00D67197">
        <w:rPr>
          <w:i/>
          <w:noProof/>
          <w:lang w:val="en-US"/>
        </w:rPr>
        <w:t>Making the transition to a secure and low-carbon energy system: synthesis report</w:t>
      </w:r>
      <w:r>
        <w:rPr>
          <w:noProof/>
          <w:lang w:val="en-US"/>
        </w:rPr>
        <w:t>. UK Energy Research Centre, London.</w:t>
      </w:r>
      <w:bookmarkEnd w:id="95"/>
    </w:p>
    <w:p w14:paraId="775DE2A8" w14:textId="77777777" w:rsidR="00D67197" w:rsidRDefault="00D67197" w:rsidP="00D67197">
      <w:pPr>
        <w:spacing w:after="240" w:line="240" w:lineRule="atLeast"/>
        <w:rPr>
          <w:noProof/>
          <w:lang w:val="en-US"/>
        </w:rPr>
      </w:pPr>
      <w:bookmarkStart w:id="96" w:name="_ENREF_84"/>
      <w:r>
        <w:rPr>
          <w:noProof/>
          <w:lang w:val="en-US"/>
        </w:rPr>
        <w:t xml:space="preserve">UK House of Commons (2010) </w:t>
      </w:r>
      <w:r w:rsidRPr="00D67197">
        <w:rPr>
          <w:i/>
          <w:noProof/>
          <w:lang w:val="en-US"/>
        </w:rPr>
        <w:t>Vehicle Excise Duty (VED), Standard Note: SN/BT/1482</w:t>
      </w:r>
      <w:r>
        <w:rPr>
          <w:noProof/>
          <w:lang w:val="en-US"/>
        </w:rPr>
        <w:t>. UK House of Commons, London.</w:t>
      </w:r>
      <w:bookmarkEnd w:id="96"/>
    </w:p>
    <w:p w14:paraId="17DF610B" w14:textId="77777777" w:rsidR="00D67197" w:rsidRDefault="00D67197" w:rsidP="00D67197">
      <w:pPr>
        <w:spacing w:after="240" w:line="240" w:lineRule="atLeast"/>
        <w:rPr>
          <w:noProof/>
          <w:lang w:val="en-US"/>
        </w:rPr>
      </w:pPr>
      <w:bookmarkStart w:id="97" w:name="_ENREF_85"/>
      <w:r>
        <w:rPr>
          <w:noProof/>
          <w:lang w:val="en-US"/>
        </w:rPr>
        <w:t xml:space="preserve">WBCSD (2004) </w:t>
      </w:r>
      <w:r w:rsidRPr="00D67197">
        <w:rPr>
          <w:i/>
          <w:noProof/>
          <w:lang w:val="en-US"/>
        </w:rPr>
        <w:t>Mobility 2030: Meeting the Challenges to Sustainability</w:t>
      </w:r>
      <w:r>
        <w:rPr>
          <w:noProof/>
          <w:lang w:val="en-US"/>
        </w:rPr>
        <w:t>. World Business Council for Sustainable Development (WBCSD), Geneva.</w:t>
      </w:r>
      <w:bookmarkEnd w:id="97"/>
    </w:p>
    <w:p w14:paraId="1AD01782" w14:textId="77777777" w:rsidR="00D67197" w:rsidRDefault="00D67197" w:rsidP="00D67197">
      <w:pPr>
        <w:spacing w:after="240" w:line="240" w:lineRule="atLeast"/>
        <w:rPr>
          <w:noProof/>
          <w:lang w:val="en-US"/>
        </w:rPr>
      </w:pPr>
      <w:bookmarkStart w:id="98" w:name="_ENREF_86"/>
      <w:r>
        <w:rPr>
          <w:noProof/>
          <w:lang w:val="en-US"/>
        </w:rPr>
        <w:t xml:space="preserve">WEC (2007) </w:t>
      </w:r>
      <w:r w:rsidRPr="00D67197">
        <w:rPr>
          <w:i/>
          <w:noProof/>
          <w:lang w:val="en-US"/>
        </w:rPr>
        <w:t>Transport Technologies and Policy Scenarios to 2050</w:t>
      </w:r>
      <w:r>
        <w:rPr>
          <w:noProof/>
          <w:lang w:val="en-US"/>
        </w:rPr>
        <w:t>. World Energy Council (WEC), London, UK.</w:t>
      </w:r>
      <w:bookmarkEnd w:id="98"/>
    </w:p>
    <w:p w14:paraId="0E9DC706" w14:textId="77777777" w:rsidR="00D67197" w:rsidRDefault="00D67197" w:rsidP="00D67197">
      <w:pPr>
        <w:spacing w:line="240" w:lineRule="atLeast"/>
        <w:rPr>
          <w:noProof/>
          <w:lang w:val="en-US"/>
        </w:rPr>
      </w:pPr>
      <w:bookmarkStart w:id="99" w:name="_ENREF_87"/>
      <w:r>
        <w:rPr>
          <w:noProof/>
          <w:lang w:val="en-US"/>
        </w:rPr>
        <w:t xml:space="preserve">Zimmermannova, J. (2012) Ex-post analysis of impacts of the car registration fee in the Czech Republic. </w:t>
      </w:r>
      <w:r w:rsidRPr="00D67197">
        <w:rPr>
          <w:i/>
          <w:noProof/>
          <w:lang w:val="en-US"/>
        </w:rPr>
        <w:t>Transp. Res.: Part A: Pol. Practice</w:t>
      </w:r>
      <w:r>
        <w:rPr>
          <w:noProof/>
          <w:lang w:val="en-US"/>
        </w:rPr>
        <w:t xml:space="preserve"> 46, 1458-1464.</w:t>
      </w:r>
      <w:bookmarkEnd w:id="99"/>
    </w:p>
    <w:p w14:paraId="4632AA64" w14:textId="15B2FCED" w:rsidR="00D67197" w:rsidRDefault="00D67197" w:rsidP="00D67197">
      <w:pPr>
        <w:spacing w:line="240" w:lineRule="atLeast"/>
        <w:rPr>
          <w:noProof/>
          <w:lang w:val="en-US"/>
        </w:rPr>
      </w:pPr>
    </w:p>
    <w:p w14:paraId="5C6CB669" w14:textId="446A89BB" w:rsidR="00061FDF" w:rsidRPr="009E5518" w:rsidRDefault="00880B2F" w:rsidP="009E5518">
      <w:pPr>
        <w:rPr>
          <w:lang w:val="en-US"/>
        </w:rPr>
      </w:pPr>
      <w:r w:rsidRPr="000D65CF">
        <w:rPr>
          <w:lang w:val="en-US"/>
        </w:rPr>
        <w:fldChar w:fldCharType="end"/>
      </w:r>
      <w:r w:rsidR="006C04F3" w:rsidRPr="00C64BF5">
        <w:rPr>
          <w:lang w:val="en-US"/>
        </w:rPr>
        <w:t xml:space="preserve"> </w:t>
      </w:r>
    </w:p>
    <w:sectPr w:rsidR="00061FDF" w:rsidRPr="009E5518" w:rsidSect="001F17EE">
      <w:headerReference w:type="even" r:id="rId28"/>
      <w:footerReference w:type="even" r:id="rId29"/>
      <w:footerReference w:type="default" r:id="rId30"/>
      <w:type w:val="continuous"/>
      <w:pgSz w:w="11899" w:h="16838"/>
      <w:pgMar w:top="1134" w:right="1134" w:bottom="1418" w:left="1418"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7F09C5B" w14:textId="77777777" w:rsidR="007B0396" w:rsidRDefault="007B0396">
      <w:r>
        <w:separator/>
      </w:r>
    </w:p>
  </w:endnote>
  <w:endnote w:type="continuationSeparator" w:id="0">
    <w:p w14:paraId="1FC690DB" w14:textId="77777777" w:rsidR="007B0396" w:rsidRDefault="007B039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ranklinGothicBook">
    <w:panose1 w:val="00000000000000000000"/>
    <w:charset w:val="00"/>
    <w:family w:val="auto"/>
    <w:notTrueType/>
    <w:pitch w:val="default"/>
    <w:sig w:usb0="00000003" w:usb1="00000000" w:usb2="00000000" w:usb3="00000000" w:csb0="00000001" w:csb1="00000000"/>
  </w:font>
  <w:font w:name="Times">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Arial Black">
    <w:panose1 w:val="020B0A04020102020204"/>
    <w:charset w:val="00"/>
    <w:family w:val="swiss"/>
    <w:pitch w:val="variable"/>
    <w:sig w:usb0="00000287" w:usb1="00000000" w:usb2="00000000" w:usb3="00000000" w:csb0="0000009F" w:csb1="00000000"/>
  </w:font>
  <w:font w:name="Lucida Grande">
    <w:altName w:val="Lucida Sans"/>
    <w:charset w:val="00"/>
    <w:family w:val="auto"/>
    <w:pitch w:val="variable"/>
    <w:sig w:usb0="E1000AEF" w:usb1="5000A1FF" w:usb2="00000000" w:usb3="00000000" w:csb0="000001B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Garamond">
    <w:panose1 w:val="02020404030301010803"/>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CAB3C08" w14:textId="77777777" w:rsidR="00D67197" w:rsidRDefault="00D67197">
    <w:pPr>
      <w:pStyle w:val="Footer"/>
    </w:pPr>
  </w:p>
  <w:p w14:paraId="402AB9E0" w14:textId="77777777" w:rsidR="00D67197" w:rsidRDefault="00D67197"/>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AC52E2" w14:textId="77777777" w:rsidR="00D67197" w:rsidRDefault="00D67197">
    <w:pPr>
      <w:jc w:val="right"/>
      <w:rPr>
        <w:sz w:val="18"/>
      </w:rPr>
    </w:pPr>
    <w:r>
      <w:rPr>
        <w:sz w:val="18"/>
      </w:rPr>
      <w:fldChar w:fldCharType="begin"/>
    </w:r>
    <w:r>
      <w:rPr>
        <w:sz w:val="18"/>
      </w:rPr>
      <w:instrText xml:space="preserve"> PAGE </w:instrText>
    </w:r>
    <w:r>
      <w:rPr>
        <w:sz w:val="18"/>
      </w:rPr>
      <w:fldChar w:fldCharType="separate"/>
    </w:r>
    <w:r w:rsidR="00925F5D">
      <w:rPr>
        <w:noProof/>
        <w:sz w:val="18"/>
      </w:rPr>
      <w:t>2</w:t>
    </w:r>
    <w:r>
      <w:rPr>
        <w:sz w:val="18"/>
      </w:rPr>
      <w:fldChar w:fldCharType="end"/>
    </w:r>
    <w:r>
      <w:rPr>
        <w:sz w:val="18"/>
      </w:rPr>
      <w:t xml:space="preserve"> of </w:t>
    </w:r>
    <w:r>
      <w:rPr>
        <w:sz w:val="18"/>
      </w:rPr>
      <w:fldChar w:fldCharType="begin"/>
    </w:r>
    <w:r>
      <w:rPr>
        <w:sz w:val="18"/>
      </w:rPr>
      <w:instrText xml:space="preserve"> NUMPAGES </w:instrText>
    </w:r>
    <w:r>
      <w:rPr>
        <w:sz w:val="18"/>
      </w:rPr>
      <w:fldChar w:fldCharType="separate"/>
    </w:r>
    <w:r w:rsidR="00925F5D">
      <w:rPr>
        <w:noProof/>
        <w:sz w:val="18"/>
      </w:rPr>
      <w:t>32</w:t>
    </w:r>
    <w:r>
      <w:rPr>
        <w:sz w:val="18"/>
      </w:rPr>
      <w:fldChar w:fldCharType="end"/>
    </w:r>
  </w:p>
  <w:p w14:paraId="5AF49BCA" w14:textId="77777777" w:rsidR="00D67197" w:rsidRDefault="00D67197"/>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C5987F9" w14:textId="77777777" w:rsidR="007B0396" w:rsidRDefault="007B0396">
      <w:r>
        <w:separator/>
      </w:r>
    </w:p>
  </w:footnote>
  <w:footnote w:type="continuationSeparator" w:id="0">
    <w:p w14:paraId="21F97C7E" w14:textId="77777777" w:rsidR="007B0396" w:rsidRDefault="007B0396">
      <w:r>
        <w:continuationSeparator/>
      </w:r>
    </w:p>
  </w:footnote>
  <w:footnote w:id="1">
    <w:p w14:paraId="43723A9E" w14:textId="47A00D54" w:rsidR="00D67197" w:rsidRPr="00907602" w:rsidRDefault="00D67197">
      <w:pPr>
        <w:pStyle w:val="FootnoteText"/>
      </w:pPr>
      <w:r>
        <w:rPr>
          <w:rStyle w:val="FootnoteReference"/>
        </w:rPr>
        <w:footnoteRef/>
      </w:r>
      <w:r>
        <w:t xml:space="preserve"> </w:t>
      </w:r>
      <w:r>
        <w:rPr>
          <w:lang w:val="en-GB"/>
        </w:rPr>
        <w:t xml:space="preserve">GHG emissions are </w:t>
      </w:r>
      <w:r w:rsidRPr="00106DE4">
        <w:rPr>
          <w:lang w:val="en-GB"/>
        </w:rPr>
        <w:t xml:space="preserve">expressed </w:t>
      </w:r>
      <w:r>
        <w:rPr>
          <w:lang w:val="en-GB"/>
        </w:rPr>
        <w:t>in this paper</w:t>
      </w:r>
      <w:r w:rsidRPr="00106DE4">
        <w:rPr>
          <w:lang w:val="en-GB"/>
        </w:rPr>
        <w:t xml:space="preserve"> as </w:t>
      </w:r>
      <w:r>
        <w:rPr>
          <w:lang w:val="en-GB"/>
        </w:rPr>
        <w:t>carbon dioxide (</w:t>
      </w:r>
      <w:r w:rsidRPr="00106DE4">
        <w:rPr>
          <w:lang w:val="en-GB"/>
        </w:rPr>
        <w:t>CO</w:t>
      </w:r>
      <w:r w:rsidRPr="00106DE4">
        <w:rPr>
          <w:vertAlign w:val="subscript"/>
          <w:lang w:val="en-GB"/>
        </w:rPr>
        <w:t>2</w:t>
      </w:r>
      <w:r>
        <w:rPr>
          <w:lang w:val="en-GB"/>
        </w:rPr>
        <w:t xml:space="preserve">) </w:t>
      </w:r>
      <w:r w:rsidRPr="00106DE4">
        <w:rPr>
          <w:lang w:val="en-GB"/>
        </w:rPr>
        <w:t>equivalent, CO</w:t>
      </w:r>
      <w:r w:rsidRPr="00106DE4">
        <w:rPr>
          <w:vertAlign w:val="subscript"/>
          <w:lang w:val="en-GB"/>
        </w:rPr>
        <w:t>2</w:t>
      </w:r>
      <w:r w:rsidRPr="00F82265">
        <w:rPr>
          <w:lang w:val="en-GB"/>
        </w:rPr>
        <w:t>e</w:t>
      </w:r>
      <w:r w:rsidRPr="00106DE4">
        <w:rPr>
          <w:lang w:val="en-GB"/>
        </w:rPr>
        <w:t xml:space="preserve">, based on </w:t>
      </w:r>
      <w:r>
        <w:rPr>
          <w:lang w:val="en-GB"/>
        </w:rPr>
        <w:t xml:space="preserve">the </w:t>
      </w:r>
      <w:r w:rsidRPr="00106DE4">
        <w:rPr>
          <w:lang w:val="en-GB"/>
        </w:rPr>
        <w:t>100-year global warming potential</w:t>
      </w:r>
      <w:r>
        <w:rPr>
          <w:lang w:val="en-GB"/>
        </w:rPr>
        <w:t>s</w:t>
      </w:r>
      <w:r w:rsidRPr="00106DE4">
        <w:rPr>
          <w:lang w:val="en-GB"/>
        </w:rPr>
        <w:t xml:space="preserve"> of CO</w:t>
      </w:r>
      <w:r w:rsidRPr="00106DE4">
        <w:rPr>
          <w:vertAlign w:val="subscript"/>
          <w:lang w:val="en-GB"/>
        </w:rPr>
        <w:t>2</w:t>
      </w:r>
      <w:r w:rsidRPr="00106DE4">
        <w:rPr>
          <w:lang w:val="en-GB"/>
        </w:rPr>
        <w:t xml:space="preserve">, </w:t>
      </w:r>
      <w:r>
        <w:rPr>
          <w:lang w:val="en-GB"/>
        </w:rPr>
        <w:t>methane (</w:t>
      </w:r>
      <w:r w:rsidRPr="00106DE4">
        <w:rPr>
          <w:lang w:val="en-GB"/>
        </w:rPr>
        <w:t>CH</w:t>
      </w:r>
      <w:r w:rsidRPr="00106DE4">
        <w:rPr>
          <w:vertAlign w:val="subscript"/>
          <w:lang w:val="en-GB"/>
        </w:rPr>
        <w:t>4</w:t>
      </w:r>
      <w:r>
        <w:rPr>
          <w:lang w:val="en-GB"/>
        </w:rPr>
        <w:t xml:space="preserve">) </w:t>
      </w:r>
      <w:r w:rsidRPr="00106DE4">
        <w:rPr>
          <w:lang w:val="en-GB"/>
        </w:rPr>
        <w:t>and</w:t>
      </w:r>
      <w:r>
        <w:rPr>
          <w:lang w:val="en-GB"/>
        </w:rPr>
        <w:t xml:space="preserve"> nitrous oxide</w:t>
      </w:r>
      <w:r w:rsidRPr="00106DE4">
        <w:rPr>
          <w:lang w:val="en-GB"/>
        </w:rPr>
        <w:t xml:space="preserve"> </w:t>
      </w:r>
      <w:r>
        <w:rPr>
          <w:lang w:val="en-GB"/>
        </w:rPr>
        <w:t>(</w:t>
      </w:r>
      <w:r w:rsidRPr="00106DE4">
        <w:rPr>
          <w:lang w:val="en-GB"/>
        </w:rPr>
        <w:t>N</w:t>
      </w:r>
      <w:r w:rsidRPr="00106DE4">
        <w:rPr>
          <w:vertAlign w:val="subscript"/>
          <w:lang w:val="en-GB"/>
        </w:rPr>
        <w:t>2</w:t>
      </w:r>
      <w:r w:rsidRPr="00106DE4">
        <w:rPr>
          <w:lang w:val="en-GB"/>
        </w:rPr>
        <w:t>O</w:t>
      </w:r>
      <w:r>
        <w:rPr>
          <w:lang w:val="en-GB"/>
        </w:rPr>
        <w:t>).</w:t>
      </w:r>
    </w:p>
  </w:footnote>
  <w:footnote w:id="2">
    <w:p w14:paraId="44976A32" w14:textId="77777777" w:rsidR="00D67197" w:rsidRPr="00884BB1" w:rsidRDefault="00D67197" w:rsidP="00907602">
      <w:pPr>
        <w:pStyle w:val="FootnoteText"/>
        <w:rPr>
          <w:lang w:val="en-GB"/>
        </w:rPr>
      </w:pPr>
      <w:r>
        <w:rPr>
          <w:rStyle w:val="FootnoteReference"/>
        </w:rPr>
        <w:footnoteRef/>
      </w:r>
      <w:r>
        <w:t xml:space="preserve"> </w:t>
      </w:r>
      <w:r w:rsidRPr="00884BB1">
        <w:rPr>
          <w:lang w:val="en-GB"/>
        </w:rPr>
        <w:t xml:space="preserve">In this paper we define life cycle energy use and emissions as the sum of </w:t>
      </w:r>
      <w:r w:rsidRPr="00884BB1">
        <w:rPr>
          <w:i/>
          <w:lang w:val="en-GB"/>
        </w:rPr>
        <w:t>direct</w:t>
      </w:r>
      <w:r w:rsidRPr="00884BB1">
        <w:rPr>
          <w:lang w:val="en-GB"/>
        </w:rPr>
        <w:t xml:space="preserve"> (tank-to-wheel, tailpipe, at source) and </w:t>
      </w:r>
      <w:r w:rsidRPr="00884BB1">
        <w:rPr>
          <w:i/>
          <w:lang w:val="en-GB"/>
        </w:rPr>
        <w:t>indirect</w:t>
      </w:r>
      <w:r w:rsidRPr="00884BB1">
        <w:rPr>
          <w:lang w:val="en-GB"/>
        </w:rPr>
        <w:t xml:space="preserve"> (well-to-tank or upstream emissions from fuel supply, plus process emissions from vehicle manufacture, maintenance and scrappage) energy use and emissions.</w:t>
      </w:r>
    </w:p>
  </w:footnote>
  <w:footnote w:id="3">
    <w:p w14:paraId="6F7AE510" w14:textId="77777777" w:rsidR="00D67197" w:rsidRPr="00793FA8" w:rsidRDefault="00D67197" w:rsidP="002F70EB">
      <w:pPr>
        <w:pStyle w:val="FootnoteText"/>
        <w:rPr>
          <w:lang w:val="en-GB"/>
        </w:rPr>
      </w:pPr>
      <w:r w:rsidRPr="00793FA8">
        <w:rPr>
          <w:rStyle w:val="FootnoteReference"/>
          <w:lang w:val="en-GB"/>
        </w:rPr>
        <w:footnoteRef/>
      </w:r>
      <w:r w:rsidRPr="00793FA8">
        <w:rPr>
          <w:lang w:val="en-GB"/>
        </w:rPr>
        <w:t xml:space="preserve"> </w:t>
      </w:r>
      <w:r>
        <w:rPr>
          <w:lang w:val="en-GB"/>
        </w:rPr>
        <w:t xml:space="preserve">In March 2011, the average price of gasoline was GBP1.33, including GBP0.58 for road fuel duty and GBP0.22 for value added tax (VAT). Thus, 60% of the price of gasoline was tax. </w:t>
      </w:r>
    </w:p>
  </w:footnote>
  <w:footnote w:id="4">
    <w:p w14:paraId="79F32369" w14:textId="77777777" w:rsidR="00D67197" w:rsidRPr="00E36B50" w:rsidRDefault="00D67197">
      <w:pPr>
        <w:pStyle w:val="FootnoteText"/>
        <w:rPr>
          <w:lang w:val="en-GB"/>
        </w:rPr>
      </w:pPr>
      <w:r>
        <w:rPr>
          <w:rStyle w:val="FootnoteReference"/>
        </w:rPr>
        <w:footnoteRef/>
      </w:r>
      <w:r>
        <w:t xml:space="preserve"> </w:t>
      </w:r>
      <w:proofErr w:type="spellStart"/>
      <w:r>
        <w:t>Unless</w:t>
      </w:r>
      <w:proofErr w:type="spellEnd"/>
      <w:r>
        <w:t xml:space="preserve"> </w:t>
      </w:r>
      <w:proofErr w:type="spellStart"/>
      <w:r>
        <w:t>noted</w:t>
      </w:r>
      <w:proofErr w:type="spellEnd"/>
      <w:r>
        <w:t xml:space="preserve"> </w:t>
      </w:r>
      <w:proofErr w:type="spellStart"/>
      <w:r>
        <w:t>otherwise</w:t>
      </w:r>
      <w:proofErr w:type="spellEnd"/>
      <w:r>
        <w:t xml:space="preserve"> all </w:t>
      </w:r>
      <w:proofErr w:type="spellStart"/>
      <w:r>
        <w:t>currency</w:t>
      </w:r>
      <w:proofErr w:type="spellEnd"/>
      <w:r>
        <w:t xml:space="preserve"> </w:t>
      </w:r>
      <w:proofErr w:type="spellStart"/>
      <w:r>
        <w:t>figures</w:t>
      </w:r>
      <w:proofErr w:type="spellEnd"/>
      <w:r>
        <w:t xml:space="preserve"> </w:t>
      </w:r>
      <w:proofErr w:type="spellStart"/>
      <w:r>
        <w:t>were</w:t>
      </w:r>
      <w:proofErr w:type="spellEnd"/>
      <w:r>
        <w:t xml:space="preserve"> </w:t>
      </w:r>
      <w:proofErr w:type="spellStart"/>
      <w:r>
        <w:t>converted</w:t>
      </w:r>
      <w:proofErr w:type="spellEnd"/>
      <w:r>
        <w:t xml:space="preserve"> </w:t>
      </w:r>
      <w:proofErr w:type="spellStart"/>
      <w:r>
        <w:t>to</w:t>
      </w:r>
      <w:proofErr w:type="spellEnd"/>
      <w:r>
        <w:t xml:space="preserve"> </w:t>
      </w:r>
      <w:r>
        <w:rPr>
          <w:lang w:val="en-US"/>
        </w:rPr>
        <w:t>2009 prices.</w:t>
      </w:r>
    </w:p>
  </w:footnote>
  <w:footnote w:id="5">
    <w:p w14:paraId="7FA2597E" w14:textId="77777777" w:rsidR="00D67197" w:rsidRPr="0064494E" w:rsidRDefault="00D67197">
      <w:pPr>
        <w:pStyle w:val="FootnoteText"/>
        <w:rPr>
          <w:lang w:val="en-GB"/>
        </w:rPr>
      </w:pPr>
      <w:r>
        <w:rPr>
          <w:rStyle w:val="FootnoteReference"/>
        </w:rPr>
        <w:footnoteRef/>
      </w:r>
      <w:r>
        <w:t xml:space="preserve"> </w:t>
      </w:r>
      <w:proofErr w:type="spellStart"/>
      <w:r>
        <w:t>Converted</w:t>
      </w:r>
      <w:proofErr w:type="spellEnd"/>
      <w:r>
        <w:t xml:space="preserve"> </w:t>
      </w:r>
      <w:proofErr w:type="spellStart"/>
      <w:r>
        <w:t>using</w:t>
      </w:r>
      <w:proofErr w:type="spellEnd"/>
      <w:r>
        <w:t xml:space="preserve"> </w:t>
      </w:r>
      <w:hyperlink r:id="rId1" w:history="1">
        <w:r w:rsidRPr="00224E09">
          <w:rPr>
            <w:rStyle w:val="Hyperlink"/>
          </w:rPr>
          <w:t>www.xe.com</w:t>
        </w:r>
      </w:hyperlink>
      <w:r>
        <w:t xml:space="preserve"> and </w:t>
      </w:r>
      <w:proofErr w:type="spellStart"/>
      <w:r>
        <w:t>assuming</w:t>
      </w:r>
      <w:proofErr w:type="spellEnd"/>
      <w:r>
        <w:t xml:space="preserve"> </w:t>
      </w:r>
      <w:r>
        <w:rPr>
          <w:lang w:val="en-US"/>
        </w:rPr>
        <w:t>mid 2009 currency conversion values.</w:t>
      </w:r>
    </w:p>
  </w:footnote>
  <w:footnote w:id="6">
    <w:p w14:paraId="12503BC6" w14:textId="77777777" w:rsidR="00D67197" w:rsidRPr="0083567E" w:rsidRDefault="00D67197" w:rsidP="008A36A2">
      <w:pPr>
        <w:pStyle w:val="FootnoteText"/>
        <w:rPr>
          <w:lang w:val="en-GB"/>
        </w:rPr>
      </w:pPr>
      <w:r w:rsidRPr="0083567E">
        <w:rPr>
          <w:rStyle w:val="FootnoteReference"/>
        </w:rPr>
        <w:footnoteRef/>
      </w:r>
      <w:r w:rsidRPr="0083567E">
        <w:t xml:space="preserve"> </w:t>
      </w:r>
      <w:r w:rsidRPr="0083567E">
        <w:rPr>
          <w:lang w:val="en-GB"/>
        </w:rPr>
        <w:t>A UKTCM ‘vehicle technology’ is defined as a typical representative of a combination of transport type (passenger or freight), vehicle type (e</w:t>
      </w:r>
      <w:r>
        <w:rPr>
          <w:lang w:val="en-GB"/>
        </w:rPr>
        <w:t>.g. motorcycle, car, HGV, train</w:t>
      </w:r>
      <w:r w:rsidRPr="0083567E">
        <w:rPr>
          <w:lang w:val="en-GB"/>
        </w:rPr>
        <w:t>), vehicle size (e.g. small car, v</w:t>
      </w:r>
      <w:r>
        <w:rPr>
          <w:lang w:val="en-GB"/>
        </w:rPr>
        <w:t>an, heavy truck, intercity rail</w:t>
      </w:r>
      <w:r w:rsidRPr="0083567E">
        <w:rPr>
          <w:lang w:val="en-GB"/>
        </w:rPr>
        <w:t>), fuel type (e.g. gasoline, diesel, E85, electricity), ‘vintage’ (e.g. ICV Euro IV 2005-09, ICV “Euro VIII” 2020-24, fuel cell EV Standard 3) and hybridis</w:t>
      </w:r>
      <w:r>
        <w:rPr>
          <w:lang w:val="en-GB"/>
        </w:rPr>
        <w:t>ation (ICV, HEV, PHEV). ‘</w:t>
      </w:r>
      <w:proofErr w:type="spellStart"/>
      <w:r>
        <w:rPr>
          <w:lang w:val="en-GB"/>
        </w:rPr>
        <w:t>Vintaging</w:t>
      </w:r>
      <w:proofErr w:type="spellEnd"/>
      <w:r w:rsidRPr="0083567E">
        <w:rPr>
          <w:lang w:val="en-GB"/>
        </w:rPr>
        <w:t xml:space="preserve">’ is used to simulate changes in performance, </w:t>
      </w:r>
      <w:r>
        <w:rPr>
          <w:lang w:val="en-GB"/>
        </w:rPr>
        <w:t xml:space="preserve">efficiencies, </w:t>
      </w:r>
      <w:r w:rsidRPr="0083567E">
        <w:rPr>
          <w:lang w:val="en-GB"/>
        </w:rPr>
        <w:t>preferences</w:t>
      </w:r>
      <w:r>
        <w:rPr>
          <w:lang w:val="en-GB"/>
        </w:rPr>
        <w:t>,</w:t>
      </w:r>
      <w:r w:rsidRPr="0083567E">
        <w:rPr>
          <w:lang w:val="en-GB"/>
        </w:rPr>
        <w:t xml:space="preserve"> cost</w:t>
      </w:r>
      <w:r>
        <w:rPr>
          <w:lang w:val="en-GB"/>
        </w:rPr>
        <w:t>s</w:t>
      </w:r>
      <w:r w:rsidRPr="0083567E">
        <w:rPr>
          <w:lang w:val="en-GB"/>
        </w:rPr>
        <w:t xml:space="preserve"> </w:t>
      </w:r>
      <w:r>
        <w:rPr>
          <w:lang w:val="en-GB"/>
        </w:rPr>
        <w:t>and discount rates over time.</w:t>
      </w:r>
    </w:p>
  </w:footnote>
  <w:footnote w:id="7">
    <w:p w14:paraId="4A98F836" w14:textId="06C98AB0" w:rsidR="00D67197" w:rsidRPr="003843CD" w:rsidRDefault="00D67197" w:rsidP="00AF3D3B">
      <w:pPr>
        <w:pStyle w:val="FootnoteText"/>
        <w:rPr>
          <w:lang w:val="en-GB"/>
        </w:rPr>
      </w:pPr>
      <w:r w:rsidRPr="003843CD">
        <w:rPr>
          <w:rStyle w:val="FootnoteReference"/>
          <w:lang w:val="en-GB"/>
        </w:rPr>
        <w:footnoteRef/>
      </w:r>
      <w:r w:rsidRPr="003843CD">
        <w:rPr>
          <w:lang w:val="en-GB"/>
        </w:rPr>
        <w:t xml:space="preserve"> </w:t>
      </w:r>
      <w:r w:rsidRPr="00037E57">
        <w:rPr>
          <w:lang w:val="en-GB"/>
        </w:rPr>
        <w:t>Building on an extensive literature on actual private consumer energy investments (Train, 1985; Horne et al., 2005;</w:t>
      </w:r>
      <w:r>
        <w:rPr>
          <w:lang w:val="en-GB"/>
        </w:rPr>
        <w:t xml:space="preserve"> </w:t>
      </w:r>
      <w:r w:rsidRPr="00037E57">
        <w:rPr>
          <w:lang w:val="en-GB"/>
        </w:rPr>
        <w:t xml:space="preserve">Ewing and </w:t>
      </w:r>
      <w:proofErr w:type="spellStart"/>
      <w:r w:rsidRPr="00037E57">
        <w:rPr>
          <w:lang w:val="en-GB"/>
        </w:rPr>
        <w:t>Sarigollu</w:t>
      </w:r>
      <w:proofErr w:type="spellEnd"/>
      <w:r w:rsidRPr="00037E57">
        <w:rPr>
          <w:lang w:val="en-GB"/>
        </w:rPr>
        <w:t xml:space="preserve">, 2000; Bunch et al., 1993), a </w:t>
      </w:r>
      <w:r>
        <w:rPr>
          <w:lang w:val="en-GB"/>
        </w:rPr>
        <w:t xml:space="preserve">mid range </w:t>
      </w:r>
      <w:r w:rsidRPr="00037E57">
        <w:rPr>
          <w:lang w:val="en-GB"/>
        </w:rPr>
        <w:t xml:space="preserve">discount </w:t>
      </w:r>
      <w:r>
        <w:rPr>
          <w:lang w:val="en-GB"/>
        </w:rPr>
        <w:t xml:space="preserve">rate </w:t>
      </w:r>
      <w:r w:rsidRPr="00037E57">
        <w:rPr>
          <w:lang w:val="en-GB"/>
        </w:rPr>
        <w:t>of 30% is applied to the private car market and is used to represent investment behaviour and mimic non-cost barriers including lack of information. Note fleet and company cars attract a lower, commercial threshold for capital investments in shape of a 10% discount rate, which is still substantially higher than the standard social discount rate for the UK of 3.5%.</w:t>
      </w:r>
      <w:r>
        <w:rPr>
          <w:lang w:val="en-GB"/>
        </w:rPr>
        <w:t xml:space="preserve"> </w:t>
      </w:r>
    </w:p>
  </w:footnote>
  <w:footnote w:id="8">
    <w:p w14:paraId="216A47DE" w14:textId="5F7765F7" w:rsidR="00D67197" w:rsidRPr="003C229A" w:rsidRDefault="00D67197">
      <w:pPr>
        <w:pStyle w:val="FootnoteText"/>
        <w:rPr>
          <w:lang w:val="en-US"/>
        </w:rPr>
      </w:pPr>
      <w:r>
        <w:rPr>
          <w:rStyle w:val="FootnoteReference"/>
        </w:rPr>
        <w:footnoteRef/>
      </w:r>
      <w:r>
        <w:t xml:space="preserve"> F</w:t>
      </w:r>
      <w:proofErr w:type="spellStart"/>
      <w:r w:rsidRPr="003C229A">
        <w:rPr>
          <w:lang w:val="en-GB"/>
        </w:rPr>
        <w:t>leet</w:t>
      </w:r>
      <w:proofErr w:type="spellEnd"/>
      <w:r w:rsidRPr="003C229A">
        <w:rPr>
          <w:lang w:val="en-GB"/>
        </w:rPr>
        <w:t xml:space="preserve"> and company cars attract a lower, commercial threshold for capital investments in shape of a </w:t>
      </w:r>
      <w:proofErr w:type="gramStart"/>
      <w:r w:rsidRPr="003C229A">
        <w:rPr>
          <w:lang w:val="en-GB"/>
        </w:rPr>
        <w:t>10%</w:t>
      </w:r>
      <w:proofErr w:type="gramEnd"/>
      <w:r w:rsidRPr="003C229A">
        <w:rPr>
          <w:lang w:val="en-GB"/>
        </w:rPr>
        <w:t xml:space="preserve"> discount rate, which is still substantially higher than the standard social discount rate for the UK of 3.5%.</w:t>
      </w:r>
    </w:p>
  </w:footnote>
  <w:footnote w:id="9">
    <w:p w14:paraId="261A155A" w14:textId="21AF538B" w:rsidR="00D67197" w:rsidRPr="00426386" w:rsidRDefault="00D67197" w:rsidP="008159CB">
      <w:pPr>
        <w:pStyle w:val="FootnoteText"/>
        <w:rPr>
          <w:lang w:val="en-GB"/>
        </w:rPr>
      </w:pPr>
      <w:r w:rsidRPr="008159CB">
        <w:rPr>
          <w:vertAlign w:val="superscript"/>
          <w:lang w:val="en-GB"/>
        </w:rPr>
        <w:footnoteRef/>
      </w:r>
      <w:r w:rsidRPr="008159CB">
        <w:rPr>
          <w:lang w:val="en-GB"/>
        </w:rPr>
        <w:t xml:space="preserve"> </w:t>
      </w:r>
      <w:r>
        <w:rPr>
          <w:lang w:val="en-GB"/>
        </w:rPr>
        <w:t>T</w:t>
      </w:r>
      <w:r w:rsidRPr="008159CB">
        <w:rPr>
          <w:lang w:val="en-GB"/>
        </w:rPr>
        <w:t>he</w:t>
      </w:r>
      <w:r>
        <w:rPr>
          <w:lang w:val="en-GB"/>
        </w:rPr>
        <w:t>se</w:t>
      </w:r>
      <w:r w:rsidRPr="008159CB">
        <w:rPr>
          <w:lang w:val="en-GB"/>
        </w:rPr>
        <w:t xml:space="preserve"> ‘official’ oil price projections </w:t>
      </w:r>
      <w:r w:rsidRPr="00B7280F">
        <w:rPr>
          <w:lang w:val="en-GB"/>
        </w:rPr>
        <w:t xml:space="preserve">by </w:t>
      </w:r>
      <w:r>
        <w:rPr>
          <w:lang w:val="en-GB"/>
        </w:rPr>
        <w:t xml:space="preserve">UK </w:t>
      </w:r>
      <w:r w:rsidRPr="00B7280F">
        <w:rPr>
          <w:lang w:val="en-GB"/>
        </w:rPr>
        <w:t xml:space="preserve">DECC </w:t>
      </w:r>
      <w:r>
        <w:rPr>
          <w:lang w:val="en-GB"/>
        </w:rPr>
        <w:t>are</w:t>
      </w:r>
      <w:r w:rsidRPr="008159CB">
        <w:rPr>
          <w:lang w:val="en-GB"/>
        </w:rPr>
        <w:t xml:space="preserve"> low when compared to March 2011 prices of about USD110.</w:t>
      </w:r>
      <w:r>
        <w:rPr>
          <w:lang w:val="en-GB"/>
        </w:rPr>
        <w:t xml:space="preserve"> However, they serve</w:t>
      </w:r>
      <w:r w:rsidRPr="00B7280F">
        <w:rPr>
          <w:lang w:val="en-GB"/>
        </w:rPr>
        <w:t xml:space="preserve"> as a reference against which alternative futures should be compared with, in particular in the light of accelerating depletion of oil resources</w:t>
      </w:r>
      <w:r>
        <w:rPr>
          <w:lang w:val="en-GB"/>
        </w:rPr>
        <w:t xml:space="preserve"> and rapidly evolving policy ambitions (e.g. the UK’s Low Carbon Transition Plan, predicting that renewables generate the majority of electricity by 2020)</w:t>
      </w:r>
      <w:r w:rsidRPr="00B7280F">
        <w:rPr>
          <w:lang w:val="en-GB"/>
        </w:rPr>
        <w:t>. Alternative scenarios could be run based simply on different resource price projections.</w:t>
      </w:r>
    </w:p>
  </w:footnote>
  <w:footnote w:id="10">
    <w:p w14:paraId="5901DFEB" w14:textId="54195096" w:rsidR="00D67197" w:rsidRPr="00B92362" w:rsidRDefault="00D67197">
      <w:pPr>
        <w:pStyle w:val="FootnoteText"/>
      </w:pPr>
      <w:r>
        <w:rPr>
          <w:rStyle w:val="FootnoteReference"/>
        </w:rPr>
        <w:footnoteRef/>
      </w:r>
      <w:r>
        <w:t xml:space="preserve"> </w:t>
      </w:r>
      <w:r>
        <w:rPr>
          <w:lang w:val="en-GB"/>
        </w:rPr>
        <w:t>The assumption that alternative technologies improve (</w:t>
      </w:r>
      <w:r w:rsidRPr="00B92362">
        <w:rPr>
          <w:lang w:val="en-GB"/>
        </w:rPr>
        <w:t>cost, energy and environmental performance, consumer preferences)</w:t>
      </w:r>
      <w:r>
        <w:rPr>
          <w:lang w:val="en-GB"/>
        </w:rPr>
        <w:t xml:space="preserve"> at a faster rate over time is in line with other technology futures and modelling studies</w:t>
      </w:r>
      <w:r w:rsidRPr="00B92362">
        <w:rPr>
          <w:lang w:val="en-GB"/>
        </w:rPr>
        <w:t xml:space="preserve"> </w:t>
      </w:r>
      <w:r>
        <w:rPr>
          <w:lang w:val="en-GB"/>
        </w:rPr>
        <w:t>and</w:t>
      </w:r>
      <w:r w:rsidRPr="00B92362">
        <w:rPr>
          <w:lang w:val="en-GB"/>
        </w:rPr>
        <w:t xml:space="preserve"> appl</w:t>
      </w:r>
      <w:r>
        <w:rPr>
          <w:lang w:val="en-GB"/>
        </w:rPr>
        <w:t>ies</w:t>
      </w:r>
      <w:r w:rsidRPr="00B92362">
        <w:rPr>
          <w:lang w:val="en-GB"/>
        </w:rPr>
        <w:t xml:space="preserve"> equally to all scenarios modelled here, not just the reference scenario.</w:t>
      </w:r>
    </w:p>
  </w:footnote>
  <w:footnote w:id="11">
    <w:p w14:paraId="51B1EE9E" w14:textId="76435E62" w:rsidR="00D67197" w:rsidRPr="00374F2E" w:rsidRDefault="00D67197">
      <w:pPr>
        <w:pStyle w:val="FootnoteText"/>
        <w:rPr>
          <w:lang w:val="en-GB"/>
        </w:rPr>
      </w:pPr>
      <w:r w:rsidRPr="00374F2E">
        <w:rPr>
          <w:rStyle w:val="FootnoteReference"/>
          <w:lang w:val="en-GB"/>
        </w:rPr>
        <w:footnoteRef/>
      </w:r>
      <w:r w:rsidRPr="00374F2E">
        <w:rPr>
          <w:lang w:val="en-GB"/>
        </w:rPr>
        <w:t xml:space="preserve"> </w:t>
      </w:r>
      <w:r>
        <w:rPr>
          <w:lang w:val="en-GB"/>
        </w:rPr>
        <w:t>T</w:t>
      </w:r>
      <w:r>
        <w:rPr>
          <w:lang w:val="en-US"/>
        </w:rPr>
        <w:t xml:space="preserve">his implies that </w:t>
      </w:r>
      <w:r w:rsidRPr="000D65CF">
        <w:rPr>
          <w:lang w:val="en-US"/>
        </w:rPr>
        <w:t>the EU mandatory agreement on new car CO</w:t>
      </w:r>
      <w:r w:rsidRPr="000D65CF">
        <w:rPr>
          <w:vertAlign w:val="subscript"/>
          <w:lang w:val="en-US"/>
        </w:rPr>
        <w:t>2</w:t>
      </w:r>
      <w:r w:rsidRPr="000D65CF">
        <w:rPr>
          <w:lang w:val="en-US"/>
        </w:rPr>
        <w:t xml:space="preserve"> emissions</w:t>
      </w:r>
      <w:r>
        <w:rPr>
          <w:lang w:val="en-US"/>
        </w:rPr>
        <w:t xml:space="preserve"> would not be met</w:t>
      </w:r>
      <w:r w:rsidRPr="000D65CF">
        <w:rPr>
          <w:lang w:val="en-US"/>
        </w:rPr>
        <w:t>.</w:t>
      </w:r>
      <w:r>
        <w:rPr>
          <w:lang w:val="en-US"/>
        </w:rPr>
        <w:t xml:space="preserve"> However, </w:t>
      </w:r>
      <w:r w:rsidRPr="00374F2E">
        <w:rPr>
          <w:lang w:val="en-GB"/>
        </w:rPr>
        <w:t xml:space="preserve">separating innovation by competition and </w:t>
      </w:r>
      <w:r>
        <w:rPr>
          <w:lang w:val="en-GB"/>
        </w:rPr>
        <w:t xml:space="preserve">innovation by </w:t>
      </w:r>
      <w:r w:rsidRPr="00374F2E">
        <w:rPr>
          <w:lang w:val="en-GB"/>
        </w:rPr>
        <w:t xml:space="preserve">regulation/policy push is </w:t>
      </w:r>
      <w:r>
        <w:rPr>
          <w:lang w:val="en-GB"/>
        </w:rPr>
        <w:t xml:space="preserve">slightly arbitrary here as the effects are never easy to untangle. We merely assume that half of the recent improvement came from market competition and the other half from policy (mainly fiscal) and regulation (mainly VA). </w:t>
      </w:r>
    </w:p>
  </w:footnote>
  <w:footnote w:id="12">
    <w:p w14:paraId="3DCC7FA1" w14:textId="77777777" w:rsidR="00D67197" w:rsidRPr="00333031" w:rsidRDefault="00D67197" w:rsidP="00B030BC">
      <w:pPr>
        <w:pStyle w:val="FootnoteText"/>
        <w:rPr>
          <w:lang w:val="en-GB"/>
        </w:rPr>
      </w:pPr>
      <w:r>
        <w:rPr>
          <w:rStyle w:val="FootnoteReference"/>
        </w:rPr>
        <w:footnoteRef/>
      </w:r>
      <w:r>
        <w:t xml:space="preserve"> </w:t>
      </w:r>
      <w:r>
        <w:rPr>
          <w:lang w:val="en-GB"/>
        </w:rPr>
        <w:t>These bands are based on the bands ‘A’ to ‘M’ used for VED taxation in the UK.</w:t>
      </w:r>
    </w:p>
  </w:footnote>
  <w:footnote w:id="13">
    <w:p w14:paraId="321C03D5" w14:textId="77777777" w:rsidR="00D67197" w:rsidRPr="00374F2E" w:rsidRDefault="00D67197" w:rsidP="008A36A2">
      <w:pPr>
        <w:pStyle w:val="FootnoteText"/>
        <w:rPr>
          <w:lang w:val="en-GB"/>
        </w:rPr>
      </w:pPr>
      <w:r w:rsidRPr="00374F2E">
        <w:rPr>
          <w:rStyle w:val="FootnoteReference"/>
          <w:lang w:val="en-GB"/>
        </w:rPr>
        <w:footnoteRef/>
      </w:r>
      <w:r w:rsidRPr="00374F2E">
        <w:rPr>
          <w:lang w:val="en-GB"/>
        </w:rPr>
        <w:t xml:space="preserve"> To put this into context, the number of cars older than 9 years in 2009 was about 6.4 million (or 23% of all cars).</w:t>
      </w:r>
    </w:p>
  </w:footnote>
  <w:footnote w:id="14">
    <w:p w14:paraId="617BD125" w14:textId="77777777" w:rsidR="00D67197" w:rsidRPr="00793FA8" w:rsidRDefault="00D67197" w:rsidP="009652F0">
      <w:pPr>
        <w:pStyle w:val="FootnoteText"/>
        <w:rPr>
          <w:lang w:val="en-GB"/>
        </w:rPr>
      </w:pPr>
      <w:r w:rsidRPr="00793FA8">
        <w:rPr>
          <w:rStyle w:val="FootnoteReference"/>
          <w:lang w:val="en-GB"/>
        </w:rPr>
        <w:footnoteRef/>
      </w:r>
      <w:r w:rsidRPr="00793FA8">
        <w:rPr>
          <w:lang w:val="en-GB"/>
        </w:rPr>
        <w:t xml:space="preserve"> GBP0.06/kWh is equivalent in energy terms to </w:t>
      </w:r>
      <w:r>
        <w:rPr>
          <w:lang w:val="en-GB"/>
        </w:rPr>
        <w:t>GBP0.54/litre of gasoline, or GBP0.60/litre of diesel.</w:t>
      </w:r>
    </w:p>
  </w:footnote>
  <w:footnote w:id="15">
    <w:p w14:paraId="69B1A0CB" w14:textId="05D9BA78" w:rsidR="00D67197" w:rsidRPr="004D20E8" w:rsidRDefault="00D67197">
      <w:pPr>
        <w:pStyle w:val="FootnoteText"/>
      </w:pPr>
      <w:r>
        <w:rPr>
          <w:rStyle w:val="FootnoteReference"/>
        </w:rPr>
        <w:footnoteRef/>
      </w:r>
      <w:r>
        <w:t xml:space="preserve"> </w:t>
      </w:r>
      <w:r>
        <w:rPr>
          <w:lang w:val="en-US"/>
        </w:rPr>
        <w:t xml:space="preserve">Changes in </w:t>
      </w:r>
      <w:r w:rsidRPr="001270D4">
        <w:rPr>
          <w:lang w:val="en-US"/>
        </w:rPr>
        <w:t xml:space="preserve">carbon </w:t>
      </w:r>
      <w:r>
        <w:rPr>
          <w:lang w:val="en-US"/>
        </w:rPr>
        <w:t xml:space="preserve">emissions </w:t>
      </w:r>
      <w:r w:rsidRPr="001270D4">
        <w:rPr>
          <w:lang w:val="en-US"/>
        </w:rPr>
        <w:t xml:space="preserve">are </w:t>
      </w:r>
      <w:r>
        <w:rPr>
          <w:lang w:val="en-US"/>
        </w:rPr>
        <w:t xml:space="preserve">the result of </w:t>
      </w:r>
      <w:r w:rsidRPr="001270D4">
        <w:rPr>
          <w:lang w:val="en-US"/>
        </w:rPr>
        <w:t>a number of interrelated factors</w:t>
      </w:r>
      <w:r>
        <w:rPr>
          <w:lang w:val="en-US"/>
        </w:rPr>
        <w:t xml:space="preserve">, </w:t>
      </w:r>
      <w:r w:rsidRPr="001270D4">
        <w:rPr>
          <w:lang w:val="en-US"/>
        </w:rPr>
        <w:t>includ</w:t>
      </w:r>
      <w:r>
        <w:rPr>
          <w:lang w:val="en-US"/>
        </w:rPr>
        <w:t>ing</w:t>
      </w:r>
      <w:r w:rsidRPr="001270D4">
        <w:rPr>
          <w:lang w:val="en-US"/>
        </w:rPr>
        <w:t xml:space="preserve"> the penetration of lower emission cars into the vehicle fleet, changes in demand for cars and other modes, changes in car </w:t>
      </w:r>
      <w:r>
        <w:rPr>
          <w:lang w:val="en-US"/>
        </w:rPr>
        <w:t xml:space="preserve">total </w:t>
      </w:r>
      <w:r w:rsidRPr="001270D4">
        <w:rPr>
          <w:lang w:val="en-US"/>
        </w:rPr>
        <w:t>ownership (</w:t>
      </w:r>
      <w:r>
        <w:rPr>
          <w:lang w:val="en-US"/>
        </w:rPr>
        <w:t xml:space="preserve">e.g. </w:t>
      </w:r>
      <w:r w:rsidRPr="001270D4">
        <w:rPr>
          <w:lang w:val="en-US"/>
        </w:rPr>
        <w:t xml:space="preserve">a decrease </w:t>
      </w:r>
      <w:r>
        <w:rPr>
          <w:lang w:val="en-US"/>
        </w:rPr>
        <w:t xml:space="preserve">in </w:t>
      </w:r>
      <w:r w:rsidRPr="001270D4">
        <w:rPr>
          <w:lang w:val="en-US"/>
        </w:rPr>
        <w:t xml:space="preserve">total ownership means lower indirect carbon emissions from manufacture, maintenance and scrappage) </w:t>
      </w:r>
      <w:r>
        <w:rPr>
          <w:lang w:val="en-US"/>
        </w:rPr>
        <w:t xml:space="preserve">and </w:t>
      </w:r>
      <w:r w:rsidRPr="001270D4">
        <w:rPr>
          <w:lang w:val="en-US"/>
        </w:rPr>
        <w:t>changes in upstream fuel emissions.</w:t>
      </w:r>
      <w:r>
        <w:rPr>
          <w:lang w:val="en-US"/>
        </w:rPr>
        <w:t xml:space="preserve"> For further details on how this is done in UKTCM see Brand (2010a/b) and Brand et al. (2012).</w:t>
      </w:r>
    </w:p>
  </w:footnote>
  <w:footnote w:id="16">
    <w:p w14:paraId="117E80D8" w14:textId="77777777" w:rsidR="00D67197" w:rsidRPr="003A20EC" w:rsidRDefault="00D67197" w:rsidP="00A554AD">
      <w:pPr>
        <w:pStyle w:val="FootnoteText"/>
        <w:rPr>
          <w:lang w:val="en-GB"/>
        </w:rPr>
      </w:pPr>
      <w:r w:rsidRPr="003A20EC">
        <w:rPr>
          <w:rStyle w:val="FootnoteReference"/>
          <w:lang w:val="en-GB"/>
        </w:rPr>
        <w:footnoteRef/>
      </w:r>
      <w:r w:rsidRPr="003A20EC">
        <w:rPr>
          <w:lang w:val="en-GB"/>
        </w:rPr>
        <w:t xml:space="preserve"> Demand for travel is partly a function of generalised transport costs which includes costs of vehicle ownership and use. Generally, a decrease in car transport costs increases the demand for car use (and modal shifts from other passenger transport modes to cars).</w:t>
      </w:r>
      <w:r>
        <w:rPr>
          <w:lang w:val="en-GB"/>
        </w:rPr>
        <w:t xml:space="preserve"> </w:t>
      </w:r>
      <w:proofErr w:type="gramStart"/>
      <w:r>
        <w:rPr>
          <w:lang w:val="en-GB"/>
        </w:rPr>
        <w:t>Increases in comfort from new cars is</w:t>
      </w:r>
      <w:proofErr w:type="gramEnd"/>
      <w:r>
        <w:rPr>
          <w:lang w:val="en-GB"/>
        </w:rPr>
        <w:t xml:space="preserve"> not included in the generalised cost calculation in the model but is included in the car technology choice model.</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ECBC9FC" w14:textId="77777777" w:rsidR="00D67197" w:rsidRDefault="00D67197"/>
  <w:p w14:paraId="5B10A635" w14:textId="77777777" w:rsidR="00D67197" w:rsidRDefault="00D67197"/>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lvl>
  </w:abstractNum>
  <w:abstractNum w:abstractNumId="1">
    <w:nsid w:val="00000001"/>
    <w:multiLevelType w:val="singleLevel"/>
    <w:tmpl w:val="3DBCDA52"/>
    <w:lvl w:ilvl="0">
      <w:start w:val="1"/>
      <w:numFmt w:val="bullet"/>
      <w:pStyle w:val="eceeeBulletlist"/>
      <w:lvlText w:val=""/>
      <w:lvlJc w:val="left"/>
      <w:pPr>
        <w:tabs>
          <w:tab w:val="num" w:pos="360"/>
        </w:tabs>
        <w:ind w:left="360" w:hanging="360"/>
      </w:pPr>
      <w:rPr>
        <w:rFonts w:ascii="Symbol" w:hAnsi="Symbol" w:hint="default"/>
      </w:rPr>
    </w:lvl>
  </w:abstractNum>
  <w:abstractNum w:abstractNumId="2">
    <w:nsid w:val="0F210815"/>
    <w:multiLevelType w:val="hybridMultilevel"/>
    <w:tmpl w:val="51EAF744"/>
    <w:lvl w:ilvl="0" w:tplc="08090001">
      <w:start w:val="1"/>
      <w:numFmt w:val="bullet"/>
      <w:lvlText w:val=""/>
      <w:lvlJc w:val="left"/>
      <w:pPr>
        <w:tabs>
          <w:tab w:val="num" w:pos="360"/>
        </w:tabs>
        <w:ind w:left="360" w:hanging="360"/>
      </w:pPr>
      <w:rPr>
        <w:rFonts w:ascii="Symbol" w:hAnsi="Symbol"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3">
    <w:nsid w:val="17141D1D"/>
    <w:multiLevelType w:val="hybridMultilevel"/>
    <w:tmpl w:val="5470A06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26DF6018"/>
    <w:multiLevelType w:val="hybridMultilevel"/>
    <w:tmpl w:val="97AC263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nsid w:val="2A0F2C98"/>
    <w:multiLevelType w:val="hybridMultilevel"/>
    <w:tmpl w:val="154A1F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A106DFA"/>
    <w:multiLevelType w:val="multilevel"/>
    <w:tmpl w:val="09823486"/>
    <w:lvl w:ilvl="0">
      <w:start w:val="6"/>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bullet"/>
      <w:lvlText w:val=""/>
      <w:lvlJc w:val="left"/>
      <w:pPr>
        <w:tabs>
          <w:tab w:val="num" w:pos="360"/>
        </w:tabs>
        <w:ind w:left="360" w:hanging="360"/>
      </w:pPr>
      <w:rPr>
        <w:rFonts w:ascii="Symbol" w:hAnsi="Symbol"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7">
    <w:nsid w:val="2C4331C3"/>
    <w:multiLevelType w:val="hybridMultilevel"/>
    <w:tmpl w:val="6A0E05C6"/>
    <w:lvl w:ilvl="0" w:tplc="B2C266A0">
      <w:start w:val="1"/>
      <w:numFmt w:val="bullet"/>
      <w:lvlText w:val=""/>
      <w:lvlJc w:val="left"/>
      <w:pPr>
        <w:tabs>
          <w:tab w:val="num" w:pos="720"/>
        </w:tabs>
        <w:ind w:left="720" w:hanging="360"/>
      </w:pPr>
      <w:rPr>
        <w:rFonts w:ascii="Symbol" w:hAnsi="Symbol" w:hint="default"/>
      </w:rPr>
    </w:lvl>
    <w:lvl w:ilvl="1" w:tplc="81923A38" w:tentative="1">
      <w:start w:val="1"/>
      <w:numFmt w:val="bullet"/>
      <w:lvlText w:val="o"/>
      <w:lvlJc w:val="left"/>
      <w:pPr>
        <w:tabs>
          <w:tab w:val="num" w:pos="1440"/>
        </w:tabs>
        <w:ind w:left="1440" w:hanging="360"/>
      </w:pPr>
      <w:rPr>
        <w:rFonts w:ascii="Courier New" w:hAnsi="Courier New" w:hint="default"/>
      </w:rPr>
    </w:lvl>
    <w:lvl w:ilvl="2" w:tplc="C5E45A72" w:tentative="1">
      <w:start w:val="1"/>
      <w:numFmt w:val="bullet"/>
      <w:lvlText w:val=""/>
      <w:lvlJc w:val="left"/>
      <w:pPr>
        <w:tabs>
          <w:tab w:val="num" w:pos="2160"/>
        </w:tabs>
        <w:ind w:left="2160" w:hanging="360"/>
      </w:pPr>
      <w:rPr>
        <w:rFonts w:ascii="Wingdings" w:hAnsi="Wingdings" w:hint="default"/>
      </w:rPr>
    </w:lvl>
    <w:lvl w:ilvl="3" w:tplc="3C6A37A8" w:tentative="1">
      <w:start w:val="1"/>
      <w:numFmt w:val="bullet"/>
      <w:lvlText w:val=""/>
      <w:lvlJc w:val="left"/>
      <w:pPr>
        <w:tabs>
          <w:tab w:val="num" w:pos="2880"/>
        </w:tabs>
        <w:ind w:left="2880" w:hanging="360"/>
      </w:pPr>
      <w:rPr>
        <w:rFonts w:ascii="Symbol" w:hAnsi="Symbol" w:hint="default"/>
      </w:rPr>
    </w:lvl>
    <w:lvl w:ilvl="4" w:tplc="8E90BBF0" w:tentative="1">
      <w:start w:val="1"/>
      <w:numFmt w:val="bullet"/>
      <w:lvlText w:val="o"/>
      <w:lvlJc w:val="left"/>
      <w:pPr>
        <w:tabs>
          <w:tab w:val="num" w:pos="3600"/>
        </w:tabs>
        <w:ind w:left="3600" w:hanging="360"/>
      </w:pPr>
      <w:rPr>
        <w:rFonts w:ascii="Courier New" w:hAnsi="Courier New" w:hint="default"/>
      </w:rPr>
    </w:lvl>
    <w:lvl w:ilvl="5" w:tplc="A14EC9E2" w:tentative="1">
      <w:start w:val="1"/>
      <w:numFmt w:val="bullet"/>
      <w:lvlText w:val=""/>
      <w:lvlJc w:val="left"/>
      <w:pPr>
        <w:tabs>
          <w:tab w:val="num" w:pos="4320"/>
        </w:tabs>
        <w:ind w:left="4320" w:hanging="360"/>
      </w:pPr>
      <w:rPr>
        <w:rFonts w:ascii="Wingdings" w:hAnsi="Wingdings" w:hint="default"/>
      </w:rPr>
    </w:lvl>
    <w:lvl w:ilvl="6" w:tplc="5D40C4CC" w:tentative="1">
      <w:start w:val="1"/>
      <w:numFmt w:val="bullet"/>
      <w:lvlText w:val=""/>
      <w:lvlJc w:val="left"/>
      <w:pPr>
        <w:tabs>
          <w:tab w:val="num" w:pos="5040"/>
        </w:tabs>
        <w:ind w:left="5040" w:hanging="360"/>
      </w:pPr>
      <w:rPr>
        <w:rFonts w:ascii="Symbol" w:hAnsi="Symbol" w:hint="default"/>
      </w:rPr>
    </w:lvl>
    <w:lvl w:ilvl="7" w:tplc="5DEED94E" w:tentative="1">
      <w:start w:val="1"/>
      <w:numFmt w:val="bullet"/>
      <w:lvlText w:val="o"/>
      <w:lvlJc w:val="left"/>
      <w:pPr>
        <w:tabs>
          <w:tab w:val="num" w:pos="5760"/>
        </w:tabs>
        <w:ind w:left="5760" w:hanging="360"/>
      </w:pPr>
      <w:rPr>
        <w:rFonts w:ascii="Courier New" w:hAnsi="Courier New" w:hint="default"/>
      </w:rPr>
    </w:lvl>
    <w:lvl w:ilvl="8" w:tplc="3B1E7EC4" w:tentative="1">
      <w:start w:val="1"/>
      <w:numFmt w:val="bullet"/>
      <w:lvlText w:val=""/>
      <w:lvlJc w:val="left"/>
      <w:pPr>
        <w:tabs>
          <w:tab w:val="num" w:pos="6480"/>
        </w:tabs>
        <w:ind w:left="6480" w:hanging="360"/>
      </w:pPr>
      <w:rPr>
        <w:rFonts w:ascii="Wingdings" w:hAnsi="Wingdings" w:hint="default"/>
      </w:rPr>
    </w:lvl>
  </w:abstractNum>
  <w:abstractNum w:abstractNumId="8">
    <w:nsid w:val="315B2A0B"/>
    <w:multiLevelType w:val="hybridMultilevel"/>
    <w:tmpl w:val="330A5546"/>
    <w:lvl w:ilvl="0" w:tplc="AC385610">
      <w:start w:val="1"/>
      <w:numFmt w:val="bullet"/>
      <w:lvlText w:val=""/>
      <w:lvlJc w:val="left"/>
      <w:pPr>
        <w:tabs>
          <w:tab w:val="num" w:pos="284"/>
        </w:tabs>
        <w:ind w:left="284"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FranklinGothicBook"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FranklinGothicBook"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FranklinGothicBook"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nsid w:val="41FF1A5C"/>
    <w:multiLevelType w:val="hybridMultilevel"/>
    <w:tmpl w:val="0366A2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nsid w:val="427F4645"/>
    <w:multiLevelType w:val="hybridMultilevel"/>
    <w:tmpl w:val="605E78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47E43C93"/>
    <w:multiLevelType w:val="hybridMultilevel"/>
    <w:tmpl w:val="0E285F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4B40277E"/>
    <w:multiLevelType w:val="hybridMultilevel"/>
    <w:tmpl w:val="4E045606"/>
    <w:lvl w:ilvl="0" w:tplc="08090001">
      <w:start w:val="5"/>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nsid w:val="4C732126"/>
    <w:multiLevelType w:val="hybridMultilevel"/>
    <w:tmpl w:val="D53CF44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nsid w:val="4D917003"/>
    <w:multiLevelType w:val="multilevel"/>
    <w:tmpl w:val="C4462D84"/>
    <w:lvl w:ilvl="0">
      <w:start w:val="1"/>
      <w:numFmt w:val="bullet"/>
      <w:lvlText w:val=""/>
      <w:lvlJc w:val="left"/>
      <w:pPr>
        <w:tabs>
          <w:tab w:val="num" w:pos="720"/>
        </w:tabs>
        <w:ind w:left="720" w:hanging="360"/>
      </w:pPr>
      <w:rPr>
        <w:rFonts w:ascii="Symbol" w:hAnsi="Symbol" w:hint="default"/>
      </w:rPr>
    </w:lvl>
    <w:lvl w:ilvl="1" w:tentative="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5">
    <w:nsid w:val="4EB65076"/>
    <w:multiLevelType w:val="hybridMultilevel"/>
    <w:tmpl w:val="18D4EE48"/>
    <w:lvl w:ilvl="0" w:tplc="C90C4590">
      <w:start w:val="1"/>
      <w:numFmt w:val="bullet"/>
      <w:lvlText w:val=""/>
      <w:lvlJc w:val="left"/>
      <w:pPr>
        <w:tabs>
          <w:tab w:val="num" w:pos="720"/>
        </w:tabs>
        <w:ind w:left="720" w:hanging="360"/>
      </w:pPr>
      <w:rPr>
        <w:rFonts w:ascii="Symbol" w:hAnsi="Symbol" w:hint="default"/>
      </w:rPr>
    </w:lvl>
    <w:lvl w:ilvl="1" w:tplc="31804D90" w:tentative="1">
      <w:start w:val="1"/>
      <w:numFmt w:val="bullet"/>
      <w:lvlText w:val="o"/>
      <w:lvlJc w:val="left"/>
      <w:pPr>
        <w:tabs>
          <w:tab w:val="num" w:pos="1440"/>
        </w:tabs>
        <w:ind w:left="1440" w:hanging="360"/>
      </w:pPr>
      <w:rPr>
        <w:rFonts w:ascii="Courier New" w:hAnsi="Courier New" w:hint="default"/>
      </w:rPr>
    </w:lvl>
    <w:lvl w:ilvl="2" w:tplc="0F78ECC8" w:tentative="1">
      <w:start w:val="1"/>
      <w:numFmt w:val="bullet"/>
      <w:lvlText w:val=""/>
      <w:lvlJc w:val="left"/>
      <w:pPr>
        <w:tabs>
          <w:tab w:val="num" w:pos="2160"/>
        </w:tabs>
        <w:ind w:left="2160" w:hanging="360"/>
      </w:pPr>
      <w:rPr>
        <w:rFonts w:ascii="Wingdings" w:hAnsi="Wingdings" w:hint="default"/>
      </w:rPr>
    </w:lvl>
    <w:lvl w:ilvl="3" w:tplc="31DC1824" w:tentative="1">
      <w:start w:val="1"/>
      <w:numFmt w:val="bullet"/>
      <w:lvlText w:val=""/>
      <w:lvlJc w:val="left"/>
      <w:pPr>
        <w:tabs>
          <w:tab w:val="num" w:pos="2880"/>
        </w:tabs>
        <w:ind w:left="2880" w:hanging="360"/>
      </w:pPr>
      <w:rPr>
        <w:rFonts w:ascii="Symbol" w:hAnsi="Symbol" w:hint="default"/>
      </w:rPr>
    </w:lvl>
    <w:lvl w:ilvl="4" w:tplc="9A1EF25E" w:tentative="1">
      <w:start w:val="1"/>
      <w:numFmt w:val="bullet"/>
      <w:lvlText w:val="o"/>
      <w:lvlJc w:val="left"/>
      <w:pPr>
        <w:tabs>
          <w:tab w:val="num" w:pos="3600"/>
        </w:tabs>
        <w:ind w:left="3600" w:hanging="360"/>
      </w:pPr>
      <w:rPr>
        <w:rFonts w:ascii="Courier New" w:hAnsi="Courier New" w:hint="default"/>
      </w:rPr>
    </w:lvl>
    <w:lvl w:ilvl="5" w:tplc="9684DD82" w:tentative="1">
      <w:start w:val="1"/>
      <w:numFmt w:val="bullet"/>
      <w:lvlText w:val=""/>
      <w:lvlJc w:val="left"/>
      <w:pPr>
        <w:tabs>
          <w:tab w:val="num" w:pos="4320"/>
        </w:tabs>
        <w:ind w:left="4320" w:hanging="360"/>
      </w:pPr>
      <w:rPr>
        <w:rFonts w:ascii="Wingdings" w:hAnsi="Wingdings" w:hint="default"/>
      </w:rPr>
    </w:lvl>
    <w:lvl w:ilvl="6" w:tplc="86DAF9A0" w:tentative="1">
      <w:start w:val="1"/>
      <w:numFmt w:val="bullet"/>
      <w:lvlText w:val=""/>
      <w:lvlJc w:val="left"/>
      <w:pPr>
        <w:tabs>
          <w:tab w:val="num" w:pos="5040"/>
        </w:tabs>
        <w:ind w:left="5040" w:hanging="360"/>
      </w:pPr>
      <w:rPr>
        <w:rFonts w:ascii="Symbol" w:hAnsi="Symbol" w:hint="default"/>
      </w:rPr>
    </w:lvl>
    <w:lvl w:ilvl="7" w:tplc="0E3A4666" w:tentative="1">
      <w:start w:val="1"/>
      <w:numFmt w:val="bullet"/>
      <w:lvlText w:val="o"/>
      <w:lvlJc w:val="left"/>
      <w:pPr>
        <w:tabs>
          <w:tab w:val="num" w:pos="5760"/>
        </w:tabs>
        <w:ind w:left="5760" w:hanging="360"/>
      </w:pPr>
      <w:rPr>
        <w:rFonts w:ascii="Courier New" w:hAnsi="Courier New" w:hint="default"/>
      </w:rPr>
    </w:lvl>
    <w:lvl w:ilvl="8" w:tplc="23F01458" w:tentative="1">
      <w:start w:val="1"/>
      <w:numFmt w:val="bullet"/>
      <w:lvlText w:val=""/>
      <w:lvlJc w:val="left"/>
      <w:pPr>
        <w:tabs>
          <w:tab w:val="num" w:pos="6480"/>
        </w:tabs>
        <w:ind w:left="6480" w:hanging="360"/>
      </w:pPr>
      <w:rPr>
        <w:rFonts w:ascii="Wingdings" w:hAnsi="Wingdings" w:hint="default"/>
      </w:rPr>
    </w:lvl>
  </w:abstractNum>
  <w:abstractNum w:abstractNumId="16">
    <w:nsid w:val="4ECB0B7D"/>
    <w:multiLevelType w:val="hybridMultilevel"/>
    <w:tmpl w:val="EFE4AF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52C46E9A"/>
    <w:multiLevelType w:val="multilevel"/>
    <w:tmpl w:val="AE5A32D2"/>
    <w:lvl w:ilvl="0">
      <w:start w:val="1"/>
      <w:numFmt w:val="bullet"/>
      <w:lvlText w:val=""/>
      <w:lvlJc w:val="left"/>
      <w:pPr>
        <w:tabs>
          <w:tab w:val="num" w:pos="720"/>
        </w:tabs>
        <w:ind w:left="720" w:hanging="360"/>
      </w:pPr>
      <w:rPr>
        <w:rFonts w:ascii="Symbol" w:hAnsi="Symbol" w:hint="default"/>
      </w:rPr>
    </w:lvl>
    <w:lvl w:ilvl="1" w:tentative="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8">
    <w:nsid w:val="52C87ABD"/>
    <w:multiLevelType w:val="multilevel"/>
    <w:tmpl w:val="DA84A08C"/>
    <w:lvl w:ilvl="0">
      <w:start w:val="1"/>
      <w:numFmt w:val="bullet"/>
      <w:lvlText w:val=""/>
      <w:lvlJc w:val="left"/>
      <w:pPr>
        <w:tabs>
          <w:tab w:val="num" w:pos="720"/>
        </w:tabs>
        <w:ind w:left="720" w:hanging="360"/>
      </w:pPr>
      <w:rPr>
        <w:rFonts w:ascii="Symbol" w:hAnsi="Symbol" w:hint="default"/>
      </w:rPr>
    </w:lvl>
    <w:lvl w:ilvl="1" w:tentative="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9">
    <w:nsid w:val="555E365D"/>
    <w:multiLevelType w:val="hybridMultilevel"/>
    <w:tmpl w:val="0D34C36C"/>
    <w:lvl w:ilvl="0" w:tplc="8D72CD98">
      <w:start w:val="1"/>
      <w:numFmt w:val="decimal"/>
      <w:lvlText w:val="%1."/>
      <w:lvlJc w:val="left"/>
      <w:pPr>
        <w:tabs>
          <w:tab w:val="num" w:pos="360"/>
        </w:tabs>
        <w:ind w:left="360" w:hanging="360"/>
      </w:pPr>
    </w:lvl>
    <w:lvl w:ilvl="1" w:tplc="F616721E" w:tentative="1">
      <w:start w:val="1"/>
      <w:numFmt w:val="lowerLetter"/>
      <w:lvlText w:val="%2."/>
      <w:lvlJc w:val="left"/>
      <w:pPr>
        <w:tabs>
          <w:tab w:val="num" w:pos="1080"/>
        </w:tabs>
        <w:ind w:left="1080" w:hanging="360"/>
      </w:pPr>
    </w:lvl>
    <w:lvl w:ilvl="2" w:tplc="50E846BC" w:tentative="1">
      <w:start w:val="1"/>
      <w:numFmt w:val="lowerRoman"/>
      <w:lvlText w:val="%3."/>
      <w:lvlJc w:val="right"/>
      <w:pPr>
        <w:tabs>
          <w:tab w:val="num" w:pos="1800"/>
        </w:tabs>
        <w:ind w:left="1800" w:hanging="180"/>
      </w:pPr>
    </w:lvl>
    <w:lvl w:ilvl="3" w:tplc="FE328B8A" w:tentative="1">
      <w:start w:val="1"/>
      <w:numFmt w:val="decimal"/>
      <w:lvlText w:val="%4."/>
      <w:lvlJc w:val="left"/>
      <w:pPr>
        <w:tabs>
          <w:tab w:val="num" w:pos="2520"/>
        </w:tabs>
        <w:ind w:left="2520" w:hanging="360"/>
      </w:pPr>
    </w:lvl>
    <w:lvl w:ilvl="4" w:tplc="C7C08794" w:tentative="1">
      <w:start w:val="1"/>
      <w:numFmt w:val="lowerLetter"/>
      <w:lvlText w:val="%5."/>
      <w:lvlJc w:val="left"/>
      <w:pPr>
        <w:tabs>
          <w:tab w:val="num" w:pos="3240"/>
        </w:tabs>
        <w:ind w:left="3240" w:hanging="360"/>
      </w:pPr>
    </w:lvl>
    <w:lvl w:ilvl="5" w:tplc="BBA8A986" w:tentative="1">
      <w:start w:val="1"/>
      <w:numFmt w:val="lowerRoman"/>
      <w:lvlText w:val="%6."/>
      <w:lvlJc w:val="right"/>
      <w:pPr>
        <w:tabs>
          <w:tab w:val="num" w:pos="3960"/>
        </w:tabs>
        <w:ind w:left="3960" w:hanging="180"/>
      </w:pPr>
    </w:lvl>
    <w:lvl w:ilvl="6" w:tplc="0352C6D4" w:tentative="1">
      <w:start w:val="1"/>
      <w:numFmt w:val="decimal"/>
      <w:lvlText w:val="%7."/>
      <w:lvlJc w:val="left"/>
      <w:pPr>
        <w:tabs>
          <w:tab w:val="num" w:pos="4680"/>
        </w:tabs>
        <w:ind w:left="4680" w:hanging="360"/>
      </w:pPr>
    </w:lvl>
    <w:lvl w:ilvl="7" w:tplc="599E8532" w:tentative="1">
      <w:start w:val="1"/>
      <w:numFmt w:val="lowerLetter"/>
      <w:lvlText w:val="%8."/>
      <w:lvlJc w:val="left"/>
      <w:pPr>
        <w:tabs>
          <w:tab w:val="num" w:pos="5400"/>
        </w:tabs>
        <w:ind w:left="5400" w:hanging="360"/>
      </w:pPr>
    </w:lvl>
    <w:lvl w:ilvl="8" w:tplc="6CD0BF38" w:tentative="1">
      <w:start w:val="1"/>
      <w:numFmt w:val="lowerRoman"/>
      <w:lvlText w:val="%9."/>
      <w:lvlJc w:val="right"/>
      <w:pPr>
        <w:tabs>
          <w:tab w:val="num" w:pos="6120"/>
        </w:tabs>
        <w:ind w:left="6120" w:hanging="180"/>
      </w:pPr>
    </w:lvl>
  </w:abstractNum>
  <w:abstractNum w:abstractNumId="20">
    <w:nsid w:val="592356DF"/>
    <w:multiLevelType w:val="hybridMultilevel"/>
    <w:tmpl w:val="0854C2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nsid w:val="60531047"/>
    <w:multiLevelType w:val="hybridMultilevel"/>
    <w:tmpl w:val="5C161756"/>
    <w:lvl w:ilvl="0" w:tplc="F3CEA83C">
      <w:start w:val="1"/>
      <w:numFmt w:val="bullet"/>
      <w:lvlText w:val=""/>
      <w:lvlJc w:val="left"/>
      <w:pPr>
        <w:tabs>
          <w:tab w:val="num" w:pos="720"/>
        </w:tabs>
        <w:ind w:left="720" w:hanging="360"/>
      </w:pPr>
      <w:rPr>
        <w:rFonts w:ascii="Symbol" w:hAnsi="Symbol" w:hint="default"/>
      </w:rPr>
    </w:lvl>
    <w:lvl w:ilvl="1" w:tplc="A278441E" w:tentative="1">
      <w:start w:val="1"/>
      <w:numFmt w:val="bullet"/>
      <w:lvlText w:val="o"/>
      <w:lvlJc w:val="left"/>
      <w:pPr>
        <w:tabs>
          <w:tab w:val="num" w:pos="1440"/>
        </w:tabs>
        <w:ind w:left="1440" w:hanging="360"/>
      </w:pPr>
      <w:rPr>
        <w:rFonts w:ascii="Courier New" w:hAnsi="Courier New" w:hint="default"/>
      </w:rPr>
    </w:lvl>
    <w:lvl w:ilvl="2" w:tplc="A29EFB22" w:tentative="1">
      <w:start w:val="1"/>
      <w:numFmt w:val="bullet"/>
      <w:lvlText w:val=""/>
      <w:lvlJc w:val="left"/>
      <w:pPr>
        <w:tabs>
          <w:tab w:val="num" w:pos="2160"/>
        </w:tabs>
        <w:ind w:left="2160" w:hanging="360"/>
      </w:pPr>
      <w:rPr>
        <w:rFonts w:ascii="Wingdings" w:hAnsi="Wingdings" w:hint="default"/>
      </w:rPr>
    </w:lvl>
    <w:lvl w:ilvl="3" w:tplc="048A841C" w:tentative="1">
      <w:start w:val="1"/>
      <w:numFmt w:val="bullet"/>
      <w:lvlText w:val=""/>
      <w:lvlJc w:val="left"/>
      <w:pPr>
        <w:tabs>
          <w:tab w:val="num" w:pos="2880"/>
        </w:tabs>
        <w:ind w:left="2880" w:hanging="360"/>
      </w:pPr>
      <w:rPr>
        <w:rFonts w:ascii="Symbol" w:hAnsi="Symbol" w:hint="default"/>
      </w:rPr>
    </w:lvl>
    <w:lvl w:ilvl="4" w:tplc="A4780300" w:tentative="1">
      <w:start w:val="1"/>
      <w:numFmt w:val="bullet"/>
      <w:lvlText w:val="o"/>
      <w:lvlJc w:val="left"/>
      <w:pPr>
        <w:tabs>
          <w:tab w:val="num" w:pos="3600"/>
        </w:tabs>
        <w:ind w:left="3600" w:hanging="360"/>
      </w:pPr>
      <w:rPr>
        <w:rFonts w:ascii="Courier New" w:hAnsi="Courier New" w:hint="default"/>
      </w:rPr>
    </w:lvl>
    <w:lvl w:ilvl="5" w:tplc="4F168640" w:tentative="1">
      <w:start w:val="1"/>
      <w:numFmt w:val="bullet"/>
      <w:lvlText w:val=""/>
      <w:lvlJc w:val="left"/>
      <w:pPr>
        <w:tabs>
          <w:tab w:val="num" w:pos="4320"/>
        </w:tabs>
        <w:ind w:left="4320" w:hanging="360"/>
      </w:pPr>
      <w:rPr>
        <w:rFonts w:ascii="Wingdings" w:hAnsi="Wingdings" w:hint="default"/>
      </w:rPr>
    </w:lvl>
    <w:lvl w:ilvl="6" w:tplc="BF30469E" w:tentative="1">
      <w:start w:val="1"/>
      <w:numFmt w:val="bullet"/>
      <w:lvlText w:val=""/>
      <w:lvlJc w:val="left"/>
      <w:pPr>
        <w:tabs>
          <w:tab w:val="num" w:pos="5040"/>
        </w:tabs>
        <w:ind w:left="5040" w:hanging="360"/>
      </w:pPr>
      <w:rPr>
        <w:rFonts w:ascii="Symbol" w:hAnsi="Symbol" w:hint="default"/>
      </w:rPr>
    </w:lvl>
    <w:lvl w:ilvl="7" w:tplc="7CFE8C0C" w:tentative="1">
      <w:start w:val="1"/>
      <w:numFmt w:val="bullet"/>
      <w:lvlText w:val="o"/>
      <w:lvlJc w:val="left"/>
      <w:pPr>
        <w:tabs>
          <w:tab w:val="num" w:pos="5760"/>
        </w:tabs>
        <w:ind w:left="5760" w:hanging="360"/>
      </w:pPr>
      <w:rPr>
        <w:rFonts w:ascii="Courier New" w:hAnsi="Courier New" w:hint="default"/>
      </w:rPr>
    </w:lvl>
    <w:lvl w:ilvl="8" w:tplc="3A7CF98C" w:tentative="1">
      <w:start w:val="1"/>
      <w:numFmt w:val="bullet"/>
      <w:lvlText w:val=""/>
      <w:lvlJc w:val="left"/>
      <w:pPr>
        <w:tabs>
          <w:tab w:val="num" w:pos="6480"/>
        </w:tabs>
        <w:ind w:left="6480" w:hanging="360"/>
      </w:pPr>
      <w:rPr>
        <w:rFonts w:ascii="Wingdings" w:hAnsi="Wingdings" w:hint="default"/>
      </w:rPr>
    </w:lvl>
  </w:abstractNum>
  <w:abstractNum w:abstractNumId="22">
    <w:nsid w:val="632A029B"/>
    <w:multiLevelType w:val="hybridMultilevel"/>
    <w:tmpl w:val="424014DA"/>
    <w:lvl w:ilvl="0" w:tplc="602CD6FA">
      <w:start w:val="1"/>
      <w:numFmt w:val="bullet"/>
      <w:lvlText w:val=""/>
      <w:lvlJc w:val="left"/>
      <w:pPr>
        <w:tabs>
          <w:tab w:val="num" w:pos="720"/>
        </w:tabs>
        <w:ind w:left="720" w:hanging="360"/>
      </w:pPr>
      <w:rPr>
        <w:rFonts w:ascii="Symbol" w:hAnsi="Symbol" w:hint="default"/>
      </w:rPr>
    </w:lvl>
    <w:lvl w:ilvl="1" w:tplc="EC24AB4A" w:tentative="1">
      <w:start w:val="1"/>
      <w:numFmt w:val="bullet"/>
      <w:lvlText w:val="o"/>
      <w:lvlJc w:val="left"/>
      <w:pPr>
        <w:tabs>
          <w:tab w:val="num" w:pos="1440"/>
        </w:tabs>
        <w:ind w:left="1440" w:hanging="360"/>
      </w:pPr>
      <w:rPr>
        <w:rFonts w:ascii="Courier New" w:hAnsi="Courier New" w:hint="default"/>
      </w:rPr>
    </w:lvl>
    <w:lvl w:ilvl="2" w:tplc="E9449076" w:tentative="1">
      <w:start w:val="1"/>
      <w:numFmt w:val="bullet"/>
      <w:lvlText w:val=""/>
      <w:lvlJc w:val="left"/>
      <w:pPr>
        <w:tabs>
          <w:tab w:val="num" w:pos="2160"/>
        </w:tabs>
        <w:ind w:left="2160" w:hanging="360"/>
      </w:pPr>
      <w:rPr>
        <w:rFonts w:ascii="Wingdings" w:hAnsi="Wingdings" w:hint="default"/>
      </w:rPr>
    </w:lvl>
    <w:lvl w:ilvl="3" w:tplc="86E0E830" w:tentative="1">
      <w:start w:val="1"/>
      <w:numFmt w:val="bullet"/>
      <w:lvlText w:val=""/>
      <w:lvlJc w:val="left"/>
      <w:pPr>
        <w:tabs>
          <w:tab w:val="num" w:pos="2880"/>
        </w:tabs>
        <w:ind w:left="2880" w:hanging="360"/>
      </w:pPr>
      <w:rPr>
        <w:rFonts w:ascii="Symbol" w:hAnsi="Symbol" w:hint="default"/>
      </w:rPr>
    </w:lvl>
    <w:lvl w:ilvl="4" w:tplc="31C23D6A" w:tentative="1">
      <w:start w:val="1"/>
      <w:numFmt w:val="bullet"/>
      <w:lvlText w:val="o"/>
      <w:lvlJc w:val="left"/>
      <w:pPr>
        <w:tabs>
          <w:tab w:val="num" w:pos="3600"/>
        </w:tabs>
        <w:ind w:left="3600" w:hanging="360"/>
      </w:pPr>
      <w:rPr>
        <w:rFonts w:ascii="Courier New" w:hAnsi="Courier New" w:hint="default"/>
      </w:rPr>
    </w:lvl>
    <w:lvl w:ilvl="5" w:tplc="6DE0AE7C" w:tentative="1">
      <w:start w:val="1"/>
      <w:numFmt w:val="bullet"/>
      <w:lvlText w:val=""/>
      <w:lvlJc w:val="left"/>
      <w:pPr>
        <w:tabs>
          <w:tab w:val="num" w:pos="4320"/>
        </w:tabs>
        <w:ind w:left="4320" w:hanging="360"/>
      </w:pPr>
      <w:rPr>
        <w:rFonts w:ascii="Wingdings" w:hAnsi="Wingdings" w:hint="default"/>
      </w:rPr>
    </w:lvl>
    <w:lvl w:ilvl="6" w:tplc="608C2FEC" w:tentative="1">
      <w:start w:val="1"/>
      <w:numFmt w:val="bullet"/>
      <w:lvlText w:val=""/>
      <w:lvlJc w:val="left"/>
      <w:pPr>
        <w:tabs>
          <w:tab w:val="num" w:pos="5040"/>
        </w:tabs>
        <w:ind w:left="5040" w:hanging="360"/>
      </w:pPr>
      <w:rPr>
        <w:rFonts w:ascii="Symbol" w:hAnsi="Symbol" w:hint="default"/>
      </w:rPr>
    </w:lvl>
    <w:lvl w:ilvl="7" w:tplc="C67AE1EA" w:tentative="1">
      <w:start w:val="1"/>
      <w:numFmt w:val="bullet"/>
      <w:lvlText w:val="o"/>
      <w:lvlJc w:val="left"/>
      <w:pPr>
        <w:tabs>
          <w:tab w:val="num" w:pos="5760"/>
        </w:tabs>
        <w:ind w:left="5760" w:hanging="360"/>
      </w:pPr>
      <w:rPr>
        <w:rFonts w:ascii="Courier New" w:hAnsi="Courier New" w:hint="default"/>
      </w:rPr>
    </w:lvl>
    <w:lvl w:ilvl="8" w:tplc="55B6AC82" w:tentative="1">
      <w:start w:val="1"/>
      <w:numFmt w:val="bullet"/>
      <w:lvlText w:val=""/>
      <w:lvlJc w:val="left"/>
      <w:pPr>
        <w:tabs>
          <w:tab w:val="num" w:pos="6480"/>
        </w:tabs>
        <w:ind w:left="6480" w:hanging="360"/>
      </w:pPr>
      <w:rPr>
        <w:rFonts w:ascii="Wingdings" w:hAnsi="Wingdings" w:hint="default"/>
      </w:rPr>
    </w:lvl>
  </w:abstractNum>
  <w:abstractNum w:abstractNumId="23">
    <w:nsid w:val="63AE5377"/>
    <w:multiLevelType w:val="hybridMultilevel"/>
    <w:tmpl w:val="66E0FDC8"/>
    <w:lvl w:ilvl="0" w:tplc="5E0C4ED2">
      <w:start w:val="1"/>
      <w:numFmt w:val="decimal"/>
      <w:lvlText w:val="%1."/>
      <w:lvlJc w:val="left"/>
      <w:pPr>
        <w:tabs>
          <w:tab w:val="num" w:pos="720"/>
        </w:tabs>
        <w:ind w:left="720" w:hanging="360"/>
      </w:pPr>
    </w:lvl>
    <w:lvl w:ilvl="1" w:tplc="2F08A3A2" w:tentative="1">
      <w:start w:val="1"/>
      <w:numFmt w:val="lowerLetter"/>
      <w:lvlText w:val="%2."/>
      <w:lvlJc w:val="left"/>
      <w:pPr>
        <w:tabs>
          <w:tab w:val="num" w:pos="1440"/>
        </w:tabs>
        <w:ind w:left="1440" w:hanging="360"/>
      </w:pPr>
    </w:lvl>
    <w:lvl w:ilvl="2" w:tplc="1C983D50" w:tentative="1">
      <w:start w:val="1"/>
      <w:numFmt w:val="lowerRoman"/>
      <w:lvlText w:val="%3."/>
      <w:lvlJc w:val="right"/>
      <w:pPr>
        <w:tabs>
          <w:tab w:val="num" w:pos="2160"/>
        </w:tabs>
        <w:ind w:left="2160" w:hanging="180"/>
      </w:pPr>
    </w:lvl>
    <w:lvl w:ilvl="3" w:tplc="AD3C5716" w:tentative="1">
      <w:start w:val="1"/>
      <w:numFmt w:val="decimal"/>
      <w:lvlText w:val="%4."/>
      <w:lvlJc w:val="left"/>
      <w:pPr>
        <w:tabs>
          <w:tab w:val="num" w:pos="2880"/>
        </w:tabs>
        <w:ind w:left="2880" w:hanging="360"/>
      </w:pPr>
    </w:lvl>
    <w:lvl w:ilvl="4" w:tplc="6354FBB8" w:tentative="1">
      <w:start w:val="1"/>
      <w:numFmt w:val="lowerLetter"/>
      <w:lvlText w:val="%5."/>
      <w:lvlJc w:val="left"/>
      <w:pPr>
        <w:tabs>
          <w:tab w:val="num" w:pos="3600"/>
        </w:tabs>
        <w:ind w:left="3600" w:hanging="360"/>
      </w:pPr>
    </w:lvl>
    <w:lvl w:ilvl="5" w:tplc="46CC805E" w:tentative="1">
      <w:start w:val="1"/>
      <w:numFmt w:val="lowerRoman"/>
      <w:lvlText w:val="%6."/>
      <w:lvlJc w:val="right"/>
      <w:pPr>
        <w:tabs>
          <w:tab w:val="num" w:pos="4320"/>
        </w:tabs>
        <w:ind w:left="4320" w:hanging="180"/>
      </w:pPr>
    </w:lvl>
    <w:lvl w:ilvl="6" w:tplc="FA3C73AA" w:tentative="1">
      <w:start w:val="1"/>
      <w:numFmt w:val="decimal"/>
      <w:lvlText w:val="%7."/>
      <w:lvlJc w:val="left"/>
      <w:pPr>
        <w:tabs>
          <w:tab w:val="num" w:pos="5040"/>
        </w:tabs>
        <w:ind w:left="5040" w:hanging="360"/>
      </w:pPr>
    </w:lvl>
    <w:lvl w:ilvl="7" w:tplc="A1D4D148" w:tentative="1">
      <w:start w:val="1"/>
      <w:numFmt w:val="lowerLetter"/>
      <w:lvlText w:val="%8."/>
      <w:lvlJc w:val="left"/>
      <w:pPr>
        <w:tabs>
          <w:tab w:val="num" w:pos="5760"/>
        </w:tabs>
        <w:ind w:left="5760" w:hanging="360"/>
      </w:pPr>
    </w:lvl>
    <w:lvl w:ilvl="8" w:tplc="30FA7770" w:tentative="1">
      <w:start w:val="1"/>
      <w:numFmt w:val="lowerRoman"/>
      <w:lvlText w:val="%9."/>
      <w:lvlJc w:val="right"/>
      <w:pPr>
        <w:tabs>
          <w:tab w:val="num" w:pos="6480"/>
        </w:tabs>
        <w:ind w:left="6480" w:hanging="180"/>
      </w:pPr>
    </w:lvl>
  </w:abstractNum>
  <w:abstractNum w:abstractNumId="24">
    <w:nsid w:val="650D5F44"/>
    <w:multiLevelType w:val="hybridMultilevel"/>
    <w:tmpl w:val="06E0F8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nsid w:val="69BF1B01"/>
    <w:multiLevelType w:val="hybridMultilevel"/>
    <w:tmpl w:val="4984A906"/>
    <w:lvl w:ilvl="0" w:tplc="CF8EF508">
      <w:start w:val="1"/>
      <w:numFmt w:val="bullet"/>
      <w:lvlText w:val=""/>
      <w:lvlJc w:val="left"/>
      <w:pPr>
        <w:tabs>
          <w:tab w:val="num" w:pos="720"/>
        </w:tabs>
        <w:ind w:left="720" w:hanging="360"/>
      </w:pPr>
      <w:rPr>
        <w:rFonts w:ascii="Symbol" w:hAnsi="Symbol" w:hint="default"/>
      </w:rPr>
    </w:lvl>
    <w:lvl w:ilvl="1" w:tplc="E618A4E2" w:tentative="1">
      <w:start w:val="1"/>
      <w:numFmt w:val="bullet"/>
      <w:lvlText w:val="o"/>
      <w:lvlJc w:val="left"/>
      <w:pPr>
        <w:tabs>
          <w:tab w:val="num" w:pos="1440"/>
        </w:tabs>
        <w:ind w:left="1440" w:hanging="360"/>
      </w:pPr>
      <w:rPr>
        <w:rFonts w:ascii="Courier New" w:hAnsi="Courier New" w:hint="default"/>
      </w:rPr>
    </w:lvl>
    <w:lvl w:ilvl="2" w:tplc="08BEC5F6" w:tentative="1">
      <w:start w:val="1"/>
      <w:numFmt w:val="bullet"/>
      <w:lvlText w:val=""/>
      <w:lvlJc w:val="left"/>
      <w:pPr>
        <w:tabs>
          <w:tab w:val="num" w:pos="2160"/>
        </w:tabs>
        <w:ind w:left="2160" w:hanging="360"/>
      </w:pPr>
      <w:rPr>
        <w:rFonts w:ascii="Wingdings" w:hAnsi="Wingdings" w:hint="default"/>
      </w:rPr>
    </w:lvl>
    <w:lvl w:ilvl="3" w:tplc="25BE325E" w:tentative="1">
      <w:start w:val="1"/>
      <w:numFmt w:val="bullet"/>
      <w:lvlText w:val=""/>
      <w:lvlJc w:val="left"/>
      <w:pPr>
        <w:tabs>
          <w:tab w:val="num" w:pos="2880"/>
        </w:tabs>
        <w:ind w:left="2880" w:hanging="360"/>
      </w:pPr>
      <w:rPr>
        <w:rFonts w:ascii="Symbol" w:hAnsi="Symbol" w:hint="default"/>
      </w:rPr>
    </w:lvl>
    <w:lvl w:ilvl="4" w:tplc="CF14B830" w:tentative="1">
      <w:start w:val="1"/>
      <w:numFmt w:val="bullet"/>
      <w:lvlText w:val="o"/>
      <w:lvlJc w:val="left"/>
      <w:pPr>
        <w:tabs>
          <w:tab w:val="num" w:pos="3600"/>
        </w:tabs>
        <w:ind w:left="3600" w:hanging="360"/>
      </w:pPr>
      <w:rPr>
        <w:rFonts w:ascii="Courier New" w:hAnsi="Courier New" w:hint="default"/>
      </w:rPr>
    </w:lvl>
    <w:lvl w:ilvl="5" w:tplc="8C4A63D6" w:tentative="1">
      <w:start w:val="1"/>
      <w:numFmt w:val="bullet"/>
      <w:lvlText w:val=""/>
      <w:lvlJc w:val="left"/>
      <w:pPr>
        <w:tabs>
          <w:tab w:val="num" w:pos="4320"/>
        </w:tabs>
        <w:ind w:left="4320" w:hanging="360"/>
      </w:pPr>
      <w:rPr>
        <w:rFonts w:ascii="Wingdings" w:hAnsi="Wingdings" w:hint="default"/>
      </w:rPr>
    </w:lvl>
    <w:lvl w:ilvl="6" w:tplc="6DB64F94" w:tentative="1">
      <w:start w:val="1"/>
      <w:numFmt w:val="bullet"/>
      <w:lvlText w:val=""/>
      <w:lvlJc w:val="left"/>
      <w:pPr>
        <w:tabs>
          <w:tab w:val="num" w:pos="5040"/>
        </w:tabs>
        <w:ind w:left="5040" w:hanging="360"/>
      </w:pPr>
      <w:rPr>
        <w:rFonts w:ascii="Symbol" w:hAnsi="Symbol" w:hint="default"/>
      </w:rPr>
    </w:lvl>
    <w:lvl w:ilvl="7" w:tplc="7AE89D1C" w:tentative="1">
      <w:start w:val="1"/>
      <w:numFmt w:val="bullet"/>
      <w:lvlText w:val="o"/>
      <w:lvlJc w:val="left"/>
      <w:pPr>
        <w:tabs>
          <w:tab w:val="num" w:pos="5760"/>
        </w:tabs>
        <w:ind w:left="5760" w:hanging="360"/>
      </w:pPr>
      <w:rPr>
        <w:rFonts w:ascii="Courier New" w:hAnsi="Courier New" w:hint="default"/>
      </w:rPr>
    </w:lvl>
    <w:lvl w:ilvl="8" w:tplc="DEBA0D74" w:tentative="1">
      <w:start w:val="1"/>
      <w:numFmt w:val="bullet"/>
      <w:lvlText w:val=""/>
      <w:lvlJc w:val="left"/>
      <w:pPr>
        <w:tabs>
          <w:tab w:val="num" w:pos="6480"/>
        </w:tabs>
        <w:ind w:left="6480" w:hanging="360"/>
      </w:pPr>
      <w:rPr>
        <w:rFonts w:ascii="Wingdings" w:hAnsi="Wingdings" w:hint="default"/>
      </w:rPr>
    </w:lvl>
  </w:abstractNum>
  <w:abstractNum w:abstractNumId="26">
    <w:nsid w:val="6C3154D4"/>
    <w:multiLevelType w:val="hybridMultilevel"/>
    <w:tmpl w:val="15781F2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nsid w:val="6DC434B0"/>
    <w:multiLevelType w:val="hybridMultilevel"/>
    <w:tmpl w:val="14CC3B7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nsid w:val="6FFE2B44"/>
    <w:multiLevelType w:val="hybridMultilevel"/>
    <w:tmpl w:val="0C78CB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740242BC"/>
    <w:multiLevelType w:val="hybridMultilevel"/>
    <w:tmpl w:val="AEA4708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nsid w:val="7D004550"/>
    <w:multiLevelType w:val="hybridMultilevel"/>
    <w:tmpl w:val="BCDCC7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lvlOverride w:ilvl="0">
      <w:lvl w:ilvl="0">
        <w:start w:val="1"/>
        <w:numFmt w:val="bullet"/>
        <w:lvlText w:val=""/>
        <w:legacy w:legacy="1" w:legacySpace="0" w:legacyIndent="360"/>
        <w:lvlJc w:val="left"/>
        <w:pPr>
          <w:ind w:left="1080" w:hanging="360"/>
        </w:pPr>
        <w:rPr>
          <w:rFonts w:ascii="Symbol" w:hAnsi="Symbol" w:hint="default"/>
        </w:rPr>
      </w:lvl>
    </w:lvlOverride>
  </w:num>
  <w:num w:numId="2">
    <w:abstractNumId w:val="6"/>
  </w:num>
  <w:num w:numId="3">
    <w:abstractNumId w:val="18"/>
  </w:num>
  <w:num w:numId="4">
    <w:abstractNumId w:val="17"/>
  </w:num>
  <w:num w:numId="5">
    <w:abstractNumId w:val="14"/>
  </w:num>
  <w:num w:numId="6">
    <w:abstractNumId w:val="1"/>
  </w:num>
  <w:num w:numId="7">
    <w:abstractNumId w:val="23"/>
  </w:num>
  <w:num w:numId="8">
    <w:abstractNumId w:val="19"/>
  </w:num>
  <w:num w:numId="9">
    <w:abstractNumId w:val="21"/>
  </w:num>
  <w:num w:numId="10">
    <w:abstractNumId w:val="15"/>
  </w:num>
  <w:num w:numId="11">
    <w:abstractNumId w:val="25"/>
  </w:num>
  <w:num w:numId="12">
    <w:abstractNumId w:val="22"/>
  </w:num>
  <w:num w:numId="13">
    <w:abstractNumId w:val="7"/>
  </w:num>
  <w:num w:numId="14">
    <w:abstractNumId w:val="12"/>
  </w:num>
  <w:num w:numId="15">
    <w:abstractNumId w:val="10"/>
  </w:num>
  <w:num w:numId="16">
    <w:abstractNumId w:val="30"/>
  </w:num>
  <w:num w:numId="17">
    <w:abstractNumId w:val="5"/>
  </w:num>
  <w:num w:numId="18">
    <w:abstractNumId w:val="16"/>
  </w:num>
  <w:num w:numId="19">
    <w:abstractNumId w:val="28"/>
  </w:num>
  <w:num w:numId="20">
    <w:abstractNumId w:val="11"/>
  </w:num>
  <w:num w:numId="21">
    <w:abstractNumId w:val="8"/>
  </w:num>
  <w:num w:numId="22">
    <w:abstractNumId w:val="2"/>
  </w:num>
  <w:num w:numId="23">
    <w:abstractNumId w:val="13"/>
  </w:num>
  <w:num w:numId="24">
    <w:abstractNumId w:val="24"/>
  </w:num>
  <w:num w:numId="25">
    <w:abstractNumId w:val="20"/>
  </w:num>
  <w:num w:numId="26">
    <w:abstractNumId w:val="26"/>
  </w:num>
  <w:num w:numId="27">
    <w:abstractNumId w:val="9"/>
  </w:num>
  <w:num w:numId="28">
    <w:abstractNumId w:val="4"/>
  </w:num>
  <w:num w:numId="29">
    <w:abstractNumId w:val="27"/>
  </w:num>
  <w:num w:numId="30">
    <w:abstractNumId w:val="29"/>
  </w:num>
  <w:num w:numId="3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embedSystemFonts/>
  <w:proofState w:spelling="clean" w:grammar="clean"/>
  <w:stylePaneSortMethod w:val="0000"/>
  <w:defaultTabStop w:val="1304"/>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Transportation Res A&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1&lt;/SpaceAfter&gt;&lt;HyperlinksEnabled&gt;1&lt;/HyperlinksEnabled&gt;&lt;HyperlinksVisible&gt;0&lt;/HyperlinksVisible&gt;&lt;/ENLayout&gt;"/>
    <w:docVar w:name="EN.Libraries" w:val="&lt;Libraries&gt;&lt;item db-id=&quot;a0wpest2552swgezzsnxxwsnpp9axwswpaww&quot;&gt;allnew-Saved&lt;record-ids&gt;&lt;item&gt;627&lt;/item&gt;&lt;item&gt;665&lt;/item&gt;&lt;item&gt;678&lt;/item&gt;&lt;item&gt;682&lt;/item&gt;&lt;item&gt;689&lt;/item&gt;&lt;item&gt;713&lt;/item&gt;&lt;item&gt;714&lt;/item&gt;&lt;item&gt;719&lt;/item&gt;&lt;item&gt;725&lt;/item&gt;&lt;item&gt;728&lt;/item&gt;&lt;item&gt;733&lt;/item&gt;&lt;item&gt;741&lt;/item&gt;&lt;item&gt;745&lt;/item&gt;&lt;item&gt;747&lt;/item&gt;&lt;item&gt;748&lt;/item&gt;&lt;item&gt;749&lt;/item&gt;&lt;item&gt;750&lt;/item&gt;&lt;item&gt;751&lt;/item&gt;&lt;item&gt;752&lt;/item&gt;&lt;item&gt;805&lt;/item&gt;&lt;item&gt;810&lt;/item&gt;&lt;item&gt;815&lt;/item&gt;&lt;item&gt;818&lt;/item&gt;&lt;item&gt;819&lt;/item&gt;&lt;item&gt;825&lt;/item&gt;&lt;item&gt;826&lt;/item&gt;&lt;item&gt;827&lt;/item&gt;&lt;item&gt;828&lt;/item&gt;&lt;item&gt;832&lt;/item&gt;&lt;item&gt;833&lt;/item&gt;&lt;item&gt;834&lt;/item&gt;&lt;item&gt;836&lt;/item&gt;&lt;item&gt;837&lt;/item&gt;&lt;item&gt;839&lt;/item&gt;&lt;item&gt;841&lt;/item&gt;&lt;item&gt;842&lt;/item&gt;&lt;item&gt;843&lt;/item&gt;&lt;item&gt;844&lt;/item&gt;&lt;item&gt;845&lt;/item&gt;&lt;item&gt;846&lt;/item&gt;&lt;item&gt;847&lt;/item&gt;&lt;item&gt;848&lt;/item&gt;&lt;item&gt;853&lt;/item&gt;&lt;item&gt;855&lt;/item&gt;&lt;item&gt;856&lt;/item&gt;&lt;item&gt;859&lt;/item&gt;&lt;item&gt;860&lt;/item&gt;&lt;item&gt;863&lt;/item&gt;&lt;item&gt;864&lt;/item&gt;&lt;item&gt;867&lt;/item&gt;&lt;item&gt;868&lt;/item&gt;&lt;item&gt;869&lt;/item&gt;&lt;item&gt;870&lt;/item&gt;&lt;item&gt;881&lt;/item&gt;&lt;item&gt;882&lt;/item&gt;&lt;item&gt;883&lt;/item&gt;&lt;item&gt;885&lt;/item&gt;&lt;item&gt;886&lt;/item&gt;&lt;item&gt;888&lt;/item&gt;&lt;item&gt;889&lt;/item&gt;&lt;item&gt;890&lt;/item&gt;&lt;item&gt;891&lt;/item&gt;&lt;item&gt;893&lt;/item&gt;&lt;item&gt;896&lt;/item&gt;&lt;item&gt;926&lt;/item&gt;&lt;item&gt;929&lt;/item&gt;&lt;item&gt;930&lt;/item&gt;&lt;item&gt;931&lt;/item&gt;&lt;item&gt;932&lt;/item&gt;&lt;item&gt;933&lt;/item&gt;&lt;item&gt;934&lt;/item&gt;&lt;item&gt;935&lt;/item&gt;&lt;item&gt;936&lt;/item&gt;&lt;item&gt;937&lt;/item&gt;&lt;item&gt;960&lt;/item&gt;&lt;item&gt;976&lt;/item&gt;&lt;item&gt;977&lt;/item&gt;&lt;item&gt;978&lt;/item&gt;&lt;item&gt;979&lt;/item&gt;&lt;item&gt;983&lt;/item&gt;&lt;item&gt;984&lt;/item&gt;&lt;item&gt;985&lt;/item&gt;&lt;item&gt;986&lt;/item&gt;&lt;item&gt;990&lt;/item&gt;&lt;item&gt;991&lt;/item&gt;&lt;item&gt;992&lt;/item&gt;&lt;item&gt;993&lt;/item&gt;&lt;item&gt;994&lt;/item&gt;&lt;/record-ids&gt;&lt;/item&gt;&lt;/Libraries&gt;"/>
  </w:docVars>
  <w:rsids>
    <w:rsidRoot w:val="007C1764"/>
    <w:rsid w:val="00000BE4"/>
    <w:rsid w:val="00003111"/>
    <w:rsid w:val="000038ED"/>
    <w:rsid w:val="000045DA"/>
    <w:rsid w:val="0000771F"/>
    <w:rsid w:val="000104F1"/>
    <w:rsid w:val="000109CA"/>
    <w:rsid w:val="000116AF"/>
    <w:rsid w:val="00011E68"/>
    <w:rsid w:val="00013756"/>
    <w:rsid w:val="00015B42"/>
    <w:rsid w:val="00020A52"/>
    <w:rsid w:val="000258E0"/>
    <w:rsid w:val="00026495"/>
    <w:rsid w:val="000345FC"/>
    <w:rsid w:val="00037E57"/>
    <w:rsid w:val="000401E0"/>
    <w:rsid w:val="0004399E"/>
    <w:rsid w:val="00046608"/>
    <w:rsid w:val="00046B8B"/>
    <w:rsid w:val="000519C9"/>
    <w:rsid w:val="00052713"/>
    <w:rsid w:val="00052AD2"/>
    <w:rsid w:val="00061B6B"/>
    <w:rsid w:val="00061FDF"/>
    <w:rsid w:val="00071E80"/>
    <w:rsid w:val="00073A59"/>
    <w:rsid w:val="00082500"/>
    <w:rsid w:val="00082EEF"/>
    <w:rsid w:val="000830ED"/>
    <w:rsid w:val="000876CF"/>
    <w:rsid w:val="00090F6A"/>
    <w:rsid w:val="000933F7"/>
    <w:rsid w:val="000959B2"/>
    <w:rsid w:val="000A40E7"/>
    <w:rsid w:val="000A64E7"/>
    <w:rsid w:val="000A7B7E"/>
    <w:rsid w:val="000B4E22"/>
    <w:rsid w:val="000B58F7"/>
    <w:rsid w:val="000B7639"/>
    <w:rsid w:val="000C04D8"/>
    <w:rsid w:val="000C4D64"/>
    <w:rsid w:val="000C6249"/>
    <w:rsid w:val="000C666C"/>
    <w:rsid w:val="000D5D30"/>
    <w:rsid w:val="000D5F8C"/>
    <w:rsid w:val="000D65CF"/>
    <w:rsid w:val="000D72BE"/>
    <w:rsid w:val="000D7A60"/>
    <w:rsid w:val="000E053F"/>
    <w:rsid w:val="000E0689"/>
    <w:rsid w:val="000E2173"/>
    <w:rsid w:val="000E3373"/>
    <w:rsid w:val="000F25AB"/>
    <w:rsid w:val="000F3068"/>
    <w:rsid w:val="000F3616"/>
    <w:rsid w:val="000F4B12"/>
    <w:rsid w:val="000F4C03"/>
    <w:rsid w:val="000F752E"/>
    <w:rsid w:val="00103262"/>
    <w:rsid w:val="00104FCE"/>
    <w:rsid w:val="00106DE4"/>
    <w:rsid w:val="00116400"/>
    <w:rsid w:val="0012371D"/>
    <w:rsid w:val="00125638"/>
    <w:rsid w:val="001270D4"/>
    <w:rsid w:val="001311C8"/>
    <w:rsid w:val="00134776"/>
    <w:rsid w:val="00135502"/>
    <w:rsid w:val="00136F5E"/>
    <w:rsid w:val="00141CF2"/>
    <w:rsid w:val="00145D1B"/>
    <w:rsid w:val="001562D2"/>
    <w:rsid w:val="001564BC"/>
    <w:rsid w:val="00160D19"/>
    <w:rsid w:val="0016189E"/>
    <w:rsid w:val="0017153F"/>
    <w:rsid w:val="00172357"/>
    <w:rsid w:val="00173039"/>
    <w:rsid w:val="0018017B"/>
    <w:rsid w:val="00181BE8"/>
    <w:rsid w:val="0018386A"/>
    <w:rsid w:val="001918BF"/>
    <w:rsid w:val="00191E2E"/>
    <w:rsid w:val="001977D2"/>
    <w:rsid w:val="001A0C22"/>
    <w:rsid w:val="001A38D3"/>
    <w:rsid w:val="001A43EA"/>
    <w:rsid w:val="001A4AA0"/>
    <w:rsid w:val="001A4F33"/>
    <w:rsid w:val="001B1085"/>
    <w:rsid w:val="001B3E8B"/>
    <w:rsid w:val="001B6A23"/>
    <w:rsid w:val="001C3FA5"/>
    <w:rsid w:val="001C6582"/>
    <w:rsid w:val="001C6A3E"/>
    <w:rsid w:val="001D0FB6"/>
    <w:rsid w:val="001D1055"/>
    <w:rsid w:val="001D11A1"/>
    <w:rsid w:val="001D4DDA"/>
    <w:rsid w:val="001D79D8"/>
    <w:rsid w:val="001E1112"/>
    <w:rsid w:val="001E14B7"/>
    <w:rsid w:val="001E161C"/>
    <w:rsid w:val="001E6639"/>
    <w:rsid w:val="001F17EE"/>
    <w:rsid w:val="001F2C7B"/>
    <w:rsid w:val="001F3D1C"/>
    <w:rsid w:val="00203DE5"/>
    <w:rsid w:val="00203EC4"/>
    <w:rsid w:val="002042D2"/>
    <w:rsid w:val="00204DD6"/>
    <w:rsid w:val="00206DCC"/>
    <w:rsid w:val="00207D3F"/>
    <w:rsid w:val="0021148F"/>
    <w:rsid w:val="00212F56"/>
    <w:rsid w:val="00215B7C"/>
    <w:rsid w:val="0022608B"/>
    <w:rsid w:val="0023500F"/>
    <w:rsid w:val="002369F0"/>
    <w:rsid w:val="00236D8C"/>
    <w:rsid w:val="00250B49"/>
    <w:rsid w:val="00250FBE"/>
    <w:rsid w:val="002526EF"/>
    <w:rsid w:val="00252E94"/>
    <w:rsid w:val="002531EC"/>
    <w:rsid w:val="002575D6"/>
    <w:rsid w:val="00262AB4"/>
    <w:rsid w:val="00275050"/>
    <w:rsid w:val="002756A5"/>
    <w:rsid w:val="00281475"/>
    <w:rsid w:val="002845A5"/>
    <w:rsid w:val="00285B58"/>
    <w:rsid w:val="00285F9F"/>
    <w:rsid w:val="00286FD1"/>
    <w:rsid w:val="00291FD3"/>
    <w:rsid w:val="00292FBF"/>
    <w:rsid w:val="0029427C"/>
    <w:rsid w:val="002962C6"/>
    <w:rsid w:val="00296566"/>
    <w:rsid w:val="002967B5"/>
    <w:rsid w:val="00297539"/>
    <w:rsid w:val="002B51B5"/>
    <w:rsid w:val="002D2C30"/>
    <w:rsid w:val="002D60F6"/>
    <w:rsid w:val="002D7CED"/>
    <w:rsid w:val="002E6F23"/>
    <w:rsid w:val="002F1885"/>
    <w:rsid w:val="002F2679"/>
    <w:rsid w:val="002F2C03"/>
    <w:rsid w:val="002F61FE"/>
    <w:rsid w:val="002F70EB"/>
    <w:rsid w:val="002F74B6"/>
    <w:rsid w:val="002F78D5"/>
    <w:rsid w:val="00301A4E"/>
    <w:rsid w:val="00301CCA"/>
    <w:rsid w:val="0030351D"/>
    <w:rsid w:val="00303773"/>
    <w:rsid w:val="00304FA6"/>
    <w:rsid w:val="003113A1"/>
    <w:rsid w:val="0031222F"/>
    <w:rsid w:val="00315276"/>
    <w:rsid w:val="003206DF"/>
    <w:rsid w:val="00321F3A"/>
    <w:rsid w:val="00322652"/>
    <w:rsid w:val="00322C30"/>
    <w:rsid w:val="0032616E"/>
    <w:rsid w:val="00326BF8"/>
    <w:rsid w:val="003317AC"/>
    <w:rsid w:val="00333031"/>
    <w:rsid w:val="00340467"/>
    <w:rsid w:val="00341BD7"/>
    <w:rsid w:val="00342B9A"/>
    <w:rsid w:val="00346362"/>
    <w:rsid w:val="003472A9"/>
    <w:rsid w:val="0035260F"/>
    <w:rsid w:val="00356769"/>
    <w:rsid w:val="00364144"/>
    <w:rsid w:val="003642D0"/>
    <w:rsid w:val="0036720C"/>
    <w:rsid w:val="0037210B"/>
    <w:rsid w:val="00373740"/>
    <w:rsid w:val="00374F2E"/>
    <w:rsid w:val="0037707E"/>
    <w:rsid w:val="00380650"/>
    <w:rsid w:val="003843CD"/>
    <w:rsid w:val="00384F05"/>
    <w:rsid w:val="00390128"/>
    <w:rsid w:val="00391202"/>
    <w:rsid w:val="00393C21"/>
    <w:rsid w:val="003949BA"/>
    <w:rsid w:val="00397B10"/>
    <w:rsid w:val="003A20EC"/>
    <w:rsid w:val="003A4F70"/>
    <w:rsid w:val="003A615C"/>
    <w:rsid w:val="003A78D6"/>
    <w:rsid w:val="003B18E6"/>
    <w:rsid w:val="003B4884"/>
    <w:rsid w:val="003B4E64"/>
    <w:rsid w:val="003B5B61"/>
    <w:rsid w:val="003C1865"/>
    <w:rsid w:val="003C229A"/>
    <w:rsid w:val="003C307A"/>
    <w:rsid w:val="003C3576"/>
    <w:rsid w:val="003C4C97"/>
    <w:rsid w:val="003C52A4"/>
    <w:rsid w:val="003C5A1A"/>
    <w:rsid w:val="003C77C1"/>
    <w:rsid w:val="003C7E54"/>
    <w:rsid w:val="003D2D21"/>
    <w:rsid w:val="003E23A6"/>
    <w:rsid w:val="003E7054"/>
    <w:rsid w:val="003F3B2D"/>
    <w:rsid w:val="003F5B2D"/>
    <w:rsid w:val="003F6BEA"/>
    <w:rsid w:val="00402C71"/>
    <w:rsid w:val="004073F6"/>
    <w:rsid w:val="00411CE1"/>
    <w:rsid w:val="00411E2F"/>
    <w:rsid w:val="00423C53"/>
    <w:rsid w:val="004249A6"/>
    <w:rsid w:val="00425108"/>
    <w:rsid w:val="00426386"/>
    <w:rsid w:val="0042765A"/>
    <w:rsid w:val="00433399"/>
    <w:rsid w:val="0043703D"/>
    <w:rsid w:val="00450CDC"/>
    <w:rsid w:val="00451A22"/>
    <w:rsid w:val="00453F57"/>
    <w:rsid w:val="00455068"/>
    <w:rsid w:val="00455C01"/>
    <w:rsid w:val="00456309"/>
    <w:rsid w:val="0046037C"/>
    <w:rsid w:val="004612E6"/>
    <w:rsid w:val="00471C2F"/>
    <w:rsid w:val="00474872"/>
    <w:rsid w:val="00475653"/>
    <w:rsid w:val="004821F7"/>
    <w:rsid w:val="00490B75"/>
    <w:rsid w:val="00491E63"/>
    <w:rsid w:val="00497ECA"/>
    <w:rsid w:val="004A02A8"/>
    <w:rsid w:val="004A109F"/>
    <w:rsid w:val="004A42DB"/>
    <w:rsid w:val="004B3DA0"/>
    <w:rsid w:val="004B3E1D"/>
    <w:rsid w:val="004B7D65"/>
    <w:rsid w:val="004C245C"/>
    <w:rsid w:val="004C4569"/>
    <w:rsid w:val="004D00A3"/>
    <w:rsid w:val="004D20E8"/>
    <w:rsid w:val="004E3A76"/>
    <w:rsid w:val="004E6864"/>
    <w:rsid w:val="004F2B9B"/>
    <w:rsid w:val="004F552C"/>
    <w:rsid w:val="00501EF3"/>
    <w:rsid w:val="00513A2E"/>
    <w:rsid w:val="005151ED"/>
    <w:rsid w:val="00521666"/>
    <w:rsid w:val="0052682D"/>
    <w:rsid w:val="00533C8D"/>
    <w:rsid w:val="00536CE8"/>
    <w:rsid w:val="0053730F"/>
    <w:rsid w:val="00546205"/>
    <w:rsid w:val="00546ABC"/>
    <w:rsid w:val="00546B93"/>
    <w:rsid w:val="00546DD2"/>
    <w:rsid w:val="00546DDF"/>
    <w:rsid w:val="005477C7"/>
    <w:rsid w:val="00551BFF"/>
    <w:rsid w:val="0056407A"/>
    <w:rsid w:val="00565D3D"/>
    <w:rsid w:val="0057211F"/>
    <w:rsid w:val="00573241"/>
    <w:rsid w:val="005747A7"/>
    <w:rsid w:val="00576EBB"/>
    <w:rsid w:val="00581963"/>
    <w:rsid w:val="0058590F"/>
    <w:rsid w:val="00587FBA"/>
    <w:rsid w:val="005908C3"/>
    <w:rsid w:val="005929D6"/>
    <w:rsid w:val="005A10A5"/>
    <w:rsid w:val="005A6282"/>
    <w:rsid w:val="005B12D2"/>
    <w:rsid w:val="005B1829"/>
    <w:rsid w:val="005B2F09"/>
    <w:rsid w:val="005B583A"/>
    <w:rsid w:val="005B5A92"/>
    <w:rsid w:val="005B675D"/>
    <w:rsid w:val="005C01E4"/>
    <w:rsid w:val="005C385D"/>
    <w:rsid w:val="005C3A20"/>
    <w:rsid w:val="005C7421"/>
    <w:rsid w:val="005D11F4"/>
    <w:rsid w:val="005D1735"/>
    <w:rsid w:val="005D20C2"/>
    <w:rsid w:val="005D27FC"/>
    <w:rsid w:val="005D4598"/>
    <w:rsid w:val="005E15D4"/>
    <w:rsid w:val="005E1A9E"/>
    <w:rsid w:val="005E32F6"/>
    <w:rsid w:val="005E5AAB"/>
    <w:rsid w:val="005E6A1F"/>
    <w:rsid w:val="005E6D94"/>
    <w:rsid w:val="005E7FB9"/>
    <w:rsid w:val="005F441C"/>
    <w:rsid w:val="005F6A6D"/>
    <w:rsid w:val="005F733E"/>
    <w:rsid w:val="005F7A21"/>
    <w:rsid w:val="00603CB2"/>
    <w:rsid w:val="006055F7"/>
    <w:rsid w:val="00622CF4"/>
    <w:rsid w:val="00626DBD"/>
    <w:rsid w:val="006301C4"/>
    <w:rsid w:val="006302AE"/>
    <w:rsid w:val="00631884"/>
    <w:rsid w:val="00631B24"/>
    <w:rsid w:val="0063219A"/>
    <w:rsid w:val="00635FC1"/>
    <w:rsid w:val="00636684"/>
    <w:rsid w:val="0064413B"/>
    <w:rsid w:val="0064494E"/>
    <w:rsid w:val="006472E4"/>
    <w:rsid w:val="00652EFF"/>
    <w:rsid w:val="00653C01"/>
    <w:rsid w:val="00654C22"/>
    <w:rsid w:val="006572F5"/>
    <w:rsid w:val="00660860"/>
    <w:rsid w:val="00662CEA"/>
    <w:rsid w:val="006641B0"/>
    <w:rsid w:val="00667BF7"/>
    <w:rsid w:val="006702E6"/>
    <w:rsid w:val="00681569"/>
    <w:rsid w:val="00681D0B"/>
    <w:rsid w:val="00682E36"/>
    <w:rsid w:val="0068453C"/>
    <w:rsid w:val="0068566F"/>
    <w:rsid w:val="00685C29"/>
    <w:rsid w:val="00695655"/>
    <w:rsid w:val="00695B27"/>
    <w:rsid w:val="00697A9D"/>
    <w:rsid w:val="00697B23"/>
    <w:rsid w:val="006A5450"/>
    <w:rsid w:val="006A5B41"/>
    <w:rsid w:val="006A6592"/>
    <w:rsid w:val="006B0CBA"/>
    <w:rsid w:val="006B1081"/>
    <w:rsid w:val="006B3D16"/>
    <w:rsid w:val="006B682E"/>
    <w:rsid w:val="006B7007"/>
    <w:rsid w:val="006C04F3"/>
    <w:rsid w:val="006C174B"/>
    <w:rsid w:val="006C300A"/>
    <w:rsid w:val="006C599E"/>
    <w:rsid w:val="006C6749"/>
    <w:rsid w:val="006D3467"/>
    <w:rsid w:val="006D3F95"/>
    <w:rsid w:val="006D42BD"/>
    <w:rsid w:val="006E21BF"/>
    <w:rsid w:val="006E3CA3"/>
    <w:rsid w:val="006E5A4B"/>
    <w:rsid w:val="006F291F"/>
    <w:rsid w:val="0070221E"/>
    <w:rsid w:val="00703D04"/>
    <w:rsid w:val="0070431A"/>
    <w:rsid w:val="007062B4"/>
    <w:rsid w:val="0071218C"/>
    <w:rsid w:val="00712CF7"/>
    <w:rsid w:val="00716DFF"/>
    <w:rsid w:val="007172CF"/>
    <w:rsid w:val="00722541"/>
    <w:rsid w:val="00723F7C"/>
    <w:rsid w:val="00727175"/>
    <w:rsid w:val="00730E99"/>
    <w:rsid w:val="007321D2"/>
    <w:rsid w:val="00745E9E"/>
    <w:rsid w:val="007502FB"/>
    <w:rsid w:val="00754CCA"/>
    <w:rsid w:val="007554F4"/>
    <w:rsid w:val="00755BFF"/>
    <w:rsid w:val="007561C3"/>
    <w:rsid w:val="0076025E"/>
    <w:rsid w:val="00760D21"/>
    <w:rsid w:val="007625B8"/>
    <w:rsid w:val="0076472C"/>
    <w:rsid w:val="00766D42"/>
    <w:rsid w:val="0076784F"/>
    <w:rsid w:val="00770A14"/>
    <w:rsid w:val="00775418"/>
    <w:rsid w:val="00776512"/>
    <w:rsid w:val="007765F7"/>
    <w:rsid w:val="00780C76"/>
    <w:rsid w:val="00783FA7"/>
    <w:rsid w:val="00784C17"/>
    <w:rsid w:val="0079340A"/>
    <w:rsid w:val="00793FA8"/>
    <w:rsid w:val="00797616"/>
    <w:rsid w:val="007A7C7D"/>
    <w:rsid w:val="007B0396"/>
    <w:rsid w:val="007B3799"/>
    <w:rsid w:val="007B3B60"/>
    <w:rsid w:val="007B558D"/>
    <w:rsid w:val="007B6222"/>
    <w:rsid w:val="007B6814"/>
    <w:rsid w:val="007C1764"/>
    <w:rsid w:val="007C3F77"/>
    <w:rsid w:val="007C5A08"/>
    <w:rsid w:val="007D7F79"/>
    <w:rsid w:val="007E0FAE"/>
    <w:rsid w:val="007E2178"/>
    <w:rsid w:val="007E45F5"/>
    <w:rsid w:val="007E6BE4"/>
    <w:rsid w:val="007F0E01"/>
    <w:rsid w:val="007F2054"/>
    <w:rsid w:val="007F6C04"/>
    <w:rsid w:val="007F72C5"/>
    <w:rsid w:val="008005BB"/>
    <w:rsid w:val="008035AF"/>
    <w:rsid w:val="00814EE6"/>
    <w:rsid w:val="008159CB"/>
    <w:rsid w:val="0081630C"/>
    <w:rsid w:val="00820AF4"/>
    <w:rsid w:val="00821704"/>
    <w:rsid w:val="0082367E"/>
    <w:rsid w:val="00824B8E"/>
    <w:rsid w:val="0083197C"/>
    <w:rsid w:val="0083567E"/>
    <w:rsid w:val="008406C7"/>
    <w:rsid w:val="00854322"/>
    <w:rsid w:val="00864653"/>
    <w:rsid w:val="00867071"/>
    <w:rsid w:val="008672D9"/>
    <w:rsid w:val="00867C8A"/>
    <w:rsid w:val="008720AD"/>
    <w:rsid w:val="00877BED"/>
    <w:rsid w:val="00880B2F"/>
    <w:rsid w:val="00884BB1"/>
    <w:rsid w:val="008902D0"/>
    <w:rsid w:val="008A36A2"/>
    <w:rsid w:val="008A6099"/>
    <w:rsid w:val="008B0178"/>
    <w:rsid w:val="008B0AA9"/>
    <w:rsid w:val="008B2267"/>
    <w:rsid w:val="008B5A93"/>
    <w:rsid w:val="008B7682"/>
    <w:rsid w:val="008C47E0"/>
    <w:rsid w:val="008D2E70"/>
    <w:rsid w:val="008E4E88"/>
    <w:rsid w:val="008F21AB"/>
    <w:rsid w:val="008F4A86"/>
    <w:rsid w:val="008F69E0"/>
    <w:rsid w:val="009009CA"/>
    <w:rsid w:val="00907602"/>
    <w:rsid w:val="009078CB"/>
    <w:rsid w:val="00907AF7"/>
    <w:rsid w:val="00913713"/>
    <w:rsid w:val="009165CA"/>
    <w:rsid w:val="00917D0B"/>
    <w:rsid w:val="0092055E"/>
    <w:rsid w:val="0092215A"/>
    <w:rsid w:val="00924CC0"/>
    <w:rsid w:val="00925F5D"/>
    <w:rsid w:val="009335E1"/>
    <w:rsid w:val="009365C0"/>
    <w:rsid w:val="009519E7"/>
    <w:rsid w:val="00952B24"/>
    <w:rsid w:val="00954934"/>
    <w:rsid w:val="00954E4F"/>
    <w:rsid w:val="009652EA"/>
    <w:rsid w:val="009652F0"/>
    <w:rsid w:val="00974CDC"/>
    <w:rsid w:val="00976348"/>
    <w:rsid w:val="009806BC"/>
    <w:rsid w:val="00983957"/>
    <w:rsid w:val="00984E5F"/>
    <w:rsid w:val="00986C77"/>
    <w:rsid w:val="0098753B"/>
    <w:rsid w:val="0098770D"/>
    <w:rsid w:val="0099025B"/>
    <w:rsid w:val="00990F79"/>
    <w:rsid w:val="009936F1"/>
    <w:rsid w:val="0099404F"/>
    <w:rsid w:val="009A1D2C"/>
    <w:rsid w:val="009A2C8C"/>
    <w:rsid w:val="009A70C4"/>
    <w:rsid w:val="009A7DE6"/>
    <w:rsid w:val="009B2B98"/>
    <w:rsid w:val="009B655C"/>
    <w:rsid w:val="009C0238"/>
    <w:rsid w:val="009C6C7B"/>
    <w:rsid w:val="009D1FA6"/>
    <w:rsid w:val="009D28AE"/>
    <w:rsid w:val="009D2F93"/>
    <w:rsid w:val="009D6CBB"/>
    <w:rsid w:val="009E1A76"/>
    <w:rsid w:val="009E23C7"/>
    <w:rsid w:val="009E24C7"/>
    <w:rsid w:val="009E5518"/>
    <w:rsid w:val="009F2FD1"/>
    <w:rsid w:val="009F43BB"/>
    <w:rsid w:val="009F6DFF"/>
    <w:rsid w:val="00A01268"/>
    <w:rsid w:val="00A018D1"/>
    <w:rsid w:val="00A02904"/>
    <w:rsid w:val="00A16232"/>
    <w:rsid w:val="00A17A39"/>
    <w:rsid w:val="00A207C6"/>
    <w:rsid w:val="00A26A1D"/>
    <w:rsid w:val="00A332EC"/>
    <w:rsid w:val="00A34B50"/>
    <w:rsid w:val="00A351D8"/>
    <w:rsid w:val="00A35C2C"/>
    <w:rsid w:val="00A4390A"/>
    <w:rsid w:val="00A46830"/>
    <w:rsid w:val="00A527D0"/>
    <w:rsid w:val="00A554AD"/>
    <w:rsid w:val="00A55AD9"/>
    <w:rsid w:val="00A62F53"/>
    <w:rsid w:val="00A63814"/>
    <w:rsid w:val="00A642EF"/>
    <w:rsid w:val="00A6498C"/>
    <w:rsid w:val="00A64DA0"/>
    <w:rsid w:val="00A65596"/>
    <w:rsid w:val="00A70C8D"/>
    <w:rsid w:val="00A72244"/>
    <w:rsid w:val="00A7624F"/>
    <w:rsid w:val="00A77D53"/>
    <w:rsid w:val="00A806AE"/>
    <w:rsid w:val="00A81D34"/>
    <w:rsid w:val="00A83ACF"/>
    <w:rsid w:val="00A83F7B"/>
    <w:rsid w:val="00A87376"/>
    <w:rsid w:val="00A90F74"/>
    <w:rsid w:val="00A9117A"/>
    <w:rsid w:val="00A91494"/>
    <w:rsid w:val="00A931A0"/>
    <w:rsid w:val="00A95B72"/>
    <w:rsid w:val="00AA0808"/>
    <w:rsid w:val="00AA29E4"/>
    <w:rsid w:val="00AB2C10"/>
    <w:rsid w:val="00AB43CF"/>
    <w:rsid w:val="00AC11D9"/>
    <w:rsid w:val="00AC2830"/>
    <w:rsid w:val="00AC55C9"/>
    <w:rsid w:val="00AC6516"/>
    <w:rsid w:val="00AC6A0B"/>
    <w:rsid w:val="00AD2E06"/>
    <w:rsid w:val="00AD7F4E"/>
    <w:rsid w:val="00AE3F32"/>
    <w:rsid w:val="00AE6339"/>
    <w:rsid w:val="00AE729A"/>
    <w:rsid w:val="00AF3D3B"/>
    <w:rsid w:val="00B02439"/>
    <w:rsid w:val="00B030BC"/>
    <w:rsid w:val="00B100A9"/>
    <w:rsid w:val="00B10FE1"/>
    <w:rsid w:val="00B16CE1"/>
    <w:rsid w:val="00B17287"/>
    <w:rsid w:val="00B2474E"/>
    <w:rsid w:val="00B26776"/>
    <w:rsid w:val="00B32021"/>
    <w:rsid w:val="00B32041"/>
    <w:rsid w:val="00B348BD"/>
    <w:rsid w:val="00B46004"/>
    <w:rsid w:val="00B527E7"/>
    <w:rsid w:val="00B5346F"/>
    <w:rsid w:val="00B54AE7"/>
    <w:rsid w:val="00B61A13"/>
    <w:rsid w:val="00B63A6D"/>
    <w:rsid w:val="00B825C2"/>
    <w:rsid w:val="00B85D84"/>
    <w:rsid w:val="00B92362"/>
    <w:rsid w:val="00B94926"/>
    <w:rsid w:val="00B96532"/>
    <w:rsid w:val="00B967EA"/>
    <w:rsid w:val="00BB2436"/>
    <w:rsid w:val="00BB3116"/>
    <w:rsid w:val="00BB43B7"/>
    <w:rsid w:val="00BB6CD5"/>
    <w:rsid w:val="00BC22DA"/>
    <w:rsid w:val="00BC5314"/>
    <w:rsid w:val="00BC77E3"/>
    <w:rsid w:val="00BD0430"/>
    <w:rsid w:val="00BD152D"/>
    <w:rsid w:val="00BD1B2E"/>
    <w:rsid w:val="00BD469F"/>
    <w:rsid w:val="00BE589E"/>
    <w:rsid w:val="00BE5BFA"/>
    <w:rsid w:val="00BE71CC"/>
    <w:rsid w:val="00BF09FB"/>
    <w:rsid w:val="00BF1E32"/>
    <w:rsid w:val="00BF6C1B"/>
    <w:rsid w:val="00C0036A"/>
    <w:rsid w:val="00C00928"/>
    <w:rsid w:val="00C013DD"/>
    <w:rsid w:val="00C109D4"/>
    <w:rsid w:val="00C11050"/>
    <w:rsid w:val="00C11051"/>
    <w:rsid w:val="00C14CFE"/>
    <w:rsid w:val="00C167EC"/>
    <w:rsid w:val="00C17105"/>
    <w:rsid w:val="00C2099A"/>
    <w:rsid w:val="00C2282B"/>
    <w:rsid w:val="00C235EF"/>
    <w:rsid w:val="00C254CB"/>
    <w:rsid w:val="00C2662B"/>
    <w:rsid w:val="00C27615"/>
    <w:rsid w:val="00C27B93"/>
    <w:rsid w:val="00C34E6E"/>
    <w:rsid w:val="00C35332"/>
    <w:rsid w:val="00C3593C"/>
    <w:rsid w:val="00C459E9"/>
    <w:rsid w:val="00C471F6"/>
    <w:rsid w:val="00C47701"/>
    <w:rsid w:val="00C50F1D"/>
    <w:rsid w:val="00C513FB"/>
    <w:rsid w:val="00C5583E"/>
    <w:rsid w:val="00C5683C"/>
    <w:rsid w:val="00C64BF5"/>
    <w:rsid w:val="00C657CF"/>
    <w:rsid w:val="00C66E84"/>
    <w:rsid w:val="00C67745"/>
    <w:rsid w:val="00C71F54"/>
    <w:rsid w:val="00C739A7"/>
    <w:rsid w:val="00C80AF4"/>
    <w:rsid w:val="00C84BA4"/>
    <w:rsid w:val="00C8593A"/>
    <w:rsid w:val="00C900D0"/>
    <w:rsid w:val="00C90414"/>
    <w:rsid w:val="00CA0ED1"/>
    <w:rsid w:val="00CA101F"/>
    <w:rsid w:val="00CA2A99"/>
    <w:rsid w:val="00CA6367"/>
    <w:rsid w:val="00CB1364"/>
    <w:rsid w:val="00CB3844"/>
    <w:rsid w:val="00CB3D8C"/>
    <w:rsid w:val="00CC718B"/>
    <w:rsid w:val="00CC735A"/>
    <w:rsid w:val="00CD134F"/>
    <w:rsid w:val="00CD2B3E"/>
    <w:rsid w:val="00CD4B0C"/>
    <w:rsid w:val="00CD4CEE"/>
    <w:rsid w:val="00CD7F3D"/>
    <w:rsid w:val="00CE5F2E"/>
    <w:rsid w:val="00CE6331"/>
    <w:rsid w:val="00CE6FB4"/>
    <w:rsid w:val="00CE7974"/>
    <w:rsid w:val="00CF04B8"/>
    <w:rsid w:val="00CF2B07"/>
    <w:rsid w:val="00CF3C00"/>
    <w:rsid w:val="00CF5B6B"/>
    <w:rsid w:val="00CF5E56"/>
    <w:rsid w:val="00D01C4B"/>
    <w:rsid w:val="00D025BB"/>
    <w:rsid w:val="00D11074"/>
    <w:rsid w:val="00D11878"/>
    <w:rsid w:val="00D120C8"/>
    <w:rsid w:val="00D16E59"/>
    <w:rsid w:val="00D2265D"/>
    <w:rsid w:val="00D267C3"/>
    <w:rsid w:val="00D26BA6"/>
    <w:rsid w:val="00D3003B"/>
    <w:rsid w:val="00D3071A"/>
    <w:rsid w:val="00D30C46"/>
    <w:rsid w:val="00D3125F"/>
    <w:rsid w:val="00D34A8D"/>
    <w:rsid w:val="00D42883"/>
    <w:rsid w:val="00D4393B"/>
    <w:rsid w:val="00D475B2"/>
    <w:rsid w:val="00D52702"/>
    <w:rsid w:val="00D6178B"/>
    <w:rsid w:val="00D6337E"/>
    <w:rsid w:val="00D67197"/>
    <w:rsid w:val="00D71706"/>
    <w:rsid w:val="00D76C66"/>
    <w:rsid w:val="00D80D45"/>
    <w:rsid w:val="00D82A30"/>
    <w:rsid w:val="00D864C5"/>
    <w:rsid w:val="00D8700B"/>
    <w:rsid w:val="00D957A9"/>
    <w:rsid w:val="00D97D81"/>
    <w:rsid w:val="00DA2D70"/>
    <w:rsid w:val="00DB1157"/>
    <w:rsid w:val="00DB7BD1"/>
    <w:rsid w:val="00DC4429"/>
    <w:rsid w:val="00DC6105"/>
    <w:rsid w:val="00DC7810"/>
    <w:rsid w:val="00DC7CCD"/>
    <w:rsid w:val="00DD0B36"/>
    <w:rsid w:val="00DD4B52"/>
    <w:rsid w:val="00DD688C"/>
    <w:rsid w:val="00DE5D8B"/>
    <w:rsid w:val="00DE6A11"/>
    <w:rsid w:val="00DF7CC4"/>
    <w:rsid w:val="00DF7EA0"/>
    <w:rsid w:val="00E044CC"/>
    <w:rsid w:val="00E16915"/>
    <w:rsid w:val="00E16EF5"/>
    <w:rsid w:val="00E20108"/>
    <w:rsid w:val="00E20BD7"/>
    <w:rsid w:val="00E22E18"/>
    <w:rsid w:val="00E272CD"/>
    <w:rsid w:val="00E273A8"/>
    <w:rsid w:val="00E36418"/>
    <w:rsid w:val="00E36B50"/>
    <w:rsid w:val="00E3727C"/>
    <w:rsid w:val="00E37768"/>
    <w:rsid w:val="00E41EE1"/>
    <w:rsid w:val="00E42EF9"/>
    <w:rsid w:val="00E45C40"/>
    <w:rsid w:val="00E632E6"/>
    <w:rsid w:val="00E74DA9"/>
    <w:rsid w:val="00E77E6C"/>
    <w:rsid w:val="00E83C96"/>
    <w:rsid w:val="00E86717"/>
    <w:rsid w:val="00E86DB6"/>
    <w:rsid w:val="00E93FF5"/>
    <w:rsid w:val="00E95015"/>
    <w:rsid w:val="00E95B0A"/>
    <w:rsid w:val="00EA045F"/>
    <w:rsid w:val="00EA2469"/>
    <w:rsid w:val="00EA2C22"/>
    <w:rsid w:val="00EA58E3"/>
    <w:rsid w:val="00EA62D8"/>
    <w:rsid w:val="00EA6C7D"/>
    <w:rsid w:val="00EA7D3D"/>
    <w:rsid w:val="00EB0B47"/>
    <w:rsid w:val="00EB1D1C"/>
    <w:rsid w:val="00EB77BC"/>
    <w:rsid w:val="00EB782A"/>
    <w:rsid w:val="00EC0710"/>
    <w:rsid w:val="00EC169A"/>
    <w:rsid w:val="00EC2BCF"/>
    <w:rsid w:val="00ED44F3"/>
    <w:rsid w:val="00ED4D30"/>
    <w:rsid w:val="00EE1301"/>
    <w:rsid w:val="00EE2E20"/>
    <w:rsid w:val="00EE46D9"/>
    <w:rsid w:val="00EE4E2C"/>
    <w:rsid w:val="00EE71AD"/>
    <w:rsid w:val="00EF599A"/>
    <w:rsid w:val="00F02243"/>
    <w:rsid w:val="00F029D2"/>
    <w:rsid w:val="00F03B52"/>
    <w:rsid w:val="00F03DDD"/>
    <w:rsid w:val="00F063F3"/>
    <w:rsid w:val="00F13508"/>
    <w:rsid w:val="00F14EB0"/>
    <w:rsid w:val="00F17005"/>
    <w:rsid w:val="00F234B6"/>
    <w:rsid w:val="00F26BDA"/>
    <w:rsid w:val="00F272EC"/>
    <w:rsid w:val="00F32C1D"/>
    <w:rsid w:val="00F37B62"/>
    <w:rsid w:val="00F45D0F"/>
    <w:rsid w:val="00F4699B"/>
    <w:rsid w:val="00F47676"/>
    <w:rsid w:val="00F5277F"/>
    <w:rsid w:val="00F53846"/>
    <w:rsid w:val="00F550B6"/>
    <w:rsid w:val="00F57F7A"/>
    <w:rsid w:val="00F57FE4"/>
    <w:rsid w:val="00F6020C"/>
    <w:rsid w:val="00F63675"/>
    <w:rsid w:val="00F82265"/>
    <w:rsid w:val="00F847FD"/>
    <w:rsid w:val="00F8622C"/>
    <w:rsid w:val="00F915F0"/>
    <w:rsid w:val="00F96F06"/>
    <w:rsid w:val="00F9756E"/>
    <w:rsid w:val="00FA6625"/>
    <w:rsid w:val="00FB5C74"/>
    <w:rsid w:val="00FC0027"/>
    <w:rsid w:val="00FC1995"/>
    <w:rsid w:val="00FC1B9F"/>
    <w:rsid w:val="00FC5EAB"/>
    <w:rsid w:val="00FC67AF"/>
    <w:rsid w:val="00FC6EAA"/>
    <w:rsid w:val="00FD303D"/>
    <w:rsid w:val="00FD55B5"/>
    <w:rsid w:val="00FE2434"/>
    <w:rsid w:val="00FE2CFA"/>
    <w:rsid w:val="00FE2ED2"/>
    <w:rsid w:val="00FE5BDC"/>
    <w:rsid w:val="00FF51DB"/>
    <w:rsid w:val="00FF5D19"/>
    <w:rsid w:val="00FF5F30"/>
    <w:rsid w:val="00FF7F05"/>
  </w:rsids>
  <m:mathPr>
    <m:mathFont m:val="Cambria Math"/>
    <m:brkBin m:val="before"/>
    <m:brkBinSub m:val="--"/>
    <m:smallFrac m:val="0"/>
    <m:dispDef m:val="0"/>
    <m:lMargin m:val="0"/>
    <m:rMargin m:val="0"/>
    <m:defJc m:val="centerGroup"/>
    <m:wrapRight/>
    <m:intLim m:val="subSup"/>
    <m:naryLim m:val="subSup"/>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oNotEmbedSmartTags/>
  <w:decimalSymbol w:val="."/>
  <w:listSeparator w:val=","/>
  <w14:docId w14:val="5F63A8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w:eastAsia="Times" w:hAnsi="Times"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9" w:unhideWhenUsed="0"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0"/>
    <w:lsdException w:name="toc 6" w:uiPriority="39"/>
    <w:lsdException w:name="toc 7" w:uiPriority="39"/>
    <w:lsdException w:name="toc 8" w:uiPriority="39"/>
    <w:lsdException w:name="toc 9" w:uiPriority="39"/>
    <w:lsdException w:name="footnote text" w:uiPriority="0" w:qFormat="1"/>
    <w:lsdException w:name="annotation text" w:uiPriority="0"/>
    <w:lsdException w:name="caption" w:uiPriority="35" w:qFormat="1"/>
    <w:lsdException w:name="footnote reference" w:uiPriority="0"/>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Colorful 2" w:uiPriority="0"/>
    <w:lsdException w:name="Table Grid" w:semiHidden="0" w:uiPriority="59" w:unhideWhenUsed="0"/>
    <w:lsdException w:name="No Spacing" w:semiHidden="0" w:unhideWhenUsed="0" w:qFormat="1"/>
    <w:lsdException w:name="Light Shading" w:uiPriority="60"/>
    <w:lsdException w:name="Medium Grid 1" w:unhideWhenUsed="0"/>
    <w:lsdException w:name="Medium Grid 2" w:semiHidden="0" w:uiPriority="1" w:unhideWhenUsed="0" w:qFormat="1"/>
    <w:lsdException w:name="Medium Grid 3" w:semiHidden="0" w:uiPriority="60" w:unhideWhenUsed="0"/>
    <w:lsdException w:name="Dark List" w:semiHidden="0" w:uiPriority="61" w:unhideWhenUsed="0"/>
    <w:lsdException w:name="Colorful Shading" w:semiHidden="0" w:uiPriority="62" w:unhideWhenUsed="0"/>
    <w:lsdException w:name="Colorful List" w:semiHidden="0" w:uiPriority="63" w:unhideWhenUsed="0"/>
    <w:lsdException w:name="Colorful Grid" w:semiHidden="0" w:uiPriority="64" w:unhideWhenUsed="0"/>
    <w:lsdException w:name="Light Shading Accent 1" w:semiHidden="0" w:uiPriority="65" w:unhideWhenUsed="0"/>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semiHidden="0" w:uiPriority="71" w:unhideWhenUsed="0"/>
    <w:lsdException w:name="List Paragraph" w:semiHidden="0" w:uiPriority="34" w:unhideWhenUsed="0" w:qFormat="1"/>
    <w:lsdException w:name="Quote" w:semiHidden="0" w:uiPriority="73" w:unhideWhenUsed="0" w:qFormat="1"/>
    <w:lsdException w:name="Intense Quote" w:semiHidden="0" w:uiPriority="60" w:unhideWhenUsed="0" w:qFormat="1"/>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unhideWhenUsed="0"/>
    <w:lsdException w:name="Colorful List Accent 1" w:semiHidden="0" w:uiPriority="34" w:unhideWhenUsed="0" w:qFormat="1"/>
    <w:lsdException w:name="Colorful Grid Accent 1" w:semiHidden="0" w:uiPriority="29" w:unhideWhenUsed="0" w:qFormat="1"/>
    <w:lsdException w:name="Light Shading Accent 2" w:semiHidden="0" w:uiPriority="30" w:unhideWhenUsed="0" w:qFormat="1"/>
    <w:lsdException w:name="Light List Accent 2" w:semiHidden="0" w:uiPriority="66" w:unhideWhenUsed="0"/>
    <w:lsdException w:name="Light Grid Accent 2" w:semiHidden="0" w:uiPriority="67" w:unhideWhenUsed="0"/>
    <w:lsdException w:name="Medium Shading 1 Accent 2" w:semiHidden="0" w:uiPriority="68" w:unhideWhenUsed="0"/>
    <w:lsdException w:name="Medium Shading 2 Accent 2" w:semiHidden="0" w:uiPriority="69" w:unhideWhenUsed="0"/>
    <w:lsdException w:name="Medium List 1 Accent 2" w:semiHidden="0" w:uiPriority="70" w:unhideWhenUsed="0"/>
    <w:lsdException w:name="Medium List 2 Accent 2" w:semiHidden="0" w:uiPriority="71" w:unhideWhenUsed="0"/>
    <w:lsdException w:name="Medium Grid 1 Accent 2" w:semiHidden="0" w:uiPriority="72" w:unhideWhenUsed="0"/>
    <w:lsdException w:name="Medium Grid 2 Accent 2" w:semiHidden="0" w:uiPriority="73" w:unhideWhenUsed="0"/>
    <w:lsdException w:name="Medium Grid 3 Accent 2" w:semiHidden="0" w:uiPriority="60" w:unhideWhenUsed="0"/>
    <w:lsdException w:name="Dark List Accent 2" w:semiHidden="0" w:uiPriority="61" w:unhideWhenUsed="0"/>
    <w:lsdException w:name="Colorful Shading Accent 2" w:semiHidden="0" w:uiPriority="62" w:unhideWhenUsed="0"/>
    <w:lsdException w:name="Colorful List Accent 2" w:semiHidden="0" w:uiPriority="63" w:unhideWhenUsed="0"/>
    <w:lsdException w:name="Colorful Grid Accent 2" w:semiHidden="0" w:uiPriority="64" w:unhideWhenUsed="0"/>
    <w:lsdException w:name="Light Shading Accent 3" w:semiHidden="0" w:uiPriority="65" w:unhideWhenUsed="0"/>
    <w:lsdException w:name="Light List Accent 3" w:semiHidden="0" w:uiPriority="66" w:unhideWhenUsed="0"/>
    <w:lsdException w:name="Light Grid Accent 3" w:semiHidden="0" w:uiPriority="67" w:unhideWhenUsed="0"/>
    <w:lsdException w:name="Medium Shading 1 Accent 3" w:semiHidden="0" w:uiPriority="68" w:unhideWhenUsed="0"/>
    <w:lsdException w:name="Medium Shading 2 Accent 3" w:semiHidden="0" w:uiPriority="69" w:unhideWhenUsed="0"/>
    <w:lsdException w:name="Medium List 1 Accent 3" w:semiHidden="0" w:uiPriority="70" w:unhideWhenUsed="0"/>
    <w:lsdException w:name="Medium List 2 Accent 3" w:semiHidden="0" w:uiPriority="71" w:unhideWhenUsed="0"/>
    <w:lsdException w:name="Medium Grid 1 Accent 3" w:semiHidden="0" w:uiPriority="72" w:unhideWhenUsed="0"/>
    <w:lsdException w:name="Medium Grid 2 Accent 3" w:semiHidden="0" w:uiPriority="73" w:unhideWhenUsed="0"/>
    <w:lsdException w:name="Medium Grid 3 Accent 3" w:semiHidden="0" w:uiPriority="60" w:unhideWhenUsed="0"/>
    <w:lsdException w:name="Dark List Accent 3" w:semiHidden="0" w:uiPriority="61" w:unhideWhenUsed="0"/>
    <w:lsdException w:name="Colorful Shading Accent 3" w:semiHidden="0" w:uiPriority="62" w:unhideWhenUsed="0"/>
    <w:lsdException w:name="Colorful List Accent 3" w:semiHidden="0" w:uiPriority="63" w:unhideWhenUsed="0"/>
    <w:lsdException w:name="Colorful Grid Accent 3" w:semiHidden="0" w:uiPriority="64" w:unhideWhenUsed="0"/>
    <w:lsdException w:name="Light Shading Accent 4" w:semiHidden="0" w:uiPriority="65" w:unhideWhenUsed="0"/>
    <w:lsdException w:name="Light List Accent 4" w:semiHidden="0" w:uiPriority="66" w:unhideWhenUsed="0"/>
    <w:lsdException w:name="Light Grid Accent 4" w:semiHidden="0" w:uiPriority="67" w:unhideWhenUsed="0"/>
    <w:lsdException w:name="Medium Shading 1 Accent 4" w:semiHidden="0" w:uiPriority="68" w:unhideWhenUsed="0"/>
    <w:lsdException w:name="Medium Shading 2 Accent 4" w:semiHidden="0" w:uiPriority="69" w:unhideWhenUsed="0"/>
    <w:lsdException w:name="Medium List 1 Accent 4" w:semiHidden="0" w:uiPriority="70" w:unhideWhenUsed="0"/>
    <w:lsdException w:name="Medium List 2 Accent 4" w:semiHidden="0" w:uiPriority="71" w:unhideWhenUsed="0"/>
    <w:lsdException w:name="Medium Grid 1 Accent 4" w:semiHidden="0" w:uiPriority="72" w:unhideWhenUsed="0"/>
    <w:lsdException w:name="Medium Grid 2 Accent 4" w:semiHidden="0" w:uiPriority="73" w:unhideWhenUsed="0"/>
    <w:lsdException w:name="Medium Grid 3 Accent 4" w:semiHidden="0" w:uiPriority="60" w:unhideWhenUsed="0"/>
    <w:lsdException w:name="Dark List Accent 4" w:semiHidden="0" w:uiPriority="61" w:unhideWhenUsed="0"/>
    <w:lsdException w:name="Colorful Shading Accent 4" w:semiHidden="0" w:uiPriority="62" w:unhideWhenUsed="0"/>
    <w:lsdException w:name="Colorful List Accent 4" w:semiHidden="0" w:uiPriority="63" w:unhideWhenUsed="0"/>
    <w:lsdException w:name="Colorful Grid Accent 4" w:semiHidden="0" w:uiPriority="64" w:unhideWhenUsed="0"/>
    <w:lsdException w:name="Light Shading Accent 5" w:semiHidden="0" w:uiPriority="65" w:unhideWhenUsed="0"/>
    <w:lsdException w:name="Light List Accent 5" w:semiHidden="0" w:uiPriority="66" w:unhideWhenUsed="0"/>
    <w:lsdException w:name="Light Grid Accent 5" w:semiHidden="0" w:uiPriority="67" w:unhideWhenUsed="0"/>
    <w:lsdException w:name="Medium Shading 1 Accent 5" w:semiHidden="0" w:uiPriority="68" w:unhideWhenUsed="0"/>
    <w:lsdException w:name="Medium Shading 2 Accent 5" w:semiHidden="0" w:uiPriority="69" w:unhideWhenUsed="0"/>
    <w:lsdException w:name="Medium List 1 Accent 5" w:semiHidden="0" w:uiPriority="70" w:unhideWhenUsed="0"/>
    <w:lsdException w:name="Medium List 2 Accent 5" w:semiHidden="0" w:uiPriority="71" w:unhideWhenUsed="0"/>
    <w:lsdException w:name="Medium Grid 1 Accent 5" w:semiHidden="0" w:uiPriority="72" w:unhideWhenUsed="0"/>
    <w:lsdException w:name="Medium Grid 2 Accent 5" w:semiHidden="0" w:uiPriority="73" w:unhideWhenUsed="0"/>
    <w:lsdException w:name="Medium Grid 3 Accent 5" w:semiHidden="0" w:uiPriority="60" w:unhideWhenUsed="0"/>
    <w:lsdException w:name="Dark List Accent 5" w:semiHidden="0" w:uiPriority="61" w:unhideWhenUsed="0"/>
    <w:lsdException w:name="Colorful Shading Accent 5" w:semiHidden="0" w:uiPriority="62" w:unhideWhenUsed="0"/>
    <w:lsdException w:name="Colorful List Accent 5" w:semiHidden="0" w:uiPriority="63" w:unhideWhenUsed="0"/>
    <w:lsdException w:name="Colorful Grid Accent 5" w:semiHidden="0" w:uiPriority="64" w:unhideWhenUsed="0"/>
    <w:lsdException w:name="Light Shading Accent 6" w:semiHidden="0" w:uiPriority="65" w:unhideWhenUsed="0"/>
    <w:lsdException w:name="Light List Accent 6" w:semiHidden="0" w:uiPriority="66" w:unhideWhenUsed="0"/>
    <w:lsdException w:name="Light Grid Accent 6" w:semiHidden="0" w:uiPriority="67" w:unhideWhenUsed="0"/>
    <w:lsdException w:name="Medium Shading 1 Accent 6" w:semiHidden="0" w:uiPriority="68" w:unhideWhenUsed="0"/>
    <w:lsdException w:name="Medium Shading 2 Accent 6" w:semiHidden="0" w:uiPriority="69" w:unhideWhenUsed="0"/>
    <w:lsdException w:name="Medium List 1 Accent 6" w:semiHidden="0" w:uiPriority="70" w:unhideWhenUsed="0"/>
    <w:lsdException w:name="Medium List 2 Accent 6" w:semiHidden="0" w:uiPriority="71" w:unhideWhenUsed="0"/>
    <w:lsdException w:name="Medium Grid 1 Accent 6" w:semiHidden="0" w:uiPriority="72" w:unhideWhenUsed="0"/>
    <w:lsdException w:name="Medium Grid 2 Accent 6" w:semiHidden="0" w:uiPriority="73" w:unhideWhenUsed="0"/>
    <w:lsdException w:name="Medium Grid 3 Accent 6" w:semiHidden="0" w:uiPriority="60" w:unhideWhenUsed="0"/>
    <w:lsdException w:name="Dark List Accent 6" w:semiHidden="0" w:uiPriority="61" w:unhideWhenUsed="0"/>
    <w:lsdException w:name="Colorful Shading Accent 6" w:semiHidden="0" w:uiPriority="62" w:unhideWhenUsed="0"/>
    <w:lsdException w:name="Colorful List Accent 6" w:semiHidden="0" w:uiPriority="63" w:unhideWhenUsed="0"/>
    <w:lsdException w:name="Colorful Grid Accent 6" w:semiHidden="0" w:uiPriority="64" w:unhideWhenUsed="0"/>
    <w:lsdException w:name="Subtle Emphasis" w:semiHidden="0" w:uiPriority="65" w:unhideWhenUsed="0" w:qFormat="1"/>
    <w:lsdException w:name="Intense Emphasis" w:semiHidden="0" w:uiPriority="66" w:unhideWhenUsed="0" w:qFormat="1"/>
    <w:lsdException w:name="Subtle Reference" w:semiHidden="0" w:uiPriority="67" w:unhideWhenUsed="0" w:qFormat="1"/>
    <w:lsdException w:name="Intense Reference" w:semiHidden="0" w:uiPriority="68" w:unhideWhenUsed="0" w:qFormat="1"/>
    <w:lsdException w:name="Book Title" w:semiHidden="0" w:uiPriority="69" w:unhideWhenUsed="0" w:qFormat="1"/>
    <w:lsdException w:name="Bibliography" w:semiHidden="0" w:uiPriority="70" w:unhideWhenUsed="0"/>
    <w:lsdException w:name="TOC Heading" w:uiPriority="71" w:qFormat="1"/>
  </w:latentStyles>
  <w:style w:type="paragraph" w:default="1" w:styleId="Normal">
    <w:name w:val="Normal"/>
    <w:qFormat/>
    <w:rsid w:val="00F96F06"/>
    <w:pPr>
      <w:spacing w:line="300" w:lineRule="atLeast"/>
    </w:pPr>
    <w:rPr>
      <w:rFonts w:ascii="Times New Roman" w:hAnsi="Times New Roman"/>
      <w:sz w:val="24"/>
      <w:lang w:val="sv-SE" w:eastAsia="sv-SE"/>
    </w:rPr>
  </w:style>
  <w:style w:type="paragraph" w:styleId="Heading1">
    <w:name w:val="heading 1"/>
    <w:basedOn w:val="Normal"/>
    <w:next w:val="Normal"/>
    <w:qFormat/>
    <w:rsid w:val="008005BB"/>
    <w:pPr>
      <w:keepNext/>
      <w:spacing w:after="120"/>
      <w:outlineLvl w:val="0"/>
    </w:pPr>
    <w:rPr>
      <w:b/>
      <w:sz w:val="28"/>
    </w:rPr>
  </w:style>
  <w:style w:type="paragraph" w:styleId="Heading2">
    <w:name w:val="heading 2"/>
    <w:basedOn w:val="Normal"/>
    <w:next w:val="Normal"/>
    <w:qFormat/>
    <w:rsid w:val="008005BB"/>
    <w:pPr>
      <w:keepNext/>
      <w:spacing w:after="120"/>
      <w:outlineLvl w:val="1"/>
    </w:pPr>
    <w:rPr>
      <w:b/>
    </w:rPr>
  </w:style>
  <w:style w:type="paragraph" w:styleId="Heading3">
    <w:name w:val="heading 3"/>
    <w:basedOn w:val="Normal"/>
    <w:next w:val="Normal"/>
    <w:qFormat/>
    <w:rsid w:val="008005BB"/>
    <w:pPr>
      <w:keepNext/>
      <w:spacing w:after="120"/>
      <w:outlineLvl w:val="2"/>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eceeeTitle">
    <w:name w:val="eceee Title"/>
    <w:basedOn w:val="Normal"/>
    <w:rsid w:val="003B4E64"/>
    <w:pPr>
      <w:jc w:val="center"/>
    </w:pPr>
    <w:rPr>
      <w:sz w:val="40"/>
      <w:lang w:val="en-GB"/>
    </w:rPr>
  </w:style>
  <w:style w:type="paragraph" w:customStyle="1" w:styleId="eceeeHeading3">
    <w:name w:val="eceee Heading 3"/>
    <w:basedOn w:val="eceeeBodytext"/>
    <w:next w:val="eceeeBodytext"/>
    <w:rsid w:val="000104F1"/>
    <w:pPr>
      <w:keepNext/>
      <w:spacing w:before="120" w:after="0"/>
    </w:pPr>
    <w:rPr>
      <w:b/>
    </w:rPr>
  </w:style>
  <w:style w:type="paragraph" w:customStyle="1" w:styleId="eceeeBodytext">
    <w:name w:val="eceee Body text"/>
    <w:basedOn w:val="Normal"/>
    <w:rsid w:val="003B4E64"/>
    <w:pPr>
      <w:spacing w:before="60" w:after="60" w:line="240" w:lineRule="exact"/>
    </w:pPr>
    <w:rPr>
      <w:rFonts w:eastAsia="Times New Roman"/>
      <w:sz w:val="20"/>
      <w:lang w:val="en-GB"/>
    </w:rPr>
  </w:style>
  <w:style w:type="paragraph" w:customStyle="1" w:styleId="eceeeHeading4">
    <w:name w:val="eceee Heading 4"/>
    <w:basedOn w:val="eceeeBodytext"/>
    <w:next w:val="eceeeBodytext"/>
    <w:rsid w:val="003B4E64"/>
    <w:pPr>
      <w:spacing w:before="120" w:after="0"/>
    </w:pPr>
    <w:rPr>
      <w:i/>
    </w:rPr>
  </w:style>
  <w:style w:type="paragraph" w:customStyle="1" w:styleId="eceeeTabletext">
    <w:name w:val="eceee Table text"/>
    <w:basedOn w:val="Normal"/>
    <w:rsid w:val="003B4E64"/>
    <w:pPr>
      <w:tabs>
        <w:tab w:val="left" w:pos="1440"/>
        <w:tab w:val="left" w:pos="5040"/>
      </w:tabs>
      <w:spacing w:line="220" w:lineRule="exact"/>
    </w:pPr>
    <w:rPr>
      <w:rFonts w:ascii="Arial" w:hAnsi="Arial"/>
      <w:sz w:val="16"/>
    </w:rPr>
  </w:style>
  <w:style w:type="paragraph" w:customStyle="1" w:styleId="eceeeHeading2">
    <w:name w:val="eceee Heading 2"/>
    <w:basedOn w:val="eceeeBodytext"/>
    <w:next w:val="eceeeBodytext"/>
    <w:rsid w:val="000104F1"/>
    <w:pPr>
      <w:keepNext/>
      <w:spacing w:before="120"/>
      <w:outlineLvl w:val="1"/>
    </w:pPr>
    <w:rPr>
      <w:b/>
      <w:i/>
      <w:sz w:val="24"/>
    </w:rPr>
  </w:style>
  <w:style w:type="paragraph" w:customStyle="1" w:styleId="eceeeTableheading">
    <w:name w:val="eceee Table heading"/>
    <w:basedOn w:val="Normal"/>
    <w:rsid w:val="003B4E64"/>
    <w:pPr>
      <w:spacing w:before="160" w:after="60"/>
      <w:jc w:val="both"/>
    </w:pPr>
    <w:rPr>
      <w:rFonts w:eastAsia="Times New Roman"/>
      <w:b/>
      <w:sz w:val="20"/>
      <w:lang w:val="en-GB"/>
    </w:rPr>
  </w:style>
  <w:style w:type="paragraph" w:customStyle="1" w:styleId="eceeeBulletlist">
    <w:name w:val="eceee Bullet list"/>
    <w:basedOn w:val="Normal"/>
    <w:rsid w:val="003B4E64"/>
    <w:pPr>
      <w:numPr>
        <w:numId w:val="6"/>
      </w:numPr>
      <w:spacing w:before="40" w:after="40" w:line="240" w:lineRule="exact"/>
    </w:pPr>
    <w:rPr>
      <w:rFonts w:eastAsia="Times New Roman"/>
      <w:sz w:val="20"/>
      <w:lang w:val="en-GB"/>
    </w:rPr>
  </w:style>
  <w:style w:type="paragraph" w:customStyle="1" w:styleId="eceeeFigurecaption">
    <w:name w:val="eceee Figure caption"/>
    <w:basedOn w:val="Normal"/>
    <w:rsid w:val="003B4E64"/>
    <w:pPr>
      <w:spacing w:before="60" w:after="60"/>
      <w:jc w:val="both"/>
    </w:pPr>
    <w:rPr>
      <w:rFonts w:eastAsia="Times New Roman"/>
      <w:i/>
      <w:sz w:val="20"/>
      <w:lang w:val="en-US"/>
    </w:rPr>
  </w:style>
  <w:style w:type="paragraph" w:styleId="FootnoteText">
    <w:name w:val="footnote text"/>
    <w:basedOn w:val="Normal"/>
    <w:link w:val="FootnoteTextChar"/>
    <w:qFormat/>
    <w:rsid w:val="00456309"/>
    <w:pPr>
      <w:spacing w:line="240" w:lineRule="auto"/>
    </w:pPr>
    <w:rPr>
      <w:sz w:val="20"/>
    </w:rPr>
  </w:style>
  <w:style w:type="character" w:customStyle="1" w:styleId="FootnoteTextChar">
    <w:name w:val="Footnote Text Char"/>
    <w:basedOn w:val="DefaultParagraphFont"/>
    <w:link w:val="FootnoteText"/>
    <w:rsid w:val="00456309"/>
    <w:rPr>
      <w:rFonts w:ascii="Times New Roman" w:hAnsi="Times New Roman"/>
      <w:lang w:val="sv-SE" w:eastAsia="sv-SE"/>
    </w:rPr>
  </w:style>
  <w:style w:type="character" w:styleId="FootnoteReference">
    <w:name w:val="footnote reference"/>
    <w:basedOn w:val="DefaultParagraphFont"/>
    <w:rsid w:val="003B4E64"/>
    <w:rPr>
      <w:vertAlign w:val="superscript"/>
    </w:rPr>
  </w:style>
  <w:style w:type="paragraph" w:customStyle="1" w:styleId="Footnote">
    <w:name w:val="Footnote"/>
    <w:basedOn w:val="FootnoteText"/>
    <w:rsid w:val="003B4E64"/>
  </w:style>
  <w:style w:type="paragraph" w:customStyle="1" w:styleId="eceeeReferences">
    <w:name w:val="eceee References"/>
    <w:basedOn w:val="Normal"/>
    <w:rsid w:val="003B4E64"/>
    <w:pPr>
      <w:spacing w:line="260" w:lineRule="exact"/>
      <w:ind w:left="709" w:hanging="709"/>
      <w:jc w:val="both"/>
    </w:pPr>
    <w:rPr>
      <w:sz w:val="20"/>
      <w:lang w:val="en-GB"/>
    </w:rPr>
  </w:style>
  <w:style w:type="paragraph" w:styleId="Footer">
    <w:name w:val="footer"/>
    <w:basedOn w:val="Normal"/>
    <w:rsid w:val="003B4E64"/>
    <w:pPr>
      <w:tabs>
        <w:tab w:val="center" w:pos="4536"/>
        <w:tab w:val="right" w:pos="9072"/>
      </w:tabs>
    </w:pPr>
  </w:style>
  <w:style w:type="paragraph" w:customStyle="1" w:styleId="eceeeNumberlist">
    <w:name w:val="eceee Number list"/>
    <w:basedOn w:val="eceeeBulletlist"/>
    <w:rsid w:val="003B4E64"/>
    <w:pPr>
      <w:numPr>
        <w:numId w:val="0"/>
      </w:numPr>
      <w:tabs>
        <w:tab w:val="num" w:pos="360"/>
      </w:tabs>
      <w:ind w:left="360" w:hanging="360"/>
    </w:pPr>
  </w:style>
  <w:style w:type="paragraph" w:customStyle="1" w:styleId="eceeeAuthor">
    <w:name w:val="eceee Author"/>
    <w:basedOn w:val="Normal"/>
    <w:rsid w:val="003B4E64"/>
    <w:pPr>
      <w:jc w:val="both"/>
    </w:pPr>
    <w:rPr>
      <w:rFonts w:eastAsia="Times New Roman"/>
      <w:sz w:val="20"/>
      <w:lang w:val="en-GB"/>
    </w:rPr>
  </w:style>
  <w:style w:type="paragraph" w:customStyle="1" w:styleId="eceeeHeading1">
    <w:name w:val="eceee Heading 1"/>
    <w:basedOn w:val="eceeeBodytext"/>
    <w:next w:val="eceeeBodytext"/>
    <w:autoRedefine/>
    <w:rsid w:val="000104F1"/>
    <w:pPr>
      <w:keepNext/>
      <w:tabs>
        <w:tab w:val="left" w:pos="3544"/>
      </w:tabs>
      <w:spacing w:before="240"/>
      <w:outlineLvl w:val="0"/>
    </w:pPr>
    <w:rPr>
      <w:rFonts w:ascii="Arial Black" w:hAnsi="Arial Black"/>
      <w:b/>
      <w:sz w:val="24"/>
    </w:rPr>
  </w:style>
  <w:style w:type="paragraph" w:styleId="Header">
    <w:name w:val="header"/>
    <w:basedOn w:val="Normal"/>
    <w:rsid w:val="003B4E64"/>
    <w:pPr>
      <w:tabs>
        <w:tab w:val="center" w:pos="4536"/>
        <w:tab w:val="right" w:pos="9072"/>
      </w:tabs>
    </w:pPr>
  </w:style>
  <w:style w:type="paragraph" w:customStyle="1" w:styleId="eceeequotation">
    <w:name w:val="eceee quotation"/>
    <w:basedOn w:val="eceeeBodytext"/>
    <w:qFormat/>
    <w:rsid w:val="00522F25"/>
    <w:pPr>
      <w:ind w:left="1304"/>
    </w:pPr>
  </w:style>
  <w:style w:type="character" w:styleId="Hyperlink">
    <w:name w:val="Hyperlink"/>
    <w:basedOn w:val="DefaultParagraphFont"/>
    <w:rsid w:val="003B4E64"/>
    <w:rPr>
      <w:color w:val="0000FF"/>
      <w:u w:val="single"/>
    </w:rPr>
  </w:style>
  <w:style w:type="character" w:styleId="CommentReference">
    <w:name w:val="annotation reference"/>
    <w:basedOn w:val="DefaultParagraphFont"/>
    <w:semiHidden/>
    <w:unhideWhenUsed/>
    <w:rsid w:val="00522F25"/>
    <w:rPr>
      <w:sz w:val="18"/>
      <w:szCs w:val="18"/>
    </w:rPr>
  </w:style>
  <w:style w:type="paragraph" w:styleId="CommentText">
    <w:name w:val="annotation text"/>
    <w:basedOn w:val="Normal"/>
    <w:link w:val="CommentTextChar"/>
    <w:semiHidden/>
    <w:unhideWhenUsed/>
    <w:rsid w:val="00522F25"/>
    <w:rPr>
      <w:szCs w:val="24"/>
    </w:rPr>
  </w:style>
  <w:style w:type="character" w:customStyle="1" w:styleId="CommentTextChar">
    <w:name w:val="Comment Text Char"/>
    <w:basedOn w:val="DefaultParagraphFont"/>
    <w:link w:val="CommentText"/>
    <w:semiHidden/>
    <w:rsid w:val="00522F25"/>
    <w:rPr>
      <w:sz w:val="24"/>
      <w:szCs w:val="24"/>
    </w:rPr>
  </w:style>
  <w:style w:type="paragraph" w:styleId="CommentSubject">
    <w:name w:val="annotation subject"/>
    <w:basedOn w:val="CommentText"/>
    <w:next w:val="CommentText"/>
    <w:link w:val="CommentSubjectChar"/>
    <w:uiPriority w:val="99"/>
    <w:semiHidden/>
    <w:unhideWhenUsed/>
    <w:rsid w:val="00522F25"/>
    <w:rPr>
      <w:b/>
      <w:bCs/>
      <w:sz w:val="20"/>
      <w:szCs w:val="20"/>
    </w:rPr>
  </w:style>
  <w:style w:type="character" w:customStyle="1" w:styleId="CommentSubjectChar">
    <w:name w:val="Comment Subject Char"/>
    <w:basedOn w:val="CommentTextChar"/>
    <w:link w:val="CommentSubject"/>
    <w:uiPriority w:val="99"/>
    <w:semiHidden/>
    <w:rsid w:val="00522F25"/>
    <w:rPr>
      <w:b/>
      <w:bCs/>
      <w:sz w:val="24"/>
      <w:szCs w:val="24"/>
    </w:rPr>
  </w:style>
  <w:style w:type="paragraph" w:styleId="BalloonText">
    <w:name w:val="Balloon Text"/>
    <w:basedOn w:val="Normal"/>
    <w:link w:val="BalloonTextChar"/>
    <w:uiPriority w:val="99"/>
    <w:semiHidden/>
    <w:unhideWhenUsed/>
    <w:rsid w:val="00522F25"/>
    <w:rPr>
      <w:rFonts w:ascii="Lucida Grande" w:hAnsi="Lucida Grande"/>
      <w:sz w:val="18"/>
      <w:szCs w:val="18"/>
    </w:rPr>
  </w:style>
  <w:style w:type="character" w:customStyle="1" w:styleId="BalloonTextChar">
    <w:name w:val="Balloon Text Char"/>
    <w:basedOn w:val="DefaultParagraphFont"/>
    <w:link w:val="BalloonText"/>
    <w:uiPriority w:val="99"/>
    <w:semiHidden/>
    <w:rsid w:val="00522F25"/>
    <w:rPr>
      <w:rFonts w:ascii="Lucida Grande" w:hAnsi="Lucida Grande"/>
      <w:sz w:val="18"/>
      <w:szCs w:val="18"/>
    </w:rPr>
  </w:style>
  <w:style w:type="paragraph" w:styleId="ListParagraph">
    <w:name w:val="List Paragraph"/>
    <w:basedOn w:val="Normal"/>
    <w:uiPriority w:val="34"/>
    <w:qFormat/>
    <w:rsid w:val="008A36A2"/>
    <w:pPr>
      <w:ind w:left="720"/>
      <w:contextualSpacing/>
      <w:jc w:val="both"/>
    </w:pPr>
    <w:rPr>
      <w:rFonts w:eastAsia="Calibri"/>
      <w:szCs w:val="24"/>
      <w:lang w:val="en-US" w:eastAsia="en-US"/>
    </w:rPr>
  </w:style>
  <w:style w:type="paragraph" w:customStyle="1" w:styleId="CharChar1">
    <w:name w:val="Char Char1"/>
    <w:basedOn w:val="Normal"/>
    <w:rsid w:val="008A36A2"/>
    <w:pPr>
      <w:spacing w:after="160" w:line="240" w:lineRule="exact"/>
      <w:jc w:val="both"/>
    </w:pPr>
    <w:rPr>
      <w:rFonts w:ascii="Tahoma" w:eastAsia="Times New Roman" w:hAnsi="Tahoma"/>
      <w:sz w:val="20"/>
      <w:lang w:val="en-GB" w:eastAsia="en-GB"/>
    </w:rPr>
  </w:style>
  <w:style w:type="table" w:styleId="TableGrid">
    <w:name w:val="Table Grid"/>
    <w:basedOn w:val="TableNormal"/>
    <w:uiPriority w:val="59"/>
    <w:rsid w:val="008A36A2"/>
    <w:rPr>
      <w:rFonts w:ascii="Times New Roman" w:eastAsia="SimSun" w:hAnsi="Times New Roman"/>
      <w:lang w:eastAsia="zh-C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Char2Char">
    <w:name w:val="Char Char2 Char"/>
    <w:basedOn w:val="Normal"/>
    <w:rsid w:val="008A36A2"/>
    <w:pPr>
      <w:spacing w:after="160" w:line="240" w:lineRule="exact"/>
      <w:jc w:val="both"/>
    </w:pPr>
    <w:rPr>
      <w:rFonts w:ascii="Tahoma" w:eastAsia="Times New Roman" w:hAnsi="Tahoma"/>
      <w:sz w:val="20"/>
      <w:lang w:val="en-GB" w:eastAsia="en-GB"/>
    </w:rPr>
  </w:style>
  <w:style w:type="table" w:styleId="TableColorful2">
    <w:name w:val="Table Colorful 2"/>
    <w:basedOn w:val="TableNormal"/>
    <w:rsid w:val="008A36A2"/>
    <w:rPr>
      <w:rFonts w:ascii="Times New Roman" w:eastAsia="Times New Roman" w:hAnsi="Times New Roman"/>
      <w:lang w:eastAsia="zh-CN"/>
    </w:rPr>
    <w:tblPr>
      <w:tblInd w:w="0" w:type="dxa"/>
      <w:tblBorders>
        <w:bottom w:val="single" w:sz="12" w:space="0" w:color="000000"/>
      </w:tblBorders>
      <w:tblCellMar>
        <w:top w:w="0" w:type="dxa"/>
        <w:left w:w="108" w:type="dxa"/>
        <w:bottom w:w="0" w:type="dxa"/>
        <w:right w:w="108" w:type="dxa"/>
      </w:tblCellMar>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paragraph" w:styleId="Caption">
    <w:name w:val="caption"/>
    <w:basedOn w:val="Normal"/>
    <w:next w:val="Normal"/>
    <w:autoRedefine/>
    <w:uiPriority w:val="35"/>
    <w:unhideWhenUsed/>
    <w:qFormat/>
    <w:rsid w:val="008672D9"/>
    <w:pPr>
      <w:keepNext/>
      <w:spacing w:after="120"/>
    </w:pPr>
    <w:rPr>
      <w:rFonts w:eastAsia="Calibri"/>
      <w:b/>
      <w:bCs/>
      <w:szCs w:val="18"/>
      <w:lang w:val="en-US" w:eastAsia="en-US"/>
    </w:rPr>
  </w:style>
  <w:style w:type="table" w:customStyle="1" w:styleId="LightShading1">
    <w:name w:val="Light Shading1"/>
    <w:basedOn w:val="TableNormal"/>
    <w:uiPriority w:val="60"/>
    <w:rsid w:val="008A36A2"/>
    <w:rPr>
      <w:rFonts w:ascii="Calibri" w:eastAsia="Calibri" w:hAnsi="Calibri"/>
      <w:color w:val="000000"/>
      <w:sz w:val="24"/>
      <w:szCs w:val="24"/>
      <w:lang w:val="en-US" w:eastAsia="en-US"/>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customStyle="1" w:styleId="BodyText1">
    <w:name w:val="Body Text1"/>
    <w:basedOn w:val="Normal"/>
    <w:rsid w:val="00C84BA4"/>
    <w:pPr>
      <w:spacing w:before="60" w:after="60" w:line="240" w:lineRule="exact"/>
    </w:pPr>
    <w:rPr>
      <w:rFonts w:eastAsia="Times New Roman"/>
      <w:sz w:val="20"/>
      <w:lang w:val="en-US"/>
    </w:rPr>
  </w:style>
  <w:style w:type="character" w:styleId="FollowedHyperlink">
    <w:name w:val="FollowedHyperlink"/>
    <w:basedOn w:val="DefaultParagraphFont"/>
    <w:uiPriority w:val="99"/>
    <w:semiHidden/>
    <w:unhideWhenUsed/>
    <w:rsid w:val="009806BC"/>
    <w:rPr>
      <w:color w:val="800080"/>
      <w:u w:val="single"/>
    </w:rPr>
  </w:style>
  <w:style w:type="paragraph" w:styleId="TOC5">
    <w:name w:val="toc 5"/>
    <w:basedOn w:val="Normal"/>
    <w:next w:val="Normal"/>
    <w:semiHidden/>
    <w:rsid w:val="00341BD7"/>
    <w:pPr>
      <w:tabs>
        <w:tab w:val="right" w:leader="dot" w:pos="6350"/>
      </w:tabs>
      <w:overflowPunct w:val="0"/>
      <w:autoSpaceDE w:val="0"/>
      <w:autoSpaceDN w:val="0"/>
      <w:adjustRightInd w:val="0"/>
      <w:spacing w:after="260" w:line="260" w:lineRule="atLeast"/>
      <w:ind w:left="960"/>
      <w:textAlignment w:val="baseline"/>
    </w:pPr>
    <w:rPr>
      <w:rFonts w:ascii="Garamond" w:eastAsia="Times New Roman" w:hAnsi="Garamond"/>
      <w:sz w:val="18"/>
      <w:lang w:val="en-GB" w:eastAsia="en-US"/>
    </w:rPr>
  </w:style>
  <w:style w:type="paragraph" w:styleId="NormalWeb">
    <w:name w:val="Normal (Web)"/>
    <w:basedOn w:val="Normal"/>
    <w:uiPriority w:val="99"/>
    <w:unhideWhenUsed/>
    <w:rsid w:val="00D864C5"/>
    <w:pPr>
      <w:spacing w:before="100" w:beforeAutospacing="1" w:after="100" w:afterAutospacing="1" w:line="240" w:lineRule="auto"/>
    </w:pPr>
    <w:rPr>
      <w:rFonts w:eastAsiaTheme="minorEastAsia"/>
      <w:szCs w:val="24"/>
      <w:lang w:val="en-GB" w:eastAsia="zh-CN"/>
    </w:rPr>
  </w:style>
  <w:style w:type="character" w:customStyle="1" w:styleId="referencetext1">
    <w:name w:val="referencetext1"/>
    <w:basedOn w:val="DefaultParagraphFont"/>
    <w:rsid w:val="008B0178"/>
    <w:rPr>
      <w:vanish w:val="0"/>
      <w:webHidden w:val="0"/>
      <w:specVanish w:val="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w:eastAsia="Times" w:hAnsi="Times"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9" w:unhideWhenUsed="0"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0"/>
    <w:lsdException w:name="toc 6" w:uiPriority="39"/>
    <w:lsdException w:name="toc 7" w:uiPriority="39"/>
    <w:lsdException w:name="toc 8" w:uiPriority="39"/>
    <w:lsdException w:name="toc 9" w:uiPriority="39"/>
    <w:lsdException w:name="footnote text" w:uiPriority="0" w:qFormat="1"/>
    <w:lsdException w:name="annotation text" w:uiPriority="0"/>
    <w:lsdException w:name="caption" w:uiPriority="35" w:qFormat="1"/>
    <w:lsdException w:name="footnote reference" w:uiPriority="0"/>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Colorful 2" w:uiPriority="0"/>
    <w:lsdException w:name="Table Grid" w:semiHidden="0" w:uiPriority="59" w:unhideWhenUsed="0"/>
    <w:lsdException w:name="No Spacing" w:semiHidden="0" w:unhideWhenUsed="0" w:qFormat="1"/>
    <w:lsdException w:name="Light Shading" w:uiPriority="60"/>
    <w:lsdException w:name="Medium Grid 1" w:unhideWhenUsed="0"/>
    <w:lsdException w:name="Medium Grid 2" w:semiHidden="0" w:uiPriority="1" w:unhideWhenUsed="0" w:qFormat="1"/>
    <w:lsdException w:name="Medium Grid 3" w:semiHidden="0" w:uiPriority="60" w:unhideWhenUsed="0"/>
    <w:lsdException w:name="Dark List" w:semiHidden="0" w:uiPriority="61" w:unhideWhenUsed="0"/>
    <w:lsdException w:name="Colorful Shading" w:semiHidden="0" w:uiPriority="62" w:unhideWhenUsed="0"/>
    <w:lsdException w:name="Colorful List" w:semiHidden="0" w:uiPriority="63" w:unhideWhenUsed="0"/>
    <w:lsdException w:name="Colorful Grid" w:semiHidden="0" w:uiPriority="64" w:unhideWhenUsed="0"/>
    <w:lsdException w:name="Light Shading Accent 1" w:semiHidden="0" w:uiPriority="65" w:unhideWhenUsed="0"/>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semiHidden="0" w:uiPriority="71" w:unhideWhenUsed="0"/>
    <w:lsdException w:name="List Paragraph" w:semiHidden="0" w:uiPriority="34" w:unhideWhenUsed="0" w:qFormat="1"/>
    <w:lsdException w:name="Quote" w:semiHidden="0" w:uiPriority="73" w:unhideWhenUsed="0" w:qFormat="1"/>
    <w:lsdException w:name="Intense Quote" w:semiHidden="0" w:uiPriority="60" w:unhideWhenUsed="0" w:qFormat="1"/>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unhideWhenUsed="0"/>
    <w:lsdException w:name="Colorful List Accent 1" w:semiHidden="0" w:uiPriority="34" w:unhideWhenUsed="0" w:qFormat="1"/>
    <w:lsdException w:name="Colorful Grid Accent 1" w:semiHidden="0" w:uiPriority="29" w:unhideWhenUsed="0" w:qFormat="1"/>
    <w:lsdException w:name="Light Shading Accent 2" w:semiHidden="0" w:uiPriority="30" w:unhideWhenUsed="0" w:qFormat="1"/>
    <w:lsdException w:name="Light List Accent 2" w:semiHidden="0" w:uiPriority="66" w:unhideWhenUsed="0"/>
    <w:lsdException w:name="Light Grid Accent 2" w:semiHidden="0" w:uiPriority="67" w:unhideWhenUsed="0"/>
    <w:lsdException w:name="Medium Shading 1 Accent 2" w:semiHidden="0" w:uiPriority="68" w:unhideWhenUsed="0"/>
    <w:lsdException w:name="Medium Shading 2 Accent 2" w:semiHidden="0" w:uiPriority="69" w:unhideWhenUsed="0"/>
    <w:lsdException w:name="Medium List 1 Accent 2" w:semiHidden="0" w:uiPriority="70" w:unhideWhenUsed="0"/>
    <w:lsdException w:name="Medium List 2 Accent 2" w:semiHidden="0" w:uiPriority="71" w:unhideWhenUsed="0"/>
    <w:lsdException w:name="Medium Grid 1 Accent 2" w:semiHidden="0" w:uiPriority="72" w:unhideWhenUsed="0"/>
    <w:lsdException w:name="Medium Grid 2 Accent 2" w:semiHidden="0" w:uiPriority="73" w:unhideWhenUsed="0"/>
    <w:lsdException w:name="Medium Grid 3 Accent 2" w:semiHidden="0" w:uiPriority="60" w:unhideWhenUsed="0"/>
    <w:lsdException w:name="Dark List Accent 2" w:semiHidden="0" w:uiPriority="61" w:unhideWhenUsed="0"/>
    <w:lsdException w:name="Colorful Shading Accent 2" w:semiHidden="0" w:uiPriority="62" w:unhideWhenUsed="0"/>
    <w:lsdException w:name="Colorful List Accent 2" w:semiHidden="0" w:uiPriority="63" w:unhideWhenUsed="0"/>
    <w:lsdException w:name="Colorful Grid Accent 2" w:semiHidden="0" w:uiPriority="64" w:unhideWhenUsed="0"/>
    <w:lsdException w:name="Light Shading Accent 3" w:semiHidden="0" w:uiPriority="65" w:unhideWhenUsed="0"/>
    <w:lsdException w:name="Light List Accent 3" w:semiHidden="0" w:uiPriority="66" w:unhideWhenUsed="0"/>
    <w:lsdException w:name="Light Grid Accent 3" w:semiHidden="0" w:uiPriority="67" w:unhideWhenUsed="0"/>
    <w:lsdException w:name="Medium Shading 1 Accent 3" w:semiHidden="0" w:uiPriority="68" w:unhideWhenUsed="0"/>
    <w:lsdException w:name="Medium Shading 2 Accent 3" w:semiHidden="0" w:uiPriority="69" w:unhideWhenUsed="0"/>
    <w:lsdException w:name="Medium List 1 Accent 3" w:semiHidden="0" w:uiPriority="70" w:unhideWhenUsed="0"/>
    <w:lsdException w:name="Medium List 2 Accent 3" w:semiHidden="0" w:uiPriority="71" w:unhideWhenUsed="0"/>
    <w:lsdException w:name="Medium Grid 1 Accent 3" w:semiHidden="0" w:uiPriority="72" w:unhideWhenUsed="0"/>
    <w:lsdException w:name="Medium Grid 2 Accent 3" w:semiHidden="0" w:uiPriority="73" w:unhideWhenUsed="0"/>
    <w:lsdException w:name="Medium Grid 3 Accent 3" w:semiHidden="0" w:uiPriority="60" w:unhideWhenUsed="0"/>
    <w:lsdException w:name="Dark List Accent 3" w:semiHidden="0" w:uiPriority="61" w:unhideWhenUsed="0"/>
    <w:lsdException w:name="Colorful Shading Accent 3" w:semiHidden="0" w:uiPriority="62" w:unhideWhenUsed="0"/>
    <w:lsdException w:name="Colorful List Accent 3" w:semiHidden="0" w:uiPriority="63" w:unhideWhenUsed="0"/>
    <w:lsdException w:name="Colorful Grid Accent 3" w:semiHidden="0" w:uiPriority="64" w:unhideWhenUsed="0"/>
    <w:lsdException w:name="Light Shading Accent 4" w:semiHidden="0" w:uiPriority="65" w:unhideWhenUsed="0"/>
    <w:lsdException w:name="Light List Accent 4" w:semiHidden="0" w:uiPriority="66" w:unhideWhenUsed="0"/>
    <w:lsdException w:name="Light Grid Accent 4" w:semiHidden="0" w:uiPriority="67" w:unhideWhenUsed="0"/>
    <w:lsdException w:name="Medium Shading 1 Accent 4" w:semiHidden="0" w:uiPriority="68" w:unhideWhenUsed="0"/>
    <w:lsdException w:name="Medium Shading 2 Accent 4" w:semiHidden="0" w:uiPriority="69" w:unhideWhenUsed="0"/>
    <w:lsdException w:name="Medium List 1 Accent 4" w:semiHidden="0" w:uiPriority="70" w:unhideWhenUsed="0"/>
    <w:lsdException w:name="Medium List 2 Accent 4" w:semiHidden="0" w:uiPriority="71" w:unhideWhenUsed="0"/>
    <w:lsdException w:name="Medium Grid 1 Accent 4" w:semiHidden="0" w:uiPriority="72" w:unhideWhenUsed="0"/>
    <w:lsdException w:name="Medium Grid 2 Accent 4" w:semiHidden="0" w:uiPriority="73" w:unhideWhenUsed="0"/>
    <w:lsdException w:name="Medium Grid 3 Accent 4" w:semiHidden="0" w:uiPriority="60" w:unhideWhenUsed="0"/>
    <w:lsdException w:name="Dark List Accent 4" w:semiHidden="0" w:uiPriority="61" w:unhideWhenUsed="0"/>
    <w:lsdException w:name="Colorful Shading Accent 4" w:semiHidden="0" w:uiPriority="62" w:unhideWhenUsed="0"/>
    <w:lsdException w:name="Colorful List Accent 4" w:semiHidden="0" w:uiPriority="63" w:unhideWhenUsed="0"/>
    <w:lsdException w:name="Colorful Grid Accent 4" w:semiHidden="0" w:uiPriority="64" w:unhideWhenUsed="0"/>
    <w:lsdException w:name="Light Shading Accent 5" w:semiHidden="0" w:uiPriority="65" w:unhideWhenUsed="0"/>
    <w:lsdException w:name="Light List Accent 5" w:semiHidden="0" w:uiPriority="66" w:unhideWhenUsed="0"/>
    <w:lsdException w:name="Light Grid Accent 5" w:semiHidden="0" w:uiPriority="67" w:unhideWhenUsed="0"/>
    <w:lsdException w:name="Medium Shading 1 Accent 5" w:semiHidden="0" w:uiPriority="68" w:unhideWhenUsed="0"/>
    <w:lsdException w:name="Medium Shading 2 Accent 5" w:semiHidden="0" w:uiPriority="69" w:unhideWhenUsed="0"/>
    <w:lsdException w:name="Medium List 1 Accent 5" w:semiHidden="0" w:uiPriority="70" w:unhideWhenUsed="0"/>
    <w:lsdException w:name="Medium List 2 Accent 5" w:semiHidden="0" w:uiPriority="71" w:unhideWhenUsed="0"/>
    <w:lsdException w:name="Medium Grid 1 Accent 5" w:semiHidden="0" w:uiPriority="72" w:unhideWhenUsed="0"/>
    <w:lsdException w:name="Medium Grid 2 Accent 5" w:semiHidden="0" w:uiPriority="73" w:unhideWhenUsed="0"/>
    <w:lsdException w:name="Medium Grid 3 Accent 5" w:semiHidden="0" w:uiPriority="60" w:unhideWhenUsed="0"/>
    <w:lsdException w:name="Dark List Accent 5" w:semiHidden="0" w:uiPriority="61" w:unhideWhenUsed="0"/>
    <w:lsdException w:name="Colorful Shading Accent 5" w:semiHidden="0" w:uiPriority="62" w:unhideWhenUsed="0"/>
    <w:lsdException w:name="Colorful List Accent 5" w:semiHidden="0" w:uiPriority="63" w:unhideWhenUsed="0"/>
    <w:lsdException w:name="Colorful Grid Accent 5" w:semiHidden="0" w:uiPriority="64" w:unhideWhenUsed="0"/>
    <w:lsdException w:name="Light Shading Accent 6" w:semiHidden="0" w:uiPriority="65" w:unhideWhenUsed="0"/>
    <w:lsdException w:name="Light List Accent 6" w:semiHidden="0" w:uiPriority="66" w:unhideWhenUsed="0"/>
    <w:lsdException w:name="Light Grid Accent 6" w:semiHidden="0" w:uiPriority="67" w:unhideWhenUsed="0"/>
    <w:lsdException w:name="Medium Shading 1 Accent 6" w:semiHidden="0" w:uiPriority="68" w:unhideWhenUsed="0"/>
    <w:lsdException w:name="Medium Shading 2 Accent 6" w:semiHidden="0" w:uiPriority="69" w:unhideWhenUsed="0"/>
    <w:lsdException w:name="Medium List 1 Accent 6" w:semiHidden="0" w:uiPriority="70" w:unhideWhenUsed="0"/>
    <w:lsdException w:name="Medium List 2 Accent 6" w:semiHidden="0" w:uiPriority="71" w:unhideWhenUsed="0"/>
    <w:lsdException w:name="Medium Grid 1 Accent 6" w:semiHidden="0" w:uiPriority="72" w:unhideWhenUsed="0"/>
    <w:lsdException w:name="Medium Grid 2 Accent 6" w:semiHidden="0" w:uiPriority="73" w:unhideWhenUsed="0"/>
    <w:lsdException w:name="Medium Grid 3 Accent 6" w:semiHidden="0" w:uiPriority="60" w:unhideWhenUsed="0"/>
    <w:lsdException w:name="Dark List Accent 6" w:semiHidden="0" w:uiPriority="61" w:unhideWhenUsed="0"/>
    <w:lsdException w:name="Colorful Shading Accent 6" w:semiHidden="0" w:uiPriority="62" w:unhideWhenUsed="0"/>
    <w:lsdException w:name="Colorful List Accent 6" w:semiHidden="0" w:uiPriority="63" w:unhideWhenUsed="0"/>
    <w:lsdException w:name="Colorful Grid Accent 6" w:semiHidden="0" w:uiPriority="64" w:unhideWhenUsed="0"/>
    <w:lsdException w:name="Subtle Emphasis" w:semiHidden="0" w:uiPriority="65" w:unhideWhenUsed="0" w:qFormat="1"/>
    <w:lsdException w:name="Intense Emphasis" w:semiHidden="0" w:uiPriority="66" w:unhideWhenUsed="0" w:qFormat="1"/>
    <w:lsdException w:name="Subtle Reference" w:semiHidden="0" w:uiPriority="67" w:unhideWhenUsed="0" w:qFormat="1"/>
    <w:lsdException w:name="Intense Reference" w:semiHidden="0" w:uiPriority="68" w:unhideWhenUsed="0" w:qFormat="1"/>
    <w:lsdException w:name="Book Title" w:semiHidden="0" w:uiPriority="69" w:unhideWhenUsed="0" w:qFormat="1"/>
    <w:lsdException w:name="Bibliography" w:semiHidden="0" w:uiPriority="70" w:unhideWhenUsed="0"/>
    <w:lsdException w:name="TOC Heading" w:uiPriority="71" w:qFormat="1"/>
  </w:latentStyles>
  <w:style w:type="paragraph" w:default="1" w:styleId="Normal">
    <w:name w:val="Normal"/>
    <w:qFormat/>
    <w:rsid w:val="00F96F06"/>
    <w:pPr>
      <w:spacing w:line="300" w:lineRule="atLeast"/>
    </w:pPr>
    <w:rPr>
      <w:rFonts w:ascii="Times New Roman" w:hAnsi="Times New Roman"/>
      <w:sz w:val="24"/>
      <w:lang w:val="sv-SE" w:eastAsia="sv-SE"/>
    </w:rPr>
  </w:style>
  <w:style w:type="paragraph" w:styleId="Heading1">
    <w:name w:val="heading 1"/>
    <w:basedOn w:val="Normal"/>
    <w:next w:val="Normal"/>
    <w:qFormat/>
    <w:rsid w:val="008005BB"/>
    <w:pPr>
      <w:keepNext/>
      <w:spacing w:after="120"/>
      <w:outlineLvl w:val="0"/>
    </w:pPr>
    <w:rPr>
      <w:b/>
      <w:sz w:val="28"/>
    </w:rPr>
  </w:style>
  <w:style w:type="paragraph" w:styleId="Heading2">
    <w:name w:val="heading 2"/>
    <w:basedOn w:val="Normal"/>
    <w:next w:val="Normal"/>
    <w:qFormat/>
    <w:rsid w:val="008005BB"/>
    <w:pPr>
      <w:keepNext/>
      <w:spacing w:after="120"/>
      <w:outlineLvl w:val="1"/>
    </w:pPr>
    <w:rPr>
      <w:b/>
    </w:rPr>
  </w:style>
  <w:style w:type="paragraph" w:styleId="Heading3">
    <w:name w:val="heading 3"/>
    <w:basedOn w:val="Normal"/>
    <w:next w:val="Normal"/>
    <w:qFormat/>
    <w:rsid w:val="008005BB"/>
    <w:pPr>
      <w:keepNext/>
      <w:spacing w:after="120"/>
      <w:outlineLvl w:val="2"/>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eceeeTitle">
    <w:name w:val="eceee Title"/>
    <w:basedOn w:val="Normal"/>
    <w:rsid w:val="003B4E64"/>
    <w:pPr>
      <w:jc w:val="center"/>
    </w:pPr>
    <w:rPr>
      <w:sz w:val="40"/>
      <w:lang w:val="en-GB"/>
    </w:rPr>
  </w:style>
  <w:style w:type="paragraph" w:customStyle="1" w:styleId="eceeeHeading3">
    <w:name w:val="eceee Heading 3"/>
    <w:basedOn w:val="eceeeBodytext"/>
    <w:next w:val="eceeeBodytext"/>
    <w:rsid w:val="000104F1"/>
    <w:pPr>
      <w:keepNext/>
      <w:spacing w:before="120" w:after="0"/>
    </w:pPr>
    <w:rPr>
      <w:b/>
    </w:rPr>
  </w:style>
  <w:style w:type="paragraph" w:customStyle="1" w:styleId="eceeeBodytext">
    <w:name w:val="eceee Body text"/>
    <w:basedOn w:val="Normal"/>
    <w:rsid w:val="003B4E64"/>
    <w:pPr>
      <w:spacing w:before="60" w:after="60" w:line="240" w:lineRule="exact"/>
    </w:pPr>
    <w:rPr>
      <w:rFonts w:eastAsia="Times New Roman"/>
      <w:sz w:val="20"/>
      <w:lang w:val="en-GB"/>
    </w:rPr>
  </w:style>
  <w:style w:type="paragraph" w:customStyle="1" w:styleId="eceeeHeading4">
    <w:name w:val="eceee Heading 4"/>
    <w:basedOn w:val="eceeeBodytext"/>
    <w:next w:val="eceeeBodytext"/>
    <w:rsid w:val="003B4E64"/>
    <w:pPr>
      <w:spacing w:before="120" w:after="0"/>
    </w:pPr>
    <w:rPr>
      <w:i/>
    </w:rPr>
  </w:style>
  <w:style w:type="paragraph" w:customStyle="1" w:styleId="eceeeTabletext">
    <w:name w:val="eceee Table text"/>
    <w:basedOn w:val="Normal"/>
    <w:rsid w:val="003B4E64"/>
    <w:pPr>
      <w:tabs>
        <w:tab w:val="left" w:pos="1440"/>
        <w:tab w:val="left" w:pos="5040"/>
      </w:tabs>
      <w:spacing w:line="220" w:lineRule="exact"/>
    </w:pPr>
    <w:rPr>
      <w:rFonts w:ascii="Arial" w:hAnsi="Arial"/>
      <w:sz w:val="16"/>
    </w:rPr>
  </w:style>
  <w:style w:type="paragraph" w:customStyle="1" w:styleId="eceeeHeading2">
    <w:name w:val="eceee Heading 2"/>
    <w:basedOn w:val="eceeeBodytext"/>
    <w:next w:val="eceeeBodytext"/>
    <w:rsid w:val="000104F1"/>
    <w:pPr>
      <w:keepNext/>
      <w:spacing w:before="120"/>
      <w:outlineLvl w:val="1"/>
    </w:pPr>
    <w:rPr>
      <w:b/>
      <w:i/>
      <w:sz w:val="24"/>
    </w:rPr>
  </w:style>
  <w:style w:type="paragraph" w:customStyle="1" w:styleId="eceeeTableheading">
    <w:name w:val="eceee Table heading"/>
    <w:basedOn w:val="Normal"/>
    <w:rsid w:val="003B4E64"/>
    <w:pPr>
      <w:spacing w:before="160" w:after="60"/>
      <w:jc w:val="both"/>
    </w:pPr>
    <w:rPr>
      <w:rFonts w:eastAsia="Times New Roman"/>
      <w:b/>
      <w:sz w:val="20"/>
      <w:lang w:val="en-GB"/>
    </w:rPr>
  </w:style>
  <w:style w:type="paragraph" w:customStyle="1" w:styleId="eceeeBulletlist">
    <w:name w:val="eceee Bullet list"/>
    <w:basedOn w:val="Normal"/>
    <w:rsid w:val="003B4E64"/>
    <w:pPr>
      <w:numPr>
        <w:numId w:val="6"/>
      </w:numPr>
      <w:spacing w:before="40" w:after="40" w:line="240" w:lineRule="exact"/>
    </w:pPr>
    <w:rPr>
      <w:rFonts w:eastAsia="Times New Roman"/>
      <w:sz w:val="20"/>
      <w:lang w:val="en-GB"/>
    </w:rPr>
  </w:style>
  <w:style w:type="paragraph" w:customStyle="1" w:styleId="eceeeFigurecaption">
    <w:name w:val="eceee Figure caption"/>
    <w:basedOn w:val="Normal"/>
    <w:rsid w:val="003B4E64"/>
    <w:pPr>
      <w:spacing w:before="60" w:after="60"/>
      <w:jc w:val="both"/>
    </w:pPr>
    <w:rPr>
      <w:rFonts w:eastAsia="Times New Roman"/>
      <w:i/>
      <w:sz w:val="20"/>
      <w:lang w:val="en-US"/>
    </w:rPr>
  </w:style>
  <w:style w:type="paragraph" w:styleId="FootnoteText">
    <w:name w:val="footnote text"/>
    <w:basedOn w:val="Normal"/>
    <w:link w:val="FootnoteTextChar"/>
    <w:qFormat/>
    <w:rsid w:val="00456309"/>
    <w:pPr>
      <w:spacing w:line="240" w:lineRule="auto"/>
    </w:pPr>
    <w:rPr>
      <w:sz w:val="20"/>
    </w:rPr>
  </w:style>
  <w:style w:type="character" w:customStyle="1" w:styleId="FootnoteTextChar">
    <w:name w:val="Footnote Text Char"/>
    <w:basedOn w:val="DefaultParagraphFont"/>
    <w:link w:val="FootnoteText"/>
    <w:rsid w:val="00456309"/>
    <w:rPr>
      <w:rFonts w:ascii="Times New Roman" w:hAnsi="Times New Roman"/>
      <w:lang w:val="sv-SE" w:eastAsia="sv-SE"/>
    </w:rPr>
  </w:style>
  <w:style w:type="character" w:styleId="FootnoteReference">
    <w:name w:val="footnote reference"/>
    <w:basedOn w:val="DefaultParagraphFont"/>
    <w:rsid w:val="003B4E64"/>
    <w:rPr>
      <w:vertAlign w:val="superscript"/>
    </w:rPr>
  </w:style>
  <w:style w:type="paragraph" w:customStyle="1" w:styleId="Footnote">
    <w:name w:val="Footnote"/>
    <w:basedOn w:val="FootnoteText"/>
    <w:rsid w:val="003B4E64"/>
  </w:style>
  <w:style w:type="paragraph" w:customStyle="1" w:styleId="eceeeReferences">
    <w:name w:val="eceee References"/>
    <w:basedOn w:val="Normal"/>
    <w:rsid w:val="003B4E64"/>
    <w:pPr>
      <w:spacing w:line="260" w:lineRule="exact"/>
      <w:ind w:left="709" w:hanging="709"/>
      <w:jc w:val="both"/>
    </w:pPr>
    <w:rPr>
      <w:sz w:val="20"/>
      <w:lang w:val="en-GB"/>
    </w:rPr>
  </w:style>
  <w:style w:type="paragraph" w:styleId="Footer">
    <w:name w:val="footer"/>
    <w:basedOn w:val="Normal"/>
    <w:rsid w:val="003B4E64"/>
    <w:pPr>
      <w:tabs>
        <w:tab w:val="center" w:pos="4536"/>
        <w:tab w:val="right" w:pos="9072"/>
      </w:tabs>
    </w:pPr>
  </w:style>
  <w:style w:type="paragraph" w:customStyle="1" w:styleId="eceeeNumberlist">
    <w:name w:val="eceee Number list"/>
    <w:basedOn w:val="eceeeBulletlist"/>
    <w:rsid w:val="003B4E64"/>
    <w:pPr>
      <w:numPr>
        <w:numId w:val="0"/>
      </w:numPr>
      <w:tabs>
        <w:tab w:val="num" w:pos="360"/>
      </w:tabs>
      <w:ind w:left="360" w:hanging="360"/>
    </w:pPr>
  </w:style>
  <w:style w:type="paragraph" w:customStyle="1" w:styleId="eceeeAuthor">
    <w:name w:val="eceee Author"/>
    <w:basedOn w:val="Normal"/>
    <w:rsid w:val="003B4E64"/>
    <w:pPr>
      <w:jc w:val="both"/>
    </w:pPr>
    <w:rPr>
      <w:rFonts w:eastAsia="Times New Roman"/>
      <w:sz w:val="20"/>
      <w:lang w:val="en-GB"/>
    </w:rPr>
  </w:style>
  <w:style w:type="paragraph" w:customStyle="1" w:styleId="eceeeHeading1">
    <w:name w:val="eceee Heading 1"/>
    <w:basedOn w:val="eceeeBodytext"/>
    <w:next w:val="eceeeBodytext"/>
    <w:autoRedefine/>
    <w:rsid w:val="000104F1"/>
    <w:pPr>
      <w:keepNext/>
      <w:tabs>
        <w:tab w:val="left" w:pos="3544"/>
      </w:tabs>
      <w:spacing w:before="240"/>
      <w:outlineLvl w:val="0"/>
    </w:pPr>
    <w:rPr>
      <w:rFonts w:ascii="Arial Black" w:hAnsi="Arial Black"/>
      <w:b/>
      <w:sz w:val="24"/>
    </w:rPr>
  </w:style>
  <w:style w:type="paragraph" w:styleId="Header">
    <w:name w:val="header"/>
    <w:basedOn w:val="Normal"/>
    <w:rsid w:val="003B4E64"/>
    <w:pPr>
      <w:tabs>
        <w:tab w:val="center" w:pos="4536"/>
        <w:tab w:val="right" w:pos="9072"/>
      </w:tabs>
    </w:pPr>
  </w:style>
  <w:style w:type="paragraph" w:customStyle="1" w:styleId="eceeequotation">
    <w:name w:val="eceee quotation"/>
    <w:basedOn w:val="eceeeBodytext"/>
    <w:qFormat/>
    <w:rsid w:val="00522F25"/>
    <w:pPr>
      <w:ind w:left="1304"/>
    </w:pPr>
  </w:style>
  <w:style w:type="character" w:styleId="Hyperlink">
    <w:name w:val="Hyperlink"/>
    <w:basedOn w:val="DefaultParagraphFont"/>
    <w:rsid w:val="003B4E64"/>
    <w:rPr>
      <w:color w:val="0000FF"/>
      <w:u w:val="single"/>
    </w:rPr>
  </w:style>
  <w:style w:type="character" w:styleId="CommentReference">
    <w:name w:val="annotation reference"/>
    <w:basedOn w:val="DefaultParagraphFont"/>
    <w:semiHidden/>
    <w:unhideWhenUsed/>
    <w:rsid w:val="00522F25"/>
    <w:rPr>
      <w:sz w:val="18"/>
      <w:szCs w:val="18"/>
    </w:rPr>
  </w:style>
  <w:style w:type="paragraph" w:styleId="CommentText">
    <w:name w:val="annotation text"/>
    <w:basedOn w:val="Normal"/>
    <w:link w:val="CommentTextChar"/>
    <w:semiHidden/>
    <w:unhideWhenUsed/>
    <w:rsid w:val="00522F25"/>
    <w:rPr>
      <w:szCs w:val="24"/>
    </w:rPr>
  </w:style>
  <w:style w:type="character" w:customStyle="1" w:styleId="CommentTextChar">
    <w:name w:val="Comment Text Char"/>
    <w:basedOn w:val="DefaultParagraphFont"/>
    <w:link w:val="CommentText"/>
    <w:semiHidden/>
    <w:rsid w:val="00522F25"/>
    <w:rPr>
      <w:sz w:val="24"/>
      <w:szCs w:val="24"/>
    </w:rPr>
  </w:style>
  <w:style w:type="paragraph" w:styleId="CommentSubject">
    <w:name w:val="annotation subject"/>
    <w:basedOn w:val="CommentText"/>
    <w:next w:val="CommentText"/>
    <w:link w:val="CommentSubjectChar"/>
    <w:uiPriority w:val="99"/>
    <w:semiHidden/>
    <w:unhideWhenUsed/>
    <w:rsid w:val="00522F25"/>
    <w:rPr>
      <w:b/>
      <w:bCs/>
      <w:sz w:val="20"/>
      <w:szCs w:val="20"/>
    </w:rPr>
  </w:style>
  <w:style w:type="character" w:customStyle="1" w:styleId="CommentSubjectChar">
    <w:name w:val="Comment Subject Char"/>
    <w:basedOn w:val="CommentTextChar"/>
    <w:link w:val="CommentSubject"/>
    <w:uiPriority w:val="99"/>
    <w:semiHidden/>
    <w:rsid w:val="00522F25"/>
    <w:rPr>
      <w:b/>
      <w:bCs/>
      <w:sz w:val="24"/>
      <w:szCs w:val="24"/>
    </w:rPr>
  </w:style>
  <w:style w:type="paragraph" w:styleId="BalloonText">
    <w:name w:val="Balloon Text"/>
    <w:basedOn w:val="Normal"/>
    <w:link w:val="BalloonTextChar"/>
    <w:uiPriority w:val="99"/>
    <w:semiHidden/>
    <w:unhideWhenUsed/>
    <w:rsid w:val="00522F25"/>
    <w:rPr>
      <w:rFonts w:ascii="Lucida Grande" w:hAnsi="Lucida Grande"/>
      <w:sz w:val="18"/>
      <w:szCs w:val="18"/>
    </w:rPr>
  </w:style>
  <w:style w:type="character" w:customStyle="1" w:styleId="BalloonTextChar">
    <w:name w:val="Balloon Text Char"/>
    <w:basedOn w:val="DefaultParagraphFont"/>
    <w:link w:val="BalloonText"/>
    <w:uiPriority w:val="99"/>
    <w:semiHidden/>
    <w:rsid w:val="00522F25"/>
    <w:rPr>
      <w:rFonts w:ascii="Lucida Grande" w:hAnsi="Lucida Grande"/>
      <w:sz w:val="18"/>
      <w:szCs w:val="18"/>
    </w:rPr>
  </w:style>
  <w:style w:type="paragraph" w:styleId="ListParagraph">
    <w:name w:val="List Paragraph"/>
    <w:basedOn w:val="Normal"/>
    <w:uiPriority w:val="34"/>
    <w:qFormat/>
    <w:rsid w:val="008A36A2"/>
    <w:pPr>
      <w:ind w:left="720"/>
      <w:contextualSpacing/>
      <w:jc w:val="both"/>
    </w:pPr>
    <w:rPr>
      <w:rFonts w:eastAsia="Calibri"/>
      <w:szCs w:val="24"/>
      <w:lang w:val="en-US" w:eastAsia="en-US"/>
    </w:rPr>
  </w:style>
  <w:style w:type="paragraph" w:customStyle="1" w:styleId="CharChar1">
    <w:name w:val="Char Char1"/>
    <w:basedOn w:val="Normal"/>
    <w:rsid w:val="008A36A2"/>
    <w:pPr>
      <w:spacing w:after="160" w:line="240" w:lineRule="exact"/>
      <w:jc w:val="both"/>
    </w:pPr>
    <w:rPr>
      <w:rFonts w:ascii="Tahoma" w:eastAsia="Times New Roman" w:hAnsi="Tahoma"/>
      <w:sz w:val="20"/>
      <w:lang w:val="en-GB" w:eastAsia="en-GB"/>
    </w:rPr>
  </w:style>
  <w:style w:type="table" w:styleId="TableGrid">
    <w:name w:val="Table Grid"/>
    <w:basedOn w:val="TableNormal"/>
    <w:uiPriority w:val="59"/>
    <w:rsid w:val="008A36A2"/>
    <w:rPr>
      <w:rFonts w:ascii="Times New Roman" w:eastAsia="SimSun" w:hAnsi="Times New Roman"/>
      <w:lang w:eastAsia="zh-C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Char2Char">
    <w:name w:val="Char Char2 Char"/>
    <w:basedOn w:val="Normal"/>
    <w:rsid w:val="008A36A2"/>
    <w:pPr>
      <w:spacing w:after="160" w:line="240" w:lineRule="exact"/>
      <w:jc w:val="both"/>
    </w:pPr>
    <w:rPr>
      <w:rFonts w:ascii="Tahoma" w:eastAsia="Times New Roman" w:hAnsi="Tahoma"/>
      <w:sz w:val="20"/>
      <w:lang w:val="en-GB" w:eastAsia="en-GB"/>
    </w:rPr>
  </w:style>
  <w:style w:type="table" w:styleId="TableColorful2">
    <w:name w:val="Table Colorful 2"/>
    <w:basedOn w:val="TableNormal"/>
    <w:rsid w:val="008A36A2"/>
    <w:rPr>
      <w:rFonts w:ascii="Times New Roman" w:eastAsia="Times New Roman" w:hAnsi="Times New Roman"/>
      <w:lang w:eastAsia="zh-CN"/>
    </w:rPr>
    <w:tblPr>
      <w:tblInd w:w="0" w:type="dxa"/>
      <w:tblBorders>
        <w:bottom w:val="single" w:sz="12" w:space="0" w:color="000000"/>
      </w:tblBorders>
      <w:tblCellMar>
        <w:top w:w="0" w:type="dxa"/>
        <w:left w:w="108" w:type="dxa"/>
        <w:bottom w:w="0" w:type="dxa"/>
        <w:right w:w="108" w:type="dxa"/>
      </w:tblCellMar>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paragraph" w:styleId="Caption">
    <w:name w:val="caption"/>
    <w:basedOn w:val="Normal"/>
    <w:next w:val="Normal"/>
    <w:autoRedefine/>
    <w:uiPriority w:val="35"/>
    <w:unhideWhenUsed/>
    <w:qFormat/>
    <w:rsid w:val="008672D9"/>
    <w:pPr>
      <w:keepNext/>
      <w:spacing w:after="120"/>
    </w:pPr>
    <w:rPr>
      <w:rFonts w:eastAsia="Calibri"/>
      <w:b/>
      <w:bCs/>
      <w:szCs w:val="18"/>
      <w:lang w:val="en-US" w:eastAsia="en-US"/>
    </w:rPr>
  </w:style>
  <w:style w:type="table" w:customStyle="1" w:styleId="LightShading1">
    <w:name w:val="Light Shading1"/>
    <w:basedOn w:val="TableNormal"/>
    <w:uiPriority w:val="60"/>
    <w:rsid w:val="008A36A2"/>
    <w:rPr>
      <w:rFonts w:ascii="Calibri" w:eastAsia="Calibri" w:hAnsi="Calibri"/>
      <w:color w:val="000000"/>
      <w:sz w:val="24"/>
      <w:szCs w:val="24"/>
      <w:lang w:val="en-US" w:eastAsia="en-US"/>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customStyle="1" w:styleId="BodyText1">
    <w:name w:val="Body Text1"/>
    <w:basedOn w:val="Normal"/>
    <w:rsid w:val="00C84BA4"/>
    <w:pPr>
      <w:spacing w:before="60" w:after="60" w:line="240" w:lineRule="exact"/>
    </w:pPr>
    <w:rPr>
      <w:rFonts w:eastAsia="Times New Roman"/>
      <w:sz w:val="20"/>
      <w:lang w:val="en-US"/>
    </w:rPr>
  </w:style>
  <w:style w:type="character" w:styleId="FollowedHyperlink">
    <w:name w:val="FollowedHyperlink"/>
    <w:basedOn w:val="DefaultParagraphFont"/>
    <w:uiPriority w:val="99"/>
    <w:semiHidden/>
    <w:unhideWhenUsed/>
    <w:rsid w:val="009806BC"/>
    <w:rPr>
      <w:color w:val="800080"/>
      <w:u w:val="single"/>
    </w:rPr>
  </w:style>
  <w:style w:type="paragraph" w:styleId="TOC5">
    <w:name w:val="toc 5"/>
    <w:basedOn w:val="Normal"/>
    <w:next w:val="Normal"/>
    <w:semiHidden/>
    <w:rsid w:val="00341BD7"/>
    <w:pPr>
      <w:tabs>
        <w:tab w:val="right" w:leader="dot" w:pos="6350"/>
      </w:tabs>
      <w:overflowPunct w:val="0"/>
      <w:autoSpaceDE w:val="0"/>
      <w:autoSpaceDN w:val="0"/>
      <w:adjustRightInd w:val="0"/>
      <w:spacing w:after="260" w:line="260" w:lineRule="atLeast"/>
      <w:ind w:left="960"/>
      <w:textAlignment w:val="baseline"/>
    </w:pPr>
    <w:rPr>
      <w:rFonts w:ascii="Garamond" w:eastAsia="Times New Roman" w:hAnsi="Garamond"/>
      <w:sz w:val="18"/>
      <w:lang w:val="en-GB" w:eastAsia="en-US"/>
    </w:rPr>
  </w:style>
  <w:style w:type="paragraph" w:styleId="NormalWeb">
    <w:name w:val="Normal (Web)"/>
    <w:basedOn w:val="Normal"/>
    <w:uiPriority w:val="99"/>
    <w:unhideWhenUsed/>
    <w:rsid w:val="00D864C5"/>
    <w:pPr>
      <w:spacing w:before="100" w:beforeAutospacing="1" w:after="100" w:afterAutospacing="1" w:line="240" w:lineRule="auto"/>
    </w:pPr>
    <w:rPr>
      <w:rFonts w:eastAsiaTheme="minorEastAsia"/>
      <w:szCs w:val="24"/>
      <w:lang w:val="en-GB" w:eastAsia="zh-CN"/>
    </w:rPr>
  </w:style>
  <w:style w:type="character" w:customStyle="1" w:styleId="referencetext1">
    <w:name w:val="referencetext1"/>
    <w:basedOn w:val="DefaultParagraphFont"/>
    <w:rsid w:val="008B0178"/>
    <w:rPr>
      <w:vanish w:val="0"/>
      <w:webHidden w:val="0"/>
      <w:specVanish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69266374">
      <w:bodyDiv w:val="1"/>
      <w:marLeft w:val="0"/>
      <w:marRight w:val="0"/>
      <w:marTop w:val="0"/>
      <w:marBottom w:val="0"/>
      <w:divBdr>
        <w:top w:val="none" w:sz="0" w:space="0" w:color="auto"/>
        <w:left w:val="none" w:sz="0" w:space="0" w:color="auto"/>
        <w:bottom w:val="none" w:sz="0" w:space="0" w:color="auto"/>
        <w:right w:val="none" w:sz="0" w:space="0" w:color="auto"/>
      </w:divBdr>
      <w:divsChild>
        <w:div w:id="641927130">
          <w:marLeft w:val="0"/>
          <w:marRight w:val="0"/>
          <w:marTop w:val="0"/>
          <w:marBottom w:val="0"/>
          <w:divBdr>
            <w:top w:val="none" w:sz="0" w:space="0" w:color="auto"/>
            <w:left w:val="none" w:sz="0" w:space="0" w:color="auto"/>
            <w:bottom w:val="none" w:sz="0" w:space="0" w:color="auto"/>
            <w:right w:val="none" w:sz="0" w:space="0" w:color="auto"/>
          </w:divBdr>
          <w:divsChild>
            <w:div w:id="1066302157">
              <w:marLeft w:val="0"/>
              <w:marRight w:val="0"/>
              <w:marTop w:val="0"/>
              <w:marBottom w:val="0"/>
              <w:divBdr>
                <w:top w:val="none" w:sz="0" w:space="0" w:color="auto"/>
                <w:left w:val="none" w:sz="0" w:space="0" w:color="auto"/>
                <w:bottom w:val="none" w:sz="0" w:space="0" w:color="auto"/>
                <w:right w:val="none" w:sz="0" w:space="0" w:color="auto"/>
              </w:divBdr>
              <w:divsChild>
                <w:div w:id="1659454567">
                  <w:marLeft w:val="0"/>
                  <w:marRight w:val="0"/>
                  <w:marTop w:val="0"/>
                  <w:marBottom w:val="0"/>
                  <w:divBdr>
                    <w:top w:val="none" w:sz="0" w:space="0" w:color="auto"/>
                    <w:left w:val="none" w:sz="0" w:space="0" w:color="auto"/>
                    <w:bottom w:val="none" w:sz="0" w:space="0" w:color="auto"/>
                    <w:right w:val="none" w:sz="0" w:space="0" w:color="auto"/>
                  </w:divBdr>
                  <w:divsChild>
                    <w:div w:id="671689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79861987">
      <w:bodyDiv w:val="1"/>
      <w:marLeft w:val="0"/>
      <w:marRight w:val="0"/>
      <w:marTop w:val="0"/>
      <w:marBottom w:val="0"/>
      <w:divBdr>
        <w:top w:val="none" w:sz="0" w:space="0" w:color="auto"/>
        <w:left w:val="none" w:sz="0" w:space="0" w:color="auto"/>
        <w:bottom w:val="none" w:sz="0" w:space="0" w:color="auto"/>
        <w:right w:val="none" w:sz="0" w:space="0" w:color="auto"/>
      </w:divBdr>
    </w:div>
    <w:div w:id="1503348560">
      <w:bodyDiv w:val="1"/>
      <w:marLeft w:val="0"/>
      <w:marRight w:val="0"/>
      <w:marTop w:val="0"/>
      <w:marBottom w:val="0"/>
      <w:divBdr>
        <w:top w:val="none" w:sz="0" w:space="0" w:color="auto"/>
        <w:left w:val="none" w:sz="0" w:space="0" w:color="auto"/>
        <w:bottom w:val="none" w:sz="0" w:space="0" w:color="auto"/>
        <w:right w:val="none" w:sz="0" w:space="0" w:color="auto"/>
      </w:divBdr>
      <w:divsChild>
        <w:div w:id="150408665">
          <w:marLeft w:val="0"/>
          <w:marRight w:val="0"/>
          <w:marTop w:val="0"/>
          <w:marBottom w:val="0"/>
          <w:divBdr>
            <w:top w:val="none" w:sz="0" w:space="0" w:color="auto"/>
            <w:left w:val="none" w:sz="0" w:space="0" w:color="auto"/>
            <w:bottom w:val="none" w:sz="0" w:space="0" w:color="auto"/>
            <w:right w:val="none" w:sz="0" w:space="0" w:color="auto"/>
          </w:divBdr>
          <w:divsChild>
            <w:div w:id="885483691">
              <w:marLeft w:val="0"/>
              <w:marRight w:val="0"/>
              <w:marTop w:val="0"/>
              <w:marBottom w:val="0"/>
              <w:divBdr>
                <w:top w:val="none" w:sz="0" w:space="0" w:color="auto"/>
                <w:left w:val="none" w:sz="0" w:space="0" w:color="auto"/>
                <w:bottom w:val="none" w:sz="0" w:space="0" w:color="auto"/>
                <w:right w:val="none" w:sz="0" w:space="0" w:color="auto"/>
              </w:divBdr>
              <w:divsChild>
                <w:div w:id="706372706">
                  <w:marLeft w:val="0"/>
                  <w:marRight w:val="0"/>
                  <w:marTop w:val="0"/>
                  <w:marBottom w:val="0"/>
                  <w:divBdr>
                    <w:top w:val="none" w:sz="0" w:space="0" w:color="auto"/>
                    <w:left w:val="none" w:sz="0" w:space="0" w:color="auto"/>
                    <w:bottom w:val="none" w:sz="0" w:space="0" w:color="auto"/>
                    <w:right w:val="none" w:sz="0" w:space="0" w:color="auto"/>
                  </w:divBdr>
                  <w:divsChild>
                    <w:div w:id="635990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31878706">
      <w:bodyDiv w:val="1"/>
      <w:marLeft w:val="0"/>
      <w:marRight w:val="0"/>
      <w:marTop w:val="0"/>
      <w:marBottom w:val="0"/>
      <w:divBdr>
        <w:top w:val="none" w:sz="0" w:space="0" w:color="auto"/>
        <w:left w:val="none" w:sz="0" w:space="0" w:color="auto"/>
        <w:bottom w:val="none" w:sz="0" w:space="0" w:color="auto"/>
        <w:right w:val="none" w:sz="0" w:space="0" w:color="auto"/>
      </w:divBdr>
    </w:div>
    <w:div w:id="17484587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2.xml"/><Relationship Id="rId18" Type="http://schemas.openxmlformats.org/officeDocument/2006/relationships/chart" Target="charts/chart7.xml"/><Relationship Id="rId26" Type="http://schemas.openxmlformats.org/officeDocument/2006/relationships/hyperlink" Target="http://www.ifs.org.uk/pr/budget09_initial.pdf" TargetMode="External"/><Relationship Id="rId3" Type="http://schemas.openxmlformats.org/officeDocument/2006/relationships/styles" Target="styles.xml"/><Relationship Id="rId21" Type="http://schemas.openxmlformats.org/officeDocument/2006/relationships/chart" Target="charts/chart10.xml"/><Relationship Id="rId7" Type="http://schemas.openxmlformats.org/officeDocument/2006/relationships/footnotes" Target="footnotes.xml"/><Relationship Id="rId12" Type="http://schemas.openxmlformats.org/officeDocument/2006/relationships/chart" Target="charts/chart1.xml"/><Relationship Id="rId17" Type="http://schemas.openxmlformats.org/officeDocument/2006/relationships/chart" Target="charts/chart6.xml"/><Relationship Id="rId25" Type="http://schemas.openxmlformats.org/officeDocument/2006/relationships/hyperlink" Target="http://www.lowcvp.org.uk/assets/reports/EST-IEEP_VED_Report_-_Nov_2004.pdf" TargetMode="External"/><Relationship Id="rId2" Type="http://schemas.openxmlformats.org/officeDocument/2006/relationships/numbering" Target="numbering.xml"/><Relationship Id="rId16" Type="http://schemas.openxmlformats.org/officeDocument/2006/relationships/chart" Target="charts/chart5.xml"/><Relationship Id="rId20" Type="http://schemas.openxmlformats.org/officeDocument/2006/relationships/chart" Target="charts/chart9.xm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martino.tran@ouce.ox.ac.uk" TargetMode="External"/><Relationship Id="rId24" Type="http://schemas.openxmlformats.org/officeDocument/2006/relationships/hyperlink" Target="http://www.energysavingtrust.org.uk/uploads/documents/fleet/Modelling%20the%20impact%20of%20VED.pdf" TargetMode="External"/><Relationship Id="rId32"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chart" Target="charts/chart4.xml"/><Relationship Id="rId23" Type="http://schemas.openxmlformats.org/officeDocument/2006/relationships/hyperlink" Target="http://www.cemt.org/topics/env/CM9926Fe.pdf" TargetMode="External"/><Relationship Id="rId28" Type="http://schemas.openxmlformats.org/officeDocument/2006/relationships/header" Target="header1.xml"/><Relationship Id="rId10" Type="http://schemas.openxmlformats.org/officeDocument/2006/relationships/hyperlink" Target="mailto:j.anable@abdn.ac.uk" TargetMode="External"/><Relationship Id="rId19" Type="http://schemas.openxmlformats.org/officeDocument/2006/relationships/chart" Target="charts/chart8.xml"/><Relationship Id="rId31"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mailto:christian.brand@ouce.ox.ac.uk" TargetMode="External"/><Relationship Id="rId14" Type="http://schemas.openxmlformats.org/officeDocument/2006/relationships/chart" Target="charts/chart3.xml"/><Relationship Id="rId22" Type="http://schemas.openxmlformats.org/officeDocument/2006/relationships/hyperlink" Target="http://www.risoe.dk/rispubl/art/2007_161_paper.pdf" TargetMode="External"/><Relationship Id="rId27" Type="http://schemas.openxmlformats.org/officeDocument/2006/relationships/hyperlink" Target="http://ec.europa.eu/enterprise/sectors/automotive/files/projects/report_co2_reduction_en.pdf" TargetMode="External"/><Relationship Id="rId30" Type="http://schemas.openxmlformats.org/officeDocument/2006/relationships/footer" Target="footer2.xml"/></Relationships>
</file>

<file path=word/_rels/footnotes.xml.rels><?xml version="1.0" encoding="UTF-8" standalone="yes"?>
<Relationships xmlns="http://schemas.openxmlformats.org/package/2006/relationships"><Relationship Id="rId1" Type="http://schemas.openxmlformats.org/officeDocument/2006/relationships/hyperlink" Target="http://www.xe.com"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D:\cbrand\My%20Documents\Work\conferences%20and%20seminars\eceee2011\misc_analysis.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Snow:Users:christian:Dropbox:ukerc-transport:eceee2011:analysis_extra.xlsx" TargetMode="External"/></Relationships>
</file>

<file path=word/charts/_rels/chart2.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D:\cbrand\My%20Documents\Work\conferences%20and%20seminars\eceee2011\misc_analysis.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D:\UKERCII_tran_scen\Analysis\misc_analysis.xlsx" TargetMode="External"/></Relationships>
</file>

<file path=word/charts/_rels/chart4.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oleObject" Target="file:///D:\UKERCII_tran_scen\Analysis\analysis_single_policies_eceeePaper.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D:\UKERCII_tran_scen\Analysis\analysis_Cars_by_CO2.xlsx" TargetMode="External"/></Relationships>
</file>

<file path=word/charts/_rels/chart6.xml.rels><?xml version="1.0" encoding="UTF-8" standalone="yes"?>
<Relationships xmlns="http://schemas.openxmlformats.org/package/2006/relationships"><Relationship Id="rId2" Type="http://schemas.openxmlformats.org/officeDocument/2006/relationships/chartUserShapes" Target="../drawings/drawing3.xml"/><Relationship Id="rId1" Type="http://schemas.openxmlformats.org/officeDocument/2006/relationships/oleObject" Target="file:///D:\UKERCII_tran_scen\Analysis\analysis_single_policies_eceeePaper.xlsx" TargetMode="External"/></Relationships>
</file>

<file path=word/charts/_rels/chart7.xml.rels><?xml version="1.0" encoding="UTF-8" standalone="yes"?>
<Relationships xmlns="http://schemas.openxmlformats.org/package/2006/relationships"><Relationship Id="rId2" Type="http://schemas.openxmlformats.org/officeDocument/2006/relationships/chartUserShapes" Target="../drawings/drawing4.xml"/><Relationship Id="rId1" Type="http://schemas.openxmlformats.org/officeDocument/2006/relationships/oleObject" Target="file:///C:\Users\Christian\Documents\My%20Dropbox\ukerc-transport\eceee2011\analysis_single_policies_eceeePaper.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D:\UKERCII_tran_scen\Analysis\analysis_single_policies_eceeePaper.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D:\UKERCII_tran_scen\Analysis\analysis_single_policies_eceeePaper.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10"/>
    </mc:Choice>
    <mc:Fallback>
      <c:style val="10"/>
    </mc:Fallback>
  </mc:AlternateContent>
  <c:chart>
    <c:autoTitleDeleted val="0"/>
    <c:plotArea>
      <c:layout>
        <c:manualLayout>
          <c:layoutTarget val="inner"/>
          <c:xMode val="edge"/>
          <c:yMode val="edge"/>
          <c:x val="0.128446019022976"/>
          <c:y val="4.4910724187646502E-2"/>
          <c:w val="0.82745754459092102"/>
          <c:h val="0.78735711167520805"/>
        </c:manualLayout>
      </c:layout>
      <c:scatterChart>
        <c:scatterStyle val="lineMarker"/>
        <c:varyColors val="0"/>
        <c:ser>
          <c:idx val="2"/>
          <c:order val="0"/>
          <c:tx>
            <c:strRef>
              <c:f>'new car market'!$I$3</c:f>
              <c:strCache>
                <c:ptCount val="1"/>
                <c:pt idx="0">
                  <c:v>2000</c:v>
                </c:pt>
              </c:strCache>
            </c:strRef>
          </c:tx>
          <c:spPr>
            <a:ln w="28575">
              <a:solidFill>
                <a:schemeClr val="tx1"/>
              </a:solidFill>
              <a:prstDash val="dash"/>
            </a:ln>
          </c:spPr>
          <c:marker>
            <c:spPr>
              <a:solidFill>
                <a:schemeClr val="tx1"/>
              </a:solidFill>
              <a:ln>
                <a:solidFill>
                  <a:schemeClr val="tx1"/>
                </a:solidFill>
              </a:ln>
            </c:spPr>
          </c:marker>
          <c:xVal>
            <c:numRef>
              <c:f>'new car market'!$E$4:$E$16</c:f>
              <c:numCache>
                <c:formatCode>General</c:formatCode>
                <c:ptCount val="13"/>
                <c:pt idx="0">
                  <c:v>90</c:v>
                </c:pt>
                <c:pt idx="1">
                  <c:v>105</c:v>
                </c:pt>
                <c:pt idx="2">
                  <c:v>115</c:v>
                </c:pt>
                <c:pt idx="3">
                  <c:v>125</c:v>
                </c:pt>
                <c:pt idx="4">
                  <c:v>135</c:v>
                </c:pt>
                <c:pt idx="5">
                  <c:v>145</c:v>
                </c:pt>
                <c:pt idx="6">
                  <c:v>158</c:v>
                </c:pt>
                <c:pt idx="7">
                  <c:v>170</c:v>
                </c:pt>
                <c:pt idx="8">
                  <c:v>180</c:v>
                </c:pt>
                <c:pt idx="9">
                  <c:v>190</c:v>
                </c:pt>
                <c:pt idx="10">
                  <c:v>213</c:v>
                </c:pt>
                <c:pt idx="11">
                  <c:v>240</c:v>
                </c:pt>
                <c:pt idx="12">
                  <c:v>275</c:v>
                </c:pt>
              </c:numCache>
            </c:numRef>
          </c:xVal>
          <c:yVal>
            <c:numRef>
              <c:f>'new car market'!$I$4:$I$16</c:f>
              <c:numCache>
                <c:formatCode>0.0%</c:formatCode>
                <c:ptCount val="13"/>
                <c:pt idx="0">
                  <c:v>0</c:v>
                </c:pt>
                <c:pt idx="1">
                  <c:v>0</c:v>
                </c:pt>
                <c:pt idx="2">
                  <c:v>1E-3</c:v>
                </c:pt>
                <c:pt idx="3">
                  <c:v>7.00000000000004E-3</c:v>
                </c:pt>
                <c:pt idx="4">
                  <c:v>7.3000000000000106E-2</c:v>
                </c:pt>
                <c:pt idx="5">
                  <c:v>0.111</c:v>
                </c:pt>
                <c:pt idx="6">
                  <c:v>0.23799999999999999</c:v>
                </c:pt>
                <c:pt idx="7">
                  <c:v>8.9000000000000204E-2</c:v>
                </c:pt>
                <c:pt idx="8">
                  <c:v>0.13800000000000001</c:v>
                </c:pt>
                <c:pt idx="9">
                  <c:v>0.111</c:v>
                </c:pt>
                <c:pt idx="10">
                  <c:v>0.11899999999999999</c:v>
                </c:pt>
                <c:pt idx="11">
                  <c:v>6.4000000000000307E-2</c:v>
                </c:pt>
                <c:pt idx="12">
                  <c:v>4.8000000000000098E-2</c:v>
                </c:pt>
              </c:numCache>
            </c:numRef>
          </c:yVal>
          <c:smooth val="0"/>
        </c:ser>
        <c:ser>
          <c:idx val="1"/>
          <c:order val="1"/>
          <c:tx>
            <c:strRef>
              <c:f>'new car market'!$H$3</c:f>
              <c:strCache>
                <c:ptCount val="1"/>
                <c:pt idx="0">
                  <c:v>2009</c:v>
                </c:pt>
              </c:strCache>
            </c:strRef>
          </c:tx>
          <c:spPr>
            <a:ln w="28575">
              <a:solidFill>
                <a:schemeClr val="tx1"/>
              </a:solidFill>
              <a:prstDash val="sysDot"/>
            </a:ln>
          </c:spPr>
          <c:marker>
            <c:spPr>
              <a:solidFill>
                <a:schemeClr val="tx1"/>
              </a:solidFill>
              <a:ln>
                <a:solidFill>
                  <a:sysClr val="windowText" lastClr="000000"/>
                </a:solidFill>
              </a:ln>
            </c:spPr>
          </c:marker>
          <c:xVal>
            <c:numRef>
              <c:f>'new car market'!$E$4:$E$16</c:f>
              <c:numCache>
                <c:formatCode>General</c:formatCode>
                <c:ptCount val="13"/>
                <c:pt idx="0">
                  <c:v>90</c:v>
                </c:pt>
                <c:pt idx="1">
                  <c:v>105</c:v>
                </c:pt>
                <c:pt idx="2">
                  <c:v>115</c:v>
                </c:pt>
                <c:pt idx="3">
                  <c:v>125</c:v>
                </c:pt>
                <c:pt idx="4">
                  <c:v>135</c:v>
                </c:pt>
                <c:pt idx="5">
                  <c:v>145</c:v>
                </c:pt>
                <c:pt idx="6">
                  <c:v>158</c:v>
                </c:pt>
                <c:pt idx="7">
                  <c:v>170</c:v>
                </c:pt>
                <c:pt idx="8">
                  <c:v>180</c:v>
                </c:pt>
                <c:pt idx="9">
                  <c:v>190</c:v>
                </c:pt>
                <c:pt idx="10">
                  <c:v>213</c:v>
                </c:pt>
                <c:pt idx="11">
                  <c:v>240</c:v>
                </c:pt>
                <c:pt idx="12">
                  <c:v>275</c:v>
                </c:pt>
              </c:numCache>
            </c:numRef>
          </c:xVal>
          <c:yVal>
            <c:numRef>
              <c:f>'new car market'!$H$4:$H$16</c:f>
              <c:numCache>
                <c:formatCode>0.0%</c:formatCode>
                <c:ptCount val="13"/>
                <c:pt idx="0">
                  <c:v>9.0000000000000305E-3</c:v>
                </c:pt>
                <c:pt idx="1">
                  <c:v>5.6000000000000001E-2</c:v>
                </c:pt>
                <c:pt idx="2">
                  <c:v>0.13900000000000001</c:v>
                </c:pt>
                <c:pt idx="3">
                  <c:v>7.2000000000000106E-2</c:v>
                </c:pt>
                <c:pt idx="4">
                  <c:v>0.19700000000000001</c:v>
                </c:pt>
                <c:pt idx="5">
                  <c:v>0.13</c:v>
                </c:pt>
                <c:pt idx="6">
                  <c:v>0.182</c:v>
                </c:pt>
                <c:pt idx="7">
                  <c:v>5.6000000000000001E-2</c:v>
                </c:pt>
                <c:pt idx="8">
                  <c:v>5.5000000000000097E-2</c:v>
                </c:pt>
                <c:pt idx="9">
                  <c:v>4.4000000000000199E-2</c:v>
                </c:pt>
                <c:pt idx="10">
                  <c:v>3.00000000000001E-2</c:v>
                </c:pt>
                <c:pt idx="11">
                  <c:v>1.2999999999999999E-2</c:v>
                </c:pt>
                <c:pt idx="12">
                  <c:v>1.4999999999999999E-2</c:v>
                </c:pt>
              </c:numCache>
            </c:numRef>
          </c:yVal>
          <c:smooth val="0"/>
        </c:ser>
        <c:ser>
          <c:idx val="0"/>
          <c:order val="2"/>
          <c:tx>
            <c:strRef>
              <c:f>'new car market'!$G$3</c:f>
              <c:strCache>
                <c:ptCount val="1"/>
                <c:pt idx="0">
                  <c:v>2010</c:v>
                </c:pt>
              </c:strCache>
            </c:strRef>
          </c:tx>
          <c:spPr>
            <a:ln w="28575">
              <a:solidFill>
                <a:schemeClr val="tx1"/>
              </a:solidFill>
              <a:prstDash val="solid"/>
            </a:ln>
          </c:spPr>
          <c:marker>
            <c:spPr>
              <a:solidFill>
                <a:schemeClr val="tx1"/>
              </a:solidFill>
              <a:ln>
                <a:solidFill>
                  <a:sysClr val="windowText" lastClr="000000"/>
                </a:solidFill>
              </a:ln>
            </c:spPr>
          </c:marker>
          <c:xVal>
            <c:numRef>
              <c:f>'new car market'!$E$4:$E$16</c:f>
              <c:numCache>
                <c:formatCode>General</c:formatCode>
                <c:ptCount val="13"/>
                <c:pt idx="0">
                  <c:v>90</c:v>
                </c:pt>
                <c:pt idx="1">
                  <c:v>105</c:v>
                </c:pt>
                <c:pt idx="2">
                  <c:v>115</c:v>
                </c:pt>
                <c:pt idx="3">
                  <c:v>125</c:v>
                </c:pt>
                <c:pt idx="4">
                  <c:v>135</c:v>
                </c:pt>
                <c:pt idx="5">
                  <c:v>145</c:v>
                </c:pt>
                <c:pt idx="6">
                  <c:v>158</c:v>
                </c:pt>
                <c:pt idx="7">
                  <c:v>170</c:v>
                </c:pt>
                <c:pt idx="8">
                  <c:v>180</c:v>
                </c:pt>
                <c:pt idx="9">
                  <c:v>190</c:v>
                </c:pt>
                <c:pt idx="10">
                  <c:v>213</c:v>
                </c:pt>
                <c:pt idx="11">
                  <c:v>240</c:v>
                </c:pt>
                <c:pt idx="12">
                  <c:v>275</c:v>
                </c:pt>
              </c:numCache>
            </c:numRef>
          </c:xVal>
          <c:yVal>
            <c:numRef>
              <c:f>'new car market'!$G$4:$G$16</c:f>
              <c:numCache>
                <c:formatCode>0.0%</c:formatCode>
                <c:ptCount val="13"/>
                <c:pt idx="0">
                  <c:v>1.8000000000000099E-2</c:v>
                </c:pt>
                <c:pt idx="1">
                  <c:v>6.9000000000000297E-2</c:v>
                </c:pt>
                <c:pt idx="2">
                  <c:v>0.16500000000000001</c:v>
                </c:pt>
                <c:pt idx="3">
                  <c:v>0.129</c:v>
                </c:pt>
                <c:pt idx="4">
                  <c:v>0.183</c:v>
                </c:pt>
                <c:pt idx="5">
                  <c:v>0.111</c:v>
                </c:pt>
                <c:pt idx="6">
                  <c:v>0.151</c:v>
                </c:pt>
                <c:pt idx="7">
                  <c:v>4.0000000000000098E-2</c:v>
                </c:pt>
                <c:pt idx="8">
                  <c:v>4.9000000000000203E-2</c:v>
                </c:pt>
                <c:pt idx="9">
                  <c:v>3.8000000000000103E-2</c:v>
                </c:pt>
                <c:pt idx="10">
                  <c:v>2.2000000000000099E-2</c:v>
                </c:pt>
                <c:pt idx="11">
                  <c:v>1.4999999999999999E-2</c:v>
                </c:pt>
                <c:pt idx="12">
                  <c:v>0.01</c:v>
                </c:pt>
              </c:numCache>
            </c:numRef>
          </c:yVal>
          <c:smooth val="0"/>
        </c:ser>
        <c:dLbls>
          <c:showLegendKey val="0"/>
          <c:showVal val="0"/>
          <c:showCatName val="0"/>
          <c:showSerName val="0"/>
          <c:showPercent val="0"/>
          <c:showBubbleSize val="0"/>
        </c:dLbls>
        <c:axId val="43368448"/>
        <c:axId val="46257280"/>
      </c:scatterChart>
      <c:valAx>
        <c:axId val="43368448"/>
        <c:scaling>
          <c:orientation val="minMax"/>
          <c:max val="280"/>
          <c:min val="80"/>
        </c:scaling>
        <c:delete val="0"/>
        <c:axPos val="b"/>
        <c:title>
          <c:tx>
            <c:rich>
              <a:bodyPr/>
              <a:lstStyle/>
              <a:p>
                <a:pPr>
                  <a:defRPr/>
                </a:pPr>
                <a:r>
                  <a:rPr lang="en-US"/>
                  <a:t>CO</a:t>
                </a:r>
                <a:r>
                  <a:rPr lang="en-US" baseline="-25000"/>
                  <a:t>2</a:t>
                </a:r>
                <a:r>
                  <a:rPr lang="en-US"/>
                  <a:t> rating [g/km]</a:t>
                </a:r>
              </a:p>
            </c:rich>
          </c:tx>
          <c:overlay val="0"/>
        </c:title>
        <c:numFmt formatCode="General" sourceLinked="1"/>
        <c:majorTickMark val="out"/>
        <c:minorTickMark val="none"/>
        <c:tickLblPos val="nextTo"/>
        <c:crossAx val="46257280"/>
        <c:crosses val="autoZero"/>
        <c:crossBetween val="midCat"/>
        <c:majorUnit val="20"/>
      </c:valAx>
      <c:valAx>
        <c:axId val="46257280"/>
        <c:scaling>
          <c:orientation val="minMax"/>
        </c:scaling>
        <c:delete val="0"/>
        <c:axPos val="l"/>
        <c:title>
          <c:tx>
            <c:rich>
              <a:bodyPr rot="-5400000" vert="horz"/>
              <a:lstStyle/>
              <a:p>
                <a:pPr>
                  <a:defRPr/>
                </a:pPr>
                <a:r>
                  <a:rPr lang="en-US"/>
                  <a:t>new car market share</a:t>
                </a:r>
              </a:p>
            </c:rich>
          </c:tx>
          <c:overlay val="0"/>
        </c:title>
        <c:numFmt formatCode="0%" sourceLinked="0"/>
        <c:majorTickMark val="out"/>
        <c:minorTickMark val="none"/>
        <c:tickLblPos val="nextTo"/>
        <c:crossAx val="43368448"/>
        <c:crosses val="autoZero"/>
        <c:crossBetween val="midCat"/>
      </c:valAx>
    </c:plotArea>
    <c:legend>
      <c:legendPos val="r"/>
      <c:layout>
        <c:manualLayout>
          <c:xMode val="edge"/>
          <c:yMode val="edge"/>
          <c:x val="0.74186371559833497"/>
          <c:y val="7.1004889509778998E-2"/>
          <c:w val="0.22320988242581699"/>
          <c:h val="0.26184152828354101"/>
        </c:manualLayout>
      </c:layout>
      <c:overlay val="0"/>
    </c:legend>
    <c:plotVisOnly val="1"/>
    <c:dispBlanksAs val="gap"/>
    <c:showDLblsOverMax val="0"/>
  </c:chart>
  <c:spPr>
    <a:ln>
      <a:noFill/>
    </a:ln>
  </c:spPr>
  <c:txPr>
    <a:bodyPr/>
    <a:lstStyle/>
    <a:p>
      <a:pPr>
        <a:defRPr sz="1200">
          <a:latin typeface="Times New Roman" pitchFamily="18" charset="0"/>
          <a:cs typeface="Times New Roman" pitchFamily="18" charset="0"/>
        </a:defRPr>
      </a:pPr>
      <a:endParaRPr lang="en-US"/>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pivotSource>
    <c:name>[analysis_extra.xlsx]CPT2b piv!PivotTable3</c:name>
    <c:fmtId val="-1"/>
  </c:pivotSource>
  <c:chart>
    <c:autoTitleDeleted val="0"/>
    <c:pivotFmts>
      <c:pivotFmt>
        <c:idx val="0"/>
        <c:marker>
          <c:symbol val="none"/>
        </c:marker>
      </c:pivotFmt>
      <c:pivotFmt>
        <c:idx val="1"/>
        <c:marker>
          <c:symbol val="none"/>
        </c:marker>
      </c:pivotFmt>
      <c:pivotFmt>
        <c:idx val="2"/>
        <c:marker>
          <c:symbol val="none"/>
        </c:marker>
      </c:pivotFmt>
      <c:pivotFmt>
        <c:idx val="3"/>
        <c:marker>
          <c:symbol val="none"/>
        </c:marker>
      </c:pivotFmt>
      <c:pivotFmt>
        <c:idx val="4"/>
        <c:marker>
          <c:symbol val="none"/>
        </c:marker>
      </c:pivotFmt>
      <c:pivotFmt>
        <c:idx val="5"/>
        <c:marker>
          <c:symbol val="none"/>
        </c:marker>
      </c:pivotFmt>
      <c:pivotFmt>
        <c:idx val="6"/>
        <c:marker>
          <c:symbol val="none"/>
        </c:marker>
      </c:pivotFmt>
      <c:pivotFmt>
        <c:idx val="7"/>
        <c:marker>
          <c:symbol val="none"/>
        </c:marker>
      </c:pivotFmt>
      <c:pivotFmt>
        <c:idx val="8"/>
        <c:marker>
          <c:symbol val="none"/>
        </c:marker>
      </c:pivotFmt>
      <c:pivotFmt>
        <c:idx val="9"/>
        <c:marker>
          <c:symbol val="none"/>
        </c:marker>
      </c:pivotFmt>
      <c:pivotFmt>
        <c:idx val="10"/>
        <c:marker>
          <c:symbol val="none"/>
        </c:marker>
      </c:pivotFmt>
    </c:pivotFmts>
    <c:plotArea>
      <c:layout>
        <c:manualLayout>
          <c:layoutTarget val="inner"/>
          <c:xMode val="edge"/>
          <c:yMode val="edge"/>
          <c:x val="0.15018745058278901"/>
          <c:y val="4.6503308889286298E-2"/>
          <c:w val="0.545596969838259"/>
          <c:h val="0.805197892563561"/>
        </c:manualLayout>
      </c:layout>
      <c:barChart>
        <c:barDir val="col"/>
        <c:grouping val="stacked"/>
        <c:varyColors val="0"/>
        <c:ser>
          <c:idx val="0"/>
          <c:order val="0"/>
          <c:tx>
            <c:strRef>
              <c:f>'CPT2b piv'!$B$7:$B$9</c:f>
              <c:strCache>
                <c:ptCount val="1"/>
                <c:pt idx="0">
                  <c:v>Gasoline - ICV</c:v>
                </c:pt>
              </c:strCache>
            </c:strRef>
          </c:tx>
          <c:spPr>
            <a:pattFill prst="pct5">
              <a:fgClr>
                <a:schemeClr val="tx1"/>
              </a:fgClr>
              <a:bgClr>
                <a:schemeClr val="bg1"/>
              </a:bgClr>
            </a:pattFill>
            <a:ln w="3175">
              <a:solidFill>
                <a:schemeClr val="bg1">
                  <a:lumMod val="50000"/>
                </a:schemeClr>
              </a:solidFill>
            </a:ln>
          </c:spPr>
          <c:invertIfNegative val="0"/>
          <c:cat>
            <c:strRef>
              <c:f>'CPT2b piv'!$A$10:$A$18</c:f>
              <c:strCache>
                <c:ptCount val="9"/>
                <c:pt idx="0">
                  <c:v>2011</c:v>
                </c:pt>
                <c:pt idx="1">
                  <c:v>2015</c:v>
                </c:pt>
                <c:pt idx="2">
                  <c:v>2020</c:v>
                </c:pt>
                <c:pt idx="3">
                  <c:v>2025</c:v>
                </c:pt>
                <c:pt idx="4">
                  <c:v>2030</c:v>
                </c:pt>
                <c:pt idx="5">
                  <c:v>2035</c:v>
                </c:pt>
                <c:pt idx="6">
                  <c:v>2040</c:v>
                </c:pt>
                <c:pt idx="7">
                  <c:v>2045</c:v>
                </c:pt>
                <c:pt idx="8">
                  <c:v>2050</c:v>
                </c:pt>
              </c:strCache>
            </c:strRef>
          </c:cat>
          <c:val>
            <c:numRef>
              <c:f>'CPT2b piv'!$B$10:$B$18</c:f>
              <c:numCache>
                <c:formatCode>General</c:formatCode>
                <c:ptCount val="9"/>
                <c:pt idx="0">
                  <c:v>914.11149999999986</c:v>
                </c:pt>
                <c:pt idx="1">
                  <c:v>994.18055000000004</c:v>
                </c:pt>
                <c:pt idx="2">
                  <c:v>1121.2330999999999</c:v>
                </c:pt>
                <c:pt idx="3">
                  <c:v>1377.211</c:v>
                </c:pt>
                <c:pt idx="4">
                  <c:v>1338.9193</c:v>
                </c:pt>
                <c:pt idx="5">
                  <c:v>1316.7579000000001</c:v>
                </c:pt>
                <c:pt idx="6">
                  <c:v>1446.7408</c:v>
                </c:pt>
                <c:pt idx="7">
                  <c:v>1481.5056000000011</c:v>
                </c:pt>
                <c:pt idx="8">
                  <c:v>1501.4724000000001</c:v>
                </c:pt>
              </c:numCache>
            </c:numRef>
          </c:val>
        </c:ser>
        <c:ser>
          <c:idx val="1"/>
          <c:order val="1"/>
          <c:tx>
            <c:strRef>
              <c:f>'CPT2b piv'!$C$7:$C$9</c:f>
              <c:strCache>
                <c:ptCount val="1"/>
                <c:pt idx="0">
                  <c:v>Gasoline - HEV</c:v>
                </c:pt>
              </c:strCache>
            </c:strRef>
          </c:tx>
          <c:spPr>
            <a:pattFill prst="pct50">
              <a:fgClr>
                <a:schemeClr val="tx1"/>
              </a:fgClr>
              <a:bgClr>
                <a:schemeClr val="bg1"/>
              </a:bgClr>
            </a:pattFill>
            <a:ln w="3175">
              <a:solidFill>
                <a:schemeClr val="bg1">
                  <a:lumMod val="50000"/>
                </a:schemeClr>
              </a:solidFill>
            </a:ln>
          </c:spPr>
          <c:invertIfNegative val="0"/>
          <c:cat>
            <c:strRef>
              <c:f>'CPT2b piv'!$A$10:$A$18</c:f>
              <c:strCache>
                <c:ptCount val="9"/>
                <c:pt idx="0">
                  <c:v>2011</c:v>
                </c:pt>
                <c:pt idx="1">
                  <c:v>2015</c:v>
                </c:pt>
                <c:pt idx="2">
                  <c:v>2020</c:v>
                </c:pt>
                <c:pt idx="3">
                  <c:v>2025</c:v>
                </c:pt>
                <c:pt idx="4">
                  <c:v>2030</c:v>
                </c:pt>
                <c:pt idx="5">
                  <c:v>2035</c:v>
                </c:pt>
                <c:pt idx="6">
                  <c:v>2040</c:v>
                </c:pt>
                <c:pt idx="7">
                  <c:v>2045</c:v>
                </c:pt>
                <c:pt idx="8">
                  <c:v>2050</c:v>
                </c:pt>
              </c:strCache>
            </c:strRef>
          </c:cat>
          <c:val>
            <c:numRef>
              <c:f>'CPT2b piv'!$C$10:$C$18</c:f>
              <c:numCache>
                <c:formatCode>General</c:formatCode>
                <c:ptCount val="9"/>
                <c:pt idx="0">
                  <c:v>-19.184149999999899</c:v>
                </c:pt>
                <c:pt idx="1">
                  <c:v>-34.604799999999997</c:v>
                </c:pt>
                <c:pt idx="2">
                  <c:v>-30.35</c:v>
                </c:pt>
                <c:pt idx="3">
                  <c:v>-29.327049999999989</c:v>
                </c:pt>
                <c:pt idx="4">
                  <c:v>-54.767450000000011</c:v>
                </c:pt>
                <c:pt idx="5">
                  <c:v>-62.531950000000002</c:v>
                </c:pt>
                <c:pt idx="6">
                  <c:v>36.590900000000012</c:v>
                </c:pt>
                <c:pt idx="7">
                  <c:v>119.68899999999999</c:v>
                </c:pt>
                <c:pt idx="8">
                  <c:v>123.38800000000001</c:v>
                </c:pt>
              </c:numCache>
            </c:numRef>
          </c:val>
        </c:ser>
        <c:ser>
          <c:idx val="2"/>
          <c:order val="2"/>
          <c:tx>
            <c:strRef>
              <c:f>'CPT2b piv'!$D$7:$D$9</c:f>
              <c:strCache>
                <c:ptCount val="1"/>
                <c:pt idx="0">
                  <c:v>Gasoline - PHEV</c:v>
                </c:pt>
              </c:strCache>
            </c:strRef>
          </c:tx>
          <c:spPr>
            <a:pattFill prst="ltDnDiag">
              <a:fgClr>
                <a:schemeClr val="tx1"/>
              </a:fgClr>
              <a:bgClr>
                <a:schemeClr val="bg1"/>
              </a:bgClr>
            </a:pattFill>
            <a:ln w="3175">
              <a:solidFill>
                <a:schemeClr val="bg1">
                  <a:lumMod val="50000"/>
                </a:schemeClr>
              </a:solidFill>
            </a:ln>
          </c:spPr>
          <c:invertIfNegative val="0"/>
          <c:cat>
            <c:strRef>
              <c:f>'CPT2b piv'!$A$10:$A$18</c:f>
              <c:strCache>
                <c:ptCount val="9"/>
                <c:pt idx="0">
                  <c:v>2011</c:v>
                </c:pt>
                <c:pt idx="1">
                  <c:v>2015</c:v>
                </c:pt>
                <c:pt idx="2">
                  <c:v>2020</c:v>
                </c:pt>
                <c:pt idx="3">
                  <c:v>2025</c:v>
                </c:pt>
                <c:pt idx="4">
                  <c:v>2030</c:v>
                </c:pt>
                <c:pt idx="5">
                  <c:v>2035</c:v>
                </c:pt>
                <c:pt idx="6">
                  <c:v>2040</c:v>
                </c:pt>
                <c:pt idx="7">
                  <c:v>2045</c:v>
                </c:pt>
                <c:pt idx="8">
                  <c:v>2050</c:v>
                </c:pt>
              </c:strCache>
            </c:strRef>
          </c:cat>
          <c:val>
            <c:numRef>
              <c:f>'CPT2b piv'!$D$10:$D$18</c:f>
              <c:numCache>
                <c:formatCode>General</c:formatCode>
                <c:ptCount val="9"/>
                <c:pt idx="0">
                  <c:v>-1.7327999999999939</c:v>
                </c:pt>
                <c:pt idx="1">
                  <c:v>-10.185</c:v>
                </c:pt>
                <c:pt idx="2">
                  <c:v>-51.955800000000004</c:v>
                </c:pt>
                <c:pt idx="3">
                  <c:v>-306.7638</c:v>
                </c:pt>
                <c:pt idx="4">
                  <c:v>-951.86429999999712</c:v>
                </c:pt>
                <c:pt idx="5">
                  <c:v>-1174.1088</c:v>
                </c:pt>
                <c:pt idx="6">
                  <c:v>-1232.1062999999999</c:v>
                </c:pt>
                <c:pt idx="7">
                  <c:v>-1216.8378</c:v>
                </c:pt>
                <c:pt idx="8">
                  <c:v>-1217.2883999999999</c:v>
                </c:pt>
              </c:numCache>
            </c:numRef>
          </c:val>
        </c:ser>
        <c:ser>
          <c:idx val="3"/>
          <c:order val="3"/>
          <c:tx>
            <c:strRef>
              <c:f>'CPT2b piv'!$F$7:$F$9</c:f>
              <c:strCache>
                <c:ptCount val="1"/>
                <c:pt idx="0">
                  <c:v>Diesel - ICV</c:v>
                </c:pt>
              </c:strCache>
            </c:strRef>
          </c:tx>
          <c:spPr>
            <a:pattFill prst="ltVert">
              <a:fgClr>
                <a:schemeClr val="tx1"/>
              </a:fgClr>
              <a:bgClr>
                <a:schemeClr val="bg1"/>
              </a:bgClr>
            </a:pattFill>
            <a:ln w="3175">
              <a:solidFill>
                <a:schemeClr val="bg1">
                  <a:lumMod val="50000"/>
                </a:schemeClr>
              </a:solidFill>
            </a:ln>
          </c:spPr>
          <c:invertIfNegative val="0"/>
          <c:cat>
            <c:strRef>
              <c:f>'CPT2b piv'!$A$10:$A$18</c:f>
              <c:strCache>
                <c:ptCount val="9"/>
                <c:pt idx="0">
                  <c:v>2011</c:v>
                </c:pt>
                <c:pt idx="1">
                  <c:v>2015</c:v>
                </c:pt>
                <c:pt idx="2">
                  <c:v>2020</c:v>
                </c:pt>
                <c:pt idx="3">
                  <c:v>2025</c:v>
                </c:pt>
                <c:pt idx="4">
                  <c:v>2030</c:v>
                </c:pt>
                <c:pt idx="5">
                  <c:v>2035</c:v>
                </c:pt>
                <c:pt idx="6">
                  <c:v>2040</c:v>
                </c:pt>
                <c:pt idx="7">
                  <c:v>2045</c:v>
                </c:pt>
                <c:pt idx="8">
                  <c:v>2050</c:v>
                </c:pt>
              </c:strCache>
            </c:strRef>
          </c:cat>
          <c:val>
            <c:numRef>
              <c:f>'CPT2b piv'!$F$10:$F$18</c:f>
              <c:numCache>
                <c:formatCode>General</c:formatCode>
                <c:ptCount val="9"/>
                <c:pt idx="0">
                  <c:v>-519.41189999999938</c:v>
                </c:pt>
                <c:pt idx="1">
                  <c:v>-525.15464999999938</c:v>
                </c:pt>
                <c:pt idx="2">
                  <c:v>-507.14974999999998</c:v>
                </c:pt>
                <c:pt idx="3">
                  <c:v>-22.244649999999819</c:v>
                </c:pt>
                <c:pt idx="4">
                  <c:v>489.6789</c:v>
                </c:pt>
                <c:pt idx="5">
                  <c:v>718.61189999999999</c:v>
                </c:pt>
                <c:pt idx="6">
                  <c:v>1072.2411999999999</c:v>
                </c:pt>
                <c:pt idx="7">
                  <c:v>1227.8112000000001</c:v>
                </c:pt>
                <c:pt idx="8">
                  <c:v>1268.4411</c:v>
                </c:pt>
              </c:numCache>
            </c:numRef>
          </c:val>
        </c:ser>
        <c:ser>
          <c:idx val="4"/>
          <c:order val="4"/>
          <c:tx>
            <c:strRef>
              <c:f>'CPT2b piv'!$G$7:$G$9</c:f>
              <c:strCache>
                <c:ptCount val="1"/>
                <c:pt idx="0">
                  <c:v>Diesel - HEV</c:v>
                </c:pt>
              </c:strCache>
            </c:strRef>
          </c:tx>
          <c:spPr>
            <a:pattFill prst="dashDnDiag">
              <a:fgClr>
                <a:schemeClr val="tx1"/>
              </a:fgClr>
              <a:bgClr>
                <a:schemeClr val="bg1"/>
              </a:bgClr>
            </a:pattFill>
            <a:ln w="3175">
              <a:solidFill>
                <a:schemeClr val="bg1">
                  <a:lumMod val="50000"/>
                </a:schemeClr>
              </a:solidFill>
            </a:ln>
          </c:spPr>
          <c:invertIfNegative val="0"/>
          <c:cat>
            <c:strRef>
              <c:f>'CPT2b piv'!$A$10:$A$18</c:f>
              <c:strCache>
                <c:ptCount val="9"/>
                <c:pt idx="0">
                  <c:v>2011</c:v>
                </c:pt>
                <c:pt idx="1">
                  <c:v>2015</c:v>
                </c:pt>
                <c:pt idx="2">
                  <c:v>2020</c:v>
                </c:pt>
                <c:pt idx="3">
                  <c:v>2025</c:v>
                </c:pt>
                <c:pt idx="4">
                  <c:v>2030</c:v>
                </c:pt>
                <c:pt idx="5">
                  <c:v>2035</c:v>
                </c:pt>
                <c:pt idx="6">
                  <c:v>2040</c:v>
                </c:pt>
                <c:pt idx="7">
                  <c:v>2045</c:v>
                </c:pt>
                <c:pt idx="8">
                  <c:v>2050</c:v>
                </c:pt>
              </c:strCache>
            </c:strRef>
          </c:cat>
          <c:val>
            <c:numRef>
              <c:f>'CPT2b piv'!$G$10:$G$18</c:f>
              <c:numCache>
                <c:formatCode>General</c:formatCode>
                <c:ptCount val="9"/>
                <c:pt idx="0">
                  <c:v>-44.725350000000311</c:v>
                </c:pt>
                <c:pt idx="1">
                  <c:v>-94.631100000000004</c:v>
                </c:pt>
                <c:pt idx="2">
                  <c:v>-199.21035000000001</c:v>
                </c:pt>
                <c:pt idx="3">
                  <c:v>-205.07724999999999</c:v>
                </c:pt>
                <c:pt idx="4">
                  <c:v>-205.66374999999999</c:v>
                </c:pt>
                <c:pt idx="5">
                  <c:v>-145.45020000000071</c:v>
                </c:pt>
                <c:pt idx="6">
                  <c:v>-76.398449999999983</c:v>
                </c:pt>
                <c:pt idx="7">
                  <c:v>-61.324100000000001</c:v>
                </c:pt>
                <c:pt idx="8">
                  <c:v>-48.373350000000002</c:v>
                </c:pt>
              </c:numCache>
            </c:numRef>
          </c:val>
        </c:ser>
        <c:ser>
          <c:idx val="5"/>
          <c:order val="5"/>
          <c:tx>
            <c:strRef>
              <c:f>'CPT2b piv'!$I$7:$I$9</c:f>
              <c:strCache>
                <c:ptCount val="1"/>
                <c:pt idx="0">
                  <c:v>Biodiesel (B100)</c:v>
                </c:pt>
              </c:strCache>
            </c:strRef>
          </c:tx>
          <c:spPr>
            <a:pattFill prst="zigZag">
              <a:fgClr>
                <a:schemeClr val="tx1"/>
              </a:fgClr>
              <a:bgClr>
                <a:schemeClr val="bg1"/>
              </a:bgClr>
            </a:pattFill>
            <a:ln w="3175">
              <a:solidFill>
                <a:schemeClr val="bg1">
                  <a:lumMod val="50000"/>
                </a:schemeClr>
              </a:solidFill>
            </a:ln>
          </c:spPr>
          <c:invertIfNegative val="0"/>
          <c:cat>
            <c:strRef>
              <c:f>'CPT2b piv'!$A$10:$A$18</c:f>
              <c:strCache>
                <c:ptCount val="9"/>
                <c:pt idx="0">
                  <c:v>2011</c:v>
                </c:pt>
                <c:pt idx="1">
                  <c:v>2015</c:v>
                </c:pt>
                <c:pt idx="2">
                  <c:v>2020</c:v>
                </c:pt>
                <c:pt idx="3">
                  <c:v>2025</c:v>
                </c:pt>
                <c:pt idx="4">
                  <c:v>2030</c:v>
                </c:pt>
                <c:pt idx="5">
                  <c:v>2035</c:v>
                </c:pt>
                <c:pt idx="6">
                  <c:v>2040</c:v>
                </c:pt>
                <c:pt idx="7">
                  <c:v>2045</c:v>
                </c:pt>
                <c:pt idx="8">
                  <c:v>2050</c:v>
                </c:pt>
              </c:strCache>
            </c:strRef>
          </c:cat>
          <c:val>
            <c:numRef>
              <c:f>'CPT2b piv'!$I$10:$I$18</c:f>
              <c:numCache>
                <c:formatCode>General</c:formatCode>
                <c:ptCount val="9"/>
                <c:pt idx="0">
                  <c:v>-7.7400500000000001</c:v>
                </c:pt>
                <c:pt idx="1">
                  <c:v>-19.501100000000001</c:v>
                </c:pt>
                <c:pt idx="2">
                  <c:v>-17.108699999999899</c:v>
                </c:pt>
                <c:pt idx="3">
                  <c:v>-14.9245</c:v>
                </c:pt>
                <c:pt idx="4">
                  <c:v>28.44447499999999</c:v>
                </c:pt>
                <c:pt idx="5">
                  <c:v>25.036999999999999</c:v>
                </c:pt>
                <c:pt idx="6">
                  <c:v>43.304849999999902</c:v>
                </c:pt>
                <c:pt idx="7">
                  <c:v>41.079800000000013</c:v>
                </c:pt>
                <c:pt idx="8">
                  <c:v>39.701450000000001</c:v>
                </c:pt>
              </c:numCache>
            </c:numRef>
          </c:val>
        </c:ser>
        <c:ser>
          <c:idx val="6"/>
          <c:order val="6"/>
          <c:tx>
            <c:strRef>
              <c:f>'CPT2b piv'!$J$7:$J$9</c:f>
              <c:strCache>
                <c:ptCount val="1"/>
                <c:pt idx="0">
                  <c:v>Bioethanol (E85)</c:v>
                </c:pt>
              </c:strCache>
            </c:strRef>
          </c:tx>
          <c:spPr>
            <a:pattFill prst="divot">
              <a:fgClr>
                <a:schemeClr val="tx1"/>
              </a:fgClr>
              <a:bgClr>
                <a:schemeClr val="bg1"/>
              </a:bgClr>
            </a:pattFill>
            <a:ln w="3175">
              <a:solidFill>
                <a:schemeClr val="bg1">
                  <a:lumMod val="50000"/>
                </a:schemeClr>
              </a:solidFill>
            </a:ln>
          </c:spPr>
          <c:invertIfNegative val="0"/>
          <c:cat>
            <c:strRef>
              <c:f>'CPT2b piv'!$A$10:$A$18</c:f>
              <c:strCache>
                <c:ptCount val="9"/>
                <c:pt idx="0">
                  <c:v>2011</c:v>
                </c:pt>
                <c:pt idx="1">
                  <c:v>2015</c:v>
                </c:pt>
                <c:pt idx="2">
                  <c:v>2020</c:v>
                </c:pt>
                <c:pt idx="3">
                  <c:v>2025</c:v>
                </c:pt>
                <c:pt idx="4">
                  <c:v>2030</c:v>
                </c:pt>
                <c:pt idx="5">
                  <c:v>2035</c:v>
                </c:pt>
                <c:pt idx="6">
                  <c:v>2040</c:v>
                </c:pt>
                <c:pt idx="7">
                  <c:v>2045</c:v>
                </c:pt>
                <c:pt idx="8">
                  <c:v>2050</c:v>
                </c:pt>
              </c:strCache>
            </c:strRef>
          </c:cat>
          <c:val>
            <c:numRef>
              <c:f>'CPT2b piv'!$J$10:$J$18</c:f>
              <c:numCache>
                <c:formatCode>General</c:formatCode>
                <c:ptCount val="9"/>
                <c:pt idx="0">
                  <c:v>0.44140000000000001</c:v>
                </c:pt>
                <c:pt idx="1">
                  <c:v>0.72715000000000096</c:v>
                </c:pt>
                <c:pt idx="2">
                  <c:v>0.74605000000000299</c:v>
                </c:pt>
                <c:pt idx="3">
                  <c:v>0.96105000000000096</c:v>
                </c:pt>
                <c:pt idx="4">
                  <c:v>1.093</c:v>
                </c:pt>
                <c:pt idx="5">
                  <c:v>1.067899999999993</c:v>
                </c:pt>
                <c:pt idx="6">
                  <c:v>1.1211</c:v>
                </c:pt>
                <c:pt idx="7">
                  <c:v>1.069899999999993</c:v>
                </c:pt>
                <c:pt idx="8">
                  <c:v>1.0317999999999921</c:v>
                </c:pt>
              </c:numCache>
            </c:numRef>
          </c:val>
        </c:ser>
        <c:ser>
          <c:idx val="7"/>
          <c:order val="7"/>
          <c:tx>
            <c:strRef>
              <c:f>'CPT2b piv'!$K$7:$K$9</c:f>
              <c:strCache>
                <c:ptCount val="1"/>
                <c:pt idx="0">
                  <c:v>Electricity BEV</c:v>
                </c:pt>
              </c:strCache>
            </c:strRef>
          </c:tx>
          <c:spPr>
            <a:pattFill prst="smGrid">
              <a:fgClr>
                <a:schemeClr val="tx1"/>
              </a:fgClr>
              <a:bgClr>
                <a:schemeClr val="bg1"/>
              </a:bgClr>
            </a:pattFill>
            <a:ln w="3175">
              <a:solidFill>
                <a:schemeClr val="bg1">
                  <a:lumMod val="50000"/>
                </a:schemeClr>
              </a:solidFill>
            </a:ln>
          </c:spPr>
          <c:invertIfNegative val="0"/>
          <c:cat>
            <c:strRef>
              <c:f>'CPT2b piv'!$A$10:$A$18</c:f>
              <c:strCache>
                <c:ptCount val="9"/>
                <c:pt idx="0">
                  <c:v>2011</c:v>
                </c:pt>
                <c:pt idx="1">
                  <c:v>2015</c:v>
                </c:pt>
                <c:pt idx="2">
                  <c:v>2020</c:v>
                </c:pt>
                <c:pt idx="3">
                  <c:v>2025</c:v>
                </c:pt>
                <c:pt idx="4">
                  <c:v>2030</c:v>
                </c:pt>
                <c:pt idx="5">
                  <c:v>2035</c:v>
                </c:pt>
                <c:pt idx="6">
                  <c:v>2040</c:v>
                </c:pt>
                <c:pt idx="7">
                  <c:v>2045</c:v>
                </c:pt>
                <c:pt idx="8">
                  <c:v>2050</c:v>
                </c:pt>
              </c:strCache>
            </c:strRef>
          </c:cat>
          <c:val>
            <c:numRef>
              <c:f>'CPT2b piv'!$K$10:$K$18</c:f>
              <c:numCache>
                <c:formatCode>General</c:formatCode>
                <c:ptCount val="9"/>
                <c:pt idx="0">
                  <c:v>-20.2244999999999</c:v>
                </c:pt>
                <c:pt idx="1">
                  <c:v>-46.712400000000002</c:v>
                </c:pt>
                <c:pt idx="2">
                  <c:v>-359.35889999999989</c:v>
                </c:pt>
                <c:pt idx="3">
                  <c:v>-387.45149999999882</c:v>
                </c:pt>
                <c:pt idx="4">
                  <c:v>-622.58309999999994</c:v>
                </c:pt>
                <c:pt idx="5">
                  <c:v>-1096.7850000000001</c:v>
                </c:pt>
                <c:pt idx="6">
                  <c:v>-1854.4425000000001</c:v>
                </c:pt>
                <c:pt idx="7">
                  <c:v>-2642.2332000000001</c:v>
                </c:pt>
                <c:pt idx="8">
                  <c:v>-2964.8627999999999</c:v>
                </c:pt>
              </c:numCache>
            </c:numRef>
          </c:val>
        </c:ser>
        <c:ser>
          <c:idx val="8"/>
          <c:order val="8"/>
          <c:tx>
            <c:strRef>
              <c:f>'CPT2b piv'!$L$7:$L$9</c:f>
              <c:strCache>
                <c:ptCount val="1"/>
                <c:pt idx="0">
                  <c:v>GH2 FCV</c:v>
                </c:pt>
              </c:strCache>
            </c:strRef>
          </c:tx>
          <c:spPr>
            <a:pattFill prst="pct10">
              <a:fgClr>
                <a:schemeClr val="tx1"/>
              </a:fgClr>
              <a:bgClr>
                <a:schemeClr val="bg1"/>
              </a:bgClr>
            </a:pattFill>
            <a:ln w="3175">
              <a:solidFill>
                <a:schemeClr val="bg1">
                  <a:lumMod val="50000"/>
                </a:schemeClr>
              </a:solidFill>
            </a:ln>
          </c:spPr>
          <c:invertIfNegative val="0"/>
          <c:cat>
            <c:strRef>
              <c:f>'CPT2b piv'!$A$10:$A$18</c:f>
              <c:strCache>
                <c:ptCount val="9"/>
                <c:pt idx="0">
                  <c:v>2011</c:v>
                </c:pt>
                <c:pt idx="1">
                  <c:v>2015</c:v>
                </c:pt>
                <c:pt idx="2">
                  <c:v>2020</c:v>
                </c:pt>
                <c:pt idx="3">
                  <c:v>2025</c:v>
                </c:pt>
                <c:pt idx="4">
                  <c:v>2030</c:v>
                </c:pt>
                <c:pt idx="5">
                  <c:v>2035</c:v>
                </c:pt>
                <c:pt idx="6">
                  <c:v>2040</c:v>
                </c:pt>
                <c:pt idx="7">
                  <c:v>2045</c:v>
                </c:pt>
                <c:pt idx="8">
                  <c:v>2050</c:v>
                </c:pt>
              </c:strCache>
            </c:strRef>
          </c:cat>
          <c:val>
            <c:numRef>
              <c:f>'CPT2b piv'!$L$10:$L$18</c:f>
              <c:numCache>
                <c:formatCode>General</c:formatCode>
                <c:ptCount val="9"/>
                <c:pt idx="1">
                  <c:v>-3.3E-3</c:v>
                </c:pt>
                <c:pt idx="2">
                  <c:v>-4.2599999999999999E-2</c:v>
                </c:pt>
                <c:pt idx="3">
                  <c:v>-0.1323</c:v>
                </c:pt>
                <c:pt idx="4">
                  <c:v>-0.153</c:v>
                </c:pt>
                <c:pt idx="5">
                  <c:v>-0.98399999999999999</c:v>
                </c:pt>
                <c:pt idx="6">
                  <c:v>-0.93959999999999999</c:v>
                </c:pt>
                <c:pt idx="7">
                  <c:v>-0.84180000000000299</c:v>
                </c:pt>
                <c:pt idx="8">
                  <c:v>-0.80459999999999998</c:v>
                </c:pt>
              </c:numCache>
            </c:numRef>
          </c:val>
        </c:ser>
        <c:ser>
          <c:idx val="9"/>
          <c:order val="9"/>
          <c:tx>
            <c:strRef>
              <c:f>'CPT2b piv'!$M$7:$M$9</c:f>
              <c:strCache>
                <c:ptCount val="1"/>
                <c:pt idx="0">
                  <c:v>LPG ICV</c:v>
                </c:pt>
              </c:strCache>
            </c:strRef>
          </c:tx>
          <c:spPr>
            <a:pattFill prst="pct60">
              <a:fgClr>
                <a:schemeClr val="tx1"/>
              </a:fgClr>
              <a:bgClr>
                <a:schemeClr val="bg1"/>
              </a:bgClr>
            </a:pattFill>
            <a:ln w="3175">
              <a:solidFill>
                <a:schemeClr val="bg1">
                  <a:lumMod val="50000"/>
                </a:schemeClr>
              </a:solidFill>
            </a:ln>
          </c:spPr>
          <c:invertIfNegative val="0"/>
          <c:cat>
            <c:strRef>
              <c:f>'CPT2b piv'!$A$10:$A$18</c:f>
              <c:strCache>
                <c:ptCount val="9"/>
                <c:pt idx="0">
                  <c:v>2011</c:v>
                </c:pt>
                <c:pt idx="1">
                  <c:v>2015</c:v>
                </c:pt>
                <c:pt idx="2">
                  <c:v>2020</c:v>
                </c:pt>
                <c:pt idx="3">
                  <c:v>2025</c:v>
                </c:pt>
                <c:pt idx="4">
                  <c:v>2030</c:v>
                </c:pt>
                <c:pt idx="5">
                  <c:v>2035</c:v>
                </c:pt>
                <c:pt idx="6">
                  <c:v>2040</c:v>
                </c:pt>
                <c:pt idx="7">
                  <c:v>2045</c:v>
                </c:pt>
                <c:pt idx="8">
                  <c:v>2050</c:v>
                </c:pt>
              </c:strCache>
            </c:strRef>
          </c:cat>
          <c:val>
            <c:numRef>
              <c:f>'CPT2b piv'!$M$10:$M$18</c:f>
              <c:numCache>
                <c:formatCode>General</c:formatCode>
                <c:ptCount val="9"/>
                <c:pt idx="0">
                  <c:v>0.83040000000000003</c:v>
                </c:pt>
                <c:pt idx="1">
                  <c:v>0.91559999999999997</c:v>
                </c:pt>
                <c:pt idx="2">
                  <c:v>0.91679999999999995</c:v>
                </c:pt>
                <c:pt idx="3">
                  <c:v>1.0222</c:v>
                </c:pt>
                <c:pt idx="4">
                  <c:v>1.036999999999993</c:v>
                </c:pt>
                <c:pt idx="5">
                  <c:v>1.039399999999993</c:v>
                </c:pt>
                <c:pt idx="6">
                  <c:v>1.0988</c:v>
                </c:pt>
                <c:pt idx="7">
                  <c:v>1.0468</c:v>
                </c:pt>
                <c:pt idx="8">
                  <c:v>1.01</c:v>
                </c:pt>
              </c:numCache>
            </c:numRef>
          </c:val>
        </c:ser>
        <c:dLbls>
          <c:showLegendKey val="0"/>
          <c:showVal val="0"/>
          <c:showCatName val="0"/>
          <c:showSerName val="0"/>
          <c:showPercent val="0"/>
          <c:showBubbleSize val="0"/>
        </c:dLbls>
        <c:gapWidth val="50"/>
        <c:overlap val="100"/>
        <c:axId val="217347968"/>
        <c:axId val="217358336"/>
      </c:barChart>
      <c:catAx>
        <c:axId val="217347968"/>
        <c:scaling>
          <c:orientation val="minMax"/>
        </c:scaling>
        <c:delete val="0"/>
        <c:axPos val="b"/>
        <c:majorTickMark val="out"/>
        <c:minorTickMark val="none"/>
        <c:tickLblPos val="low"/>
        <c:crossAx val="217358336"/>
        <c:crosses val="autoZero"/>
        <c:auto val="1"/>
        <c:lblAlgn val="ctr"/>
        <c:lblOffset val="100"/>
        <c:tickLblSkip val="1"/>
        <c:noMultiLvlLbl val="0"/>
      </c:catAx>
      <c:valAx>
        <c:axId val="217358336"/>
        <c:scaling>
          <c:orientation val="minMax"/>
        </c:scaling>
        <c:delete val="0"/>
        <c:axPos val="l"/>
        <c:title>
          <c:tx>
            <c:rich>
              <a:bodyPr rot="-5400000" vert="horz"/>
              <a:lstStyle/>
              <a:p>
                <a:pPr>
                  <a:defRPr/>
                </a:pPr>
                <a:r>
                  <a:rPr lang="en-US"/>
                  <a:t>fees (+) / rebates (-) [million GBP]</a:t>
                </a:r>
              </a:p>
            </c:rich>
          </c:tx>
          <c:layout>
            <c:manualLayout>
              <c:xMode val="edge"/>
              <c:yMode val="edge"/>
              <c:x val="0"/>
              <c:y val="0.14917534789460599"/>
            </c:manualLayout>
          </c:layout>
          <c:overlay val="0"/>
        </c:title>
        <c:numFmt formatCode="General" sourceLinked="1"/>
        <c:majorTickMark val="out"/>
        <c:minorTickMark val="none"/>
        <c:tickLblPos val="nextTo"/>
        <c:crossAx val="217347968"/>
        <c:crosses val="autoZero"/>
        <c:crossBetween val="between"/>
      </c:valAx>
    </c:plotArea>
    <c:legend>
      <c:legendPos val="r"/>
      <c:overlay val="0"/>
    </c:legend>
    <c:plotVisOnly val="1"/>
    <c:dispBlanksAs val="gap"/>
    <c:showDLblsOverMax val="0"/>
  </c:chart>
  <c:spPr>
    <a:ln>
      <a:noFill/>
    </a:ln>
  </c:spPr>
  <c:txPr>
    <a:bodyPr/>
    <a:lstStyle/>
    <a:p>
      <a:pPr>
        <a:defRPr sz="1200">
          <a:latin typeface="Times New Roman"/>
          <a:cs typeface="Times New Roman"/>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5.7888541666666703E-2"/>
          <c:y val="3.88055555555556E-2"/>
          <c:w val="0.71029427083333496"/>
          <c:h val="0.76156055555555602"/>
        </c:manualLayout>
      </c:layout>
      <c:barChart>
        <c:barDir val="bar"/>
        <c:grouping val="clustered"/>
        <c:varyColors val="1"/>
        <c:ser>
          <c:idx val="0"/>
          <c:order val="0"/>
          <c:invertIfNegative val="0"/>
          <c:dPt>
            <c:idx val="0"/>
            <c:invertIfNegative val="0"/>
            <c:bubble3D val="0"/>
            <c:spPr>
              <a:solidFill>
                <a:srgbClr val="006600"/>
              </a:solidFill>
            </c:spPr>
          </c:dPt>
          <c:dPt>
            <c:idx val="1"/>
            <c:invertIfNegative val="0"/>
            <c:bubble3D val="0"/>
            <c:spPr>
              <a:solidFill>
                <a:srgbClr val="00CC00"/>
              </a:solidFill>
            </c:spPr>
          </c:dPt>
          <c:dPt>
            <c:idx val="2"/>
            <c:invertIfNegative val="0"/>
            <c:bubble3D val="0"/>
            <c:spPr>
              <a:solidFill>
                <a:srgbClr val="00FF00"/>
              </a:solidFill>
            </c:spPr>
          </c:dPt>
          <c:dPt>
            <c:idx val="3"/>
            <c:invertIfNegative val="0"/>
            <c:bubble3D val="0"/>
            <c:spPr>
              <a:solidFill>
                <a:srgbClr val="99FF33"/>
              </a:solidFill>
            </c:spPr>
          </c:dPt>
          <c:dPt>
            <c:idx val="4"/>
            <c:invertIfNegative val="0"/>
            <c:bubble3D val="0"/>
            <c:spPr>
              <a:solidFill>
                <a:srgbClr val="CCFF66"/>
              </a:solidFill>
            </c:spPr>
          </c:dPt>
          <c:dPt>
            <c:idx val="6"/>
            <c:invertIfNegative val="0"/>
            <c:bubble3D val="0"/>
            <c:spPr>
              <a:solidFill>
                <a:srgbClr val="FFFF99"/>
              </a:solidFill>
            </c:spPr>
          </c:dPt>
          <c:dPt>
            <c:idx val="7"/>
            <c:invertIfNegative val="0"/>
            <c:bubble3D val="0"/>
            <c:spPr>
              <a:solidFill>
                <a:srgbClr val="FFFF00"/>
              </a:solidFill>
            </c:spPr>
          </c:dPt>
          <c:dPt>
            <c:idx val="8"/>
            <c:invertIfNegative val="0"/>
            <c:bubble3D val="0"/>
            <c:spPr>
              <a:solidFill>
                <a:srgbClr val="FFCC00"/>
              </a:solidFill>
            </c:spPr>
          </c:dPt>
          <c:dPt>
            <c:idx val="9"/>
            <c:invertIfNegative val="0"/>
            <c:bubble3D val="0"/>
            <c:spPr>
              <a:solidFill>
                <a:srgbClr val="FF9933"/>
              </a:solidFill>
            </c:spPr>
          </c:dPt>
          <c:dPt>
            <c:idx val="10"/>
            <c:invertIfNegative val="0"/>
            <c:bubble3D val="0"/>
            <c:spPr>
              <a:solidFill>
                <a:srgbClr val="FF0000"/>
              </a:solidFill>
            </c:spPr>
          </c:dPt>
          <c:cat>
            <c:strRef>
              <c:f>policies!$D$11:$D$21</c:f>
              <c:strCache>
                <c:ptCount val="11"/>
                <c:pt idx="0">
                  <c:v>A (&lt;100g/km)</c:v>
                </c:pt>
                <c:pt idx="1">
                  <c:v>B (101-110g/km)</c:v>
                </c:pt>
                <c:pt idx="2">
                  <c:v>C (111-120g/km)</c:v>
                </c:pt>
                <c:pt idx="3">
                  <c:v>D (121-130g/km)</c:v>
                </c:pt>
                <c:pt idx="4">
                  <c:v>E (131-140g/km)</c:v>
                </c:pt>
                <c:pt idx="5">
                  <c:v>F (141-150g/km)</c:v>
                </c:pt>
                <c:pt idx="6">
                  <c:v>G (151-165g/km)</c:v>
                </c:pt>
                <c:pt idx="7">
                  <c:v>H (166-175g/km)</c:v>
                </c:pt>
                <c:pt idx="8">
                  <c:v>I (176-185g/km)</c:v>
                </c:pt>
                <c:pt idx="9">
                  <c:v>J (186-200g/km)</c:v>
                </c:pt>
                <c:pt idx="10">
                  <c:v>KLM (&gt;200g/km)</c:v>
                </c:pt>
              </c:strCache>
            </c:strRef>
          </c:cat>
          <c:val>
            <c:numRef>
              <c:f>policies!$E$11:$E$21</c:f>
              <c:numCache>
                <c:formatCode>#,##0</c:formatCode>
                <c:ptCount val="11"/>
                <c:pt idx="0">
                  <c:v>-2000</c:v>
                </c:pt>
                <c:pt idx="1">
                  <c:v>-1000</c:v>
                </c:pt>
                <c:pt idx="2">
                  <c:v>-1000</c:v>
                </c:pt>
                <c:pt idx="3">
                  <c:v>-500</c:v>
                </c:pt>
                <c:pt idx="4">
                  <c:v>-500</c:v>
                </c:pt>
                <c:pt idx="5">
                  <c:v>0</c:v>
                </c:pt>
                <c:pt idx="6">
                  <c:v>1000</c:v>
                </c:pt>
                <c:pt idx="7">
                  <c:v>1000</c:v>
                </c:pt>
                <c:pt idx="8">
                  <c:v>2000</c:v>
                </c:pt>
                <c:pt idx="9">
                  <c:v>2000</c:v>
                </c:pt>
                <c:pt idx="10">
                  <c:v>4000</c:v>
                </c:pt>
              </c:numCache>
            </c:numRef>
          </c:val>
        </c:ser>
        <c:dLbls>
          <c:showLegendKey val="0"/>
          <c:showVal val="1"/>
          <c:showCatName val="0"/>
          <c:showSerName val="0"/>
          <c:showPercent val="0"/>
          <c:showBubbleSize val="0"/>
        </c:dLbls>
        <c:gapWidth val="61"/>
        <c:axId val="67177856"/>
        <c:axId val="81159296"/>
      </c:barChart>
      <c:catAx>
        <c:axId val="67177856"/>
        <c:scaling>
          <c:orientation val="minMax"/>
        </c:scaling>
        <c:delete val="0"/>
        <c:axPos val="l"/>
        <c:majorTickMark val="none"/>
        <c:minorTickMark val="none"/>
        <c:tickLblPos val="high"/>
        <c:crossAx val="81159296"/>
        <c:crosses val="autoZero"/>
        <c:auto val="1"/>
        <c:lblAlgn val="ctr"/>
        <c:lblOffset val="100"/>
        <c:noMultiLvlLbl val="0"/>
      </c:catAx>
      <c:valAx>
        <c:axId val="81159296"/>
        <c:scaling>
          <c:orientation val="minMax"/>
        </c:scaling>
        <c:delete val="0"/>
        <c:axPos val="b"/>
        <c:numFmt formatCode="#,##0" sourceLinked="1"/>
        <c:majorTickMark val="none"/>
        <c:minorTickMark val="none"/>
        <c:tickLblPos val="low"/>
        <c:crossAx val="67177856"/>
        <c:crosses val="autoZero"/>
        <c:crossBetween val="between"/>
      </c:valAx>
    </c:plotArea>
    <c:plotVisOnly val="1"/>
    <c:dispBlanksAs val="gap"/>
    <c:showDLblsOverMax val="0"/>
  </c:chart>
  <c:spPr>
    <a:ln>
      <a:noFill/>
    </a:ln>
  </c:spPr>
  <c:txPr>
    <a:bodyPr/>
    <a:lstStyle/>
    <a:p>
      <a:pPr>
        <a:defRPr sz="1200">
          <a:latin typeface="Times New Roman" pitchFamily="18" charset="0"/>
          <a:cs typeface="Times New Roman" pitchFamily="18" charset="0"/>
        </a:defRPr>
      </a:pPr>
      <a:endParaRPr lang="en-US"/>
    </a:p>
  </c:txPr>
  <c:externalData r:id="rId1">
    <c:autoUpdate val="0"/>
  </c:externalData>
  <c:userShapes r:id="rId2"/>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3.08680555555556E-2"/>
          <c:y val="3.88055555555556E-2"/>
          <c:w val="0.72567656250000001"/>
          <c:h val="0.75480472222222195"/>
        </c:manualLayout>
      </c:layout>
      <c:barChart>
        <c:barDir val="bar"/>
        <c:grouping val="clustered"/>
        <c:varyColors val="0"/>
        <c:ser>
          <c:idx val="0"/>
          <c:order val="0"/>
          <c:tx>
            <c:strRef>
              <c:f>policies!$AF$2</c:f>
              <c:strCache>
                <c:ptCount val="1"/>
                <c:pt idx="0">
                  <c:v>standard rate</c:v>
                </c:pt>
              </c:strCache>
            </c:strRef>
          </c:tx>
          <c:spPr>
            <a:solidFill>
              <a:schemeClr val="tx1"/>
            </a:solidFill>
            <a:ln>
              <a:solidFill>
                <a:schemeClr val="tx1"/>
              </a:solidFill>
            </a:ln>
          </c:spPr>
          <c:invertIfNegative val="0"/>
          <c:cat>
            <c:strRef>
              <c:f>policies!$D$11:$D$23</c:f>
              <c:strCache>
                <c:ptCount val="13"/>
                <c:pt idx="0">
                  <c:v>A (&lt;100g/km)</c:v>
                </c:pt>
                <c:pt idx="1">
                  <c:v>B (101-110g/km)</c:v>
                </c:pt>
                <c:pt idx="2">
                  <c:v>C (111-120g/km)</c:v>
                </c:pt>
                <c:pt idx="3">
                  <c:v>D (121-130g/km)</c:v>
                </c:pt>
                <c:pt idx="4">
                  <c:v>E (131-140g/km)</c:v>
                </c:pt>
                <c:pt idx="5">
                  <c:v>F (141-150g/km)</c:v>
                </c:pt>
                <c:pt idx="6">
                  <c:v>G (151-165g/km)</c:v>
                </c:pt>
                <c:pt idx="7">
                  <c:v>H (166-175g/km)</c:v>
                </c:pt>
                <c:pt idx="8">
                  <c:v>I (176-185g/km)</c:v>
                </c:pt>
                <c:pt idx="9">
                  <c:v>J (186-200g/km)</c:v>
                </c:pt>
                <c:pt idx="10">
                  <c:v>KLM (&gt;200g/km)</c:v>
                </c:pt>
                <c:pt idx="11">
                  <c:v>L (226-255g/km)</c:v>
                </c:pt>
                <c:pt idx="12">
                  <c:v>M (over 255g/km)</c:v>
                </c:pt>
              </c:strCache>
            </c:strRef>
          </c:cat>
          <c:val>
            <c:numRef>
              <c:f>policies!$AF$11:$AF$23</c:f>
              <c:numCache>
                <c:formatCode>#,##0</c:formatCode>
                <c:ptCount val="13"/>
                <c:pt idx="0">
                  <c:v>0</c:v>
                </c:pt>
                <c:pt idx="1">
                  <c:v>40</c:v>
                </c:pt>
                <c:pt idx="2">
                  <c:v>60</c:v>
                </c:pt>
                <c:pt idx="3">
                  <c:v>180</c:v>
                </c:pt>
                <c:pt idx="4">
                  <c:v>220</c:v>
                </c:pt>
                <c:pt idx="5">
                  <c:v>250</c:v>
                </c:pt>
                <c:pt idx="6">
                  <c:v>310</c:v>
                </c:pt>
                <c:pt idx="7">
                  <c:v>360</c:v>
                </c:pt>
                <c:pt idx="8">
                  <c:v>400</c:v>
                </c:pt>
                <c:pt idx="9">
                  <c:v>470</c:v>
                </c:pt>
                <c:pt idx="10">
                  <c:v>490</c:v>
                </c:pt>
                <c:pt idx="11">
                  <c:v>850</c:v>
                </c:pt>
                <c:pt idx="12">
                  <c:v>870</c:v>
                </c:pt>
              </c:numCache>
            </c:numRef>
          </c:val>
        </c:ser>
        <c:ser>
          <c:idx val="1"/>
          <c:order val="1"/>
          <c:tx>
            <c:strRef>
              <c:f>policies!$AN$2</c:f>
              <c:strCache>
                <c:ptCount val="1"/>
                <c:pt idx="0">
                  <c:v>first year rate</c:v>
                </c:pt>
              </c:strCache>
            </c:strRef>
          </c:tx>
          <c:spPr>
            <a:pattFill prst="ltVert">
              <a:fgClr>
                <a:schemeClr val="tx1"/>
              </a:fgClr>
              <a:bgClr>
                <a:schemeClr val="bg1"/>
              </a:bgClr>
            </a:pattFill>
            <a:ln>
              <a:solidFill>
                <a:schemeClr val="tx1"/>
              </a:solidFill>
            </a:ln>
          </c:spPr>
          <c:invertIfNegative val="0"/>
          <c:cat>
            <c:strRef>
              <c:f>policies!$D$11:$D$23</c:f>
              <c:strCache>
                <c:ptCount val="13"/>
                <c:pt idx="0">
                  <c:v>A (&lt;100g/km)</c:v>
                </c:pt>
                <c:pt idx="1">
                  <c:v>B (101-110g/km)</c:v>
                </c:pt>
                <c:pt idx="2">
                  <c:v>C (111-120g/km)</c:v>
                </c:pt>
                <c:pt idx="3">
                  <c:v>D (121-130g/km)</c:v>
                </c:pt>
                <c:pt idx="4">
                  <c:v>E (131-140g/km)</c:v>
                </c:pt>
                <c:pt idx="5">
                  <c:v>F (141-150g/km)</c:v>
                </c:pt>
                <c:pt idx="6">
                  <c:v>G (151-165g/km)</c:v>
                </c:pt>
                <c:pt idx="7">
                  <c:v>H (166-175g/km)</c:v>
                </c:pt>
                <c:pt idx="8">
                  <c:v>I (176-185g/km)</c:v>
                </c:pt>
                <c:pt idx="9">
                  <c:v>J (186-200g/km)</c:v>
                </c:pt>
                <c:pt idx="10">
                  <c:v>KLM (&gt;200g/km)</c:v>
                </c:pt>
                <c:pt idx="11">
                  <c:v>L (226-255g/km)</c:v>
                </c:pt>
                <c:pt idx="12">
                  <c:v>M (over 255g/km)</c:v>
                </c:pt>
              </c:strCache>
            </c:strRef>
          </c:cat>
          <c:val>
            <c:numRef>
              <c:f>policies!$AN$11:$AN$23</c:f>
              <c:numCache>
                <c:formatCode>#,##0</c:formatCode>
                <c:ptCount val="13"/>
                <c:pt idx="0">
                  <c:v>0</c:v>
                </c:pt>
                <c:pt idx="1">
                  <c:v>0</c:v>
                </c:pt>
                <c:pt idx="2">
                  <c:v>0</c:v>
                </c:pt>
                <c:pt idx="3">
                  <c:v>0</c:v>
                </c:pt>
                <c:pt idx="4">
                  <c:v>220</c:v>
                </c:pt>
                <c:pt idx="5">
                  <c:v>250</c:v>
                </c:pt>
                <c:pt idx="6">
                  <c:v>310</c:v>
                </c:pt>
                <c:pt idx="7">
                  <c:v>500</c:v>
                </c:pt>
                <c:pt idx="8">
                  <c:v>600</c:v>
                </c:pt>
                <c:pt idx="9">
                  <c:v>850</c:v>
                </c:pt>
                <c:pt idx="10">
                  <c:v>1100</c:v>
                </c:pt>
                <c:pt idx="11">
                  <c:v>1500</c:v>
                </c:pt>
                <c:pt idx="12">
                  <c:v>1900</c:v>
                </c:pt>
              </c:numCache>
            </c:numRef>
          </c:val>
        </c:ser>
        <c:dLbls>
          <c:showLegendKey val="0"/>
          <c:showVal val="0"/>
          <c:showCatName val="0"/>
          <c:showSerName val="0"/>
          <c:showPercent val="0"/>
          <c:showBubbleSize val="0"/>
        </c:dLbls>
        <c:gapWidth val="100"/>
        <c:axId val="87778432"/>
        <c:axId val="87780352"/>
      </c:barChart>
      <c:catAx>
        <c:axId val="87778432"/>
        <c:scaling>
          <c:orientation val="minMax"/>
        </c:scaling>
        <c:delete val="0"/>
        <c:axPos val="l"/>
        <c:majorTickMark val="out"/>
        <c:minorTickMark val="none"/>
        <c:tickLblPos val="high"/>
        <c:crossAx val="87780352"/>
        <c:crosses val="autoZero"/>
        <c:auto val="1"/>
        <c:lblAlgn val="ctr"/>
        <c:lblOffset val="100"/>
        <c:noMultiLvlLbl val="0"/>
      </c:catAx>
      <c:valAx>
        <c:axId val="87780352"/>
        <c:scaling>
          <c:orientation val="minMax"/>
        </c:scaling>
        <c:delete val="0"/>
        <c:axPos val="b"/>
        <c:title>
          <c:tx>
            <c:rich>
              <a:bodyPr/>
              <a:lstStyle/>
              <a:p>
                <a:pPr>
                  <a:defRPr/>
                </a:pPr>
                <a:r>
                  <a:rPr lang="en-US"/>
                  <a:t>vehicle circulation tax [GBP per year]</a:t>
                </a:r>
              </a:p>
            </c:rich>
          </c:tx>
          <c:overlay val="0"/>
        </c:title>
        <c:numFmt formatCode="#,##0" sourceLinked="1"/>
        <c:majorTickMark val="out"/>
        <c:minorTickMark val="none"/>
        <c:tickLblPos val="nextTo"/>
        <c:crossAx val="87778432"/>
        <c:crosses val="autoZero"/>
        <c:crossBetween val="between"/>
      </c:valAx>
    </c:plotArea>
    <c:legend>
      <c:legendPos val="r"/>
      <c:layout>
        <c:manualLayout>
          <c:xMode val="edge"/>
          <c:yMode val="edge"/>
          <c:x val="0.43900954861111102"/>
          <c:y val="0.37731888888888898"/>
          <c:w val="0.1861640625"/>
          <c:h val="0.13952888888888901"/>
        </c:manualLayout>
      </c:layout>
      <c:overlay val="0"/>
    </c:legend>
    <c:plotVisOnly val="1"/>
    <c:dispBlanksAs val="gap"/>
    <c:showDLblsOverMax val="0"/>
  </c:chart>
  <c:spPr>
    <a:ln>
      <a:noFill/>
    </a:ln>
  </c:spPr>
  <c:txPr>
    <a:bodyPr/>
    <a:lstStyle/>
    <a:p>
      <a:pPr>
        <a:defRPr sz="1200">
          <a:latin typeface="Times New Roman" pitchFamily="18" charset="0"/>
          <a:cs typeface="Times New Roman" pitchFamily="18" charset="0"/>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manualLayout>
          <c:layoutTarget val="inner"/>
          <c:xMode val="edge"/>
          <c:yMode val="edge"/>
          <c:x val="0.11990168350168499"/>
          <c:y val="3.88055555555556E-2"/>
          <c:w val="0.65006565656566695"/>
          <c:h val="0.74868138888889701"/>
        </c:manualLayout>
      </c:layout>
      <c:barChart>
        <c:barDir val="col"/>
        <c:grouping val="stacked"/>
        <c:varyColors val="0"/>
        <c:ser>
          <c:idx val="0"/>
          <c:order val="0"/>
          <c:tx>
            <c:strRef>
              <c:f>'New veh.'!$A$592</c:f>
              <c:strCache>
                <c:ptCount val="1"/>
                <c:pt idx="0">
                  <c:v>Gasoline ICV</c:v>
                </c:pt>
              </c:strCache>
            </c:strRef>
          </c:tx>
          <c:spPr>
            <a:pattFill prst="pct5">
              <a:fgClr>
                <a:schemeClr val="tx1"/>
              </a:fgClr>
              <a:bgClr>
                <a:schemeClr val="bg1"/>
              </a:bgClr>
            </a:pattFill>
            <a:ln w="3175">
              <a:solidFill>
                <a:prstClr val="black"/>
              </a:solidFill>
            </a:ln>
          </c:spPr>
          <c:invertIfNegative val="0"/>
          <c:cat>
            <c:strRef>
              <c:f>('New veh.'!$B$591:$R$591,'New veh.'!$AM$591:$BB$591)</c:f>
              <c:strCache>
                <c:ptCount val="33"/>
                <c:pt idx="0">
                  <c:v>REF 2008</c:v>
                </c:pt>
                <c:pt idx="1">
                  <c:v>|</c:v>
                </c:pt>
                <c:pt idx="2">
                  <c:v>REF</c:v>
                </c:pt>
                <c:pt idx="3">
                  <c:v>CPT1</c:v>
                </c:pt>
                <c:pt idx="4">
                  <c:v>CPT1a</c:v>
                </c:pt>
                <c:pt idx="5">
                  <c:v>CPT2</c:v>
                </c:pt>
                <c:pt idx="6">
                  <c:v>CPT2a</c:v>
                </c:pt>
                <c:pt idx="7">
                  <c:v>CPT3</c:v>
                </c:pt>
                <c:pt idx="8">
                  <c:v>SCR1</c:v>
                </c:pt>
                <c:pt idx="9">
                  <c:v>SCR2</c:v>
                </c:pt>
                <c:pt idx="10">
                  <c:v>SCR3</c:v>
                </c:pt>
                <c:pt idx="11">
                  <c:v>SCR2a</c:v>
                </c:pt>
                <c:pt idx="12">
                  <c:v>VED1</c:v>
                </c:pt>
                <c:pt idx="13">
                  <c:v>VED2</c:v>
                </c:pt>
                <c:pt idx="14">
                  <c:v>VED3</c:v>
                </c:pt>
                <c:pt idx="15">
                  <c:v>CPT2b</c:v>
                </c:pt>
                <c:pt idx="16">
                  <c:v>CPT3a</c:v>
                </c:pt>
                <c:pt idx="17">
                  <c:v>|</c:v>
                </c:pt>
                <c:pt idx="18">
                  <c:v>REF</c:v>
                </c:pt>
                <c:pt idx="19">
                  <c:v>CPT1</c:v>
                </c:pt>
                <c:pt idx="20">
                  <c:v>CPT1a</c:v>
                </c:pt>
                <c:pt idx="21">
                  <c:v>CPT2</c:v>
                </c:pt>
                <c:pt idx="22">
                  <c:v>CPT2a</c:v>
                </c:pt>
                <c:pt idx="23">
                  <c:v>CPT3</c:v>
                </c:pt>
                <c:pt idx="24">
                  <c:v>SCR1</c:v>
                </c:pt>
                <c:pt idx="25">
                  <c:v>SCR2</c:v>
                </c:pt>
                <c:pt idx="26">
                  <c:v>SCR3</c:v>
                </c:pt>
                <c:pt idx="27">
                  <c:v>SCR2a</c:v>
                </c:pt>
                <c:pt idx="28">
                  <c:v>VED1</c:v>
                </c:pt>
                <c:pt idx="29">
                  <c:v>VED2</c:v>
                </c:pt>
                <c:pt idx="30">
                  <c:v>VED3</c:v>
                </c:pt>
                <c:pt idx="31">
                  <c:v>CPT2b</c:v>
                </c:pt>
                <c:pt idx="32">
                  <c:v>CPT3a</c:v>
                </c:pt>
              </c:strCache>
            </c:strRef>
          </c:cat>
          <c:val>
            <c:numRef>
              <c:f>('New veh.'!$B$592:$R$592,'New veh.'!$AM$592:$BB$592)</c:f>
              <c:numCache>
                <c:formatCode>General</c:formatCode>
                <c:ptCount val="33"/>
                <c:pt idx="0" formatCode="0">
                  <c:v>1019.2369</c:v>
                </c:pt>
                <c:pt idx="2" formatCode="0">
                  <c:v>1223.2392</c:v>
                </c:pt>
                <c:pt idx="3" formatCode="0">
                  <c:v>1171.6495</c:v>
                </c:pt>
                <c:pt idx="4" formatCode="0">
                  <c:v>875.98670000000004</c:v>
                </c:pt>
                <c:pt idx="5" formatCode="0">
                  <c:v>575.24290000000008</c:v>
                </c:pt>
                <c:pt idx="6" formatCode="0">
                  <c:v>893.99890000000005</c:v>
                </c:pt>
                <c:pt idx="7" formatCode="0">
                  <c:v>220.36600000000001</c:v>
                </c:pt>
                <c:pt idx="8" formatCode="0">
                  <c:v>1230.6967999999999</c:v>
                </c:pt>
                <c:pt idx="9" formatCode="0">
                  <c:v>803.03609999999912</c:v>
                </c:pt>
                <c:pt idx="10" formatCode="0">
                  <c:v>1108.0029999999999</c:v>
                </c:pt>
                <c:pt idx="11" formatCode="0">
                  <c:v>944.54279999999937</c:v>
                </c:pt>
                <c:pt idx="12" formatCode="0">
                  <c:v>1169.8061</c:v>
                </c:pt>
                <c:pt idx="13" formatCode="0">
                  <c:v>1124.5438999999999</c:v>
                </c:pt>
                <c:pt idx="14" formatCode="0">
                  <c:v>940.35969999999782</c:v>
                </c:pt>
                <c:pt idx="15" formatCode="0">
                  <c:v>768.0157999999999</c:v>
                </c:pt>
                <c:pt idx="16" formatCode="0">
                  <c:v>220.36600000000001</c:v>
                </c:pt>
                <c:pt idx="18" formatCode="0">
                  <c:v>1388.0636999999999</c:v>
                </c:pt>
                <c:pt idx="19" formatCode="0">
                  <c:v>871.26549999999997</c:v>
                </c:pt>
                <c:pt idx="20" formatCode="0">
                  <c:v>1123.0673999999999</c:v>
                </c:pt>
                <c:pt idx="21" formatCode="0">
                  <c:v>557.82659999999817</c:v>
                </c:pt>
                <c:pt idx="22" formatCode="0">
                  <c:v>562.28269999999998</c:v>
                </c:pt>
                <c:pt idx="23" formatCode="0">
                  <c:v>188.27549999999999</c:v>
                </c:pt>
                <c:pt idx="24" formatCode="0">
                  <c:v>1389.0227</c:v>
                </c:pt>
                <c:pt idx="25" formatCode="0">
                  <c:v>979.2573000000001</c:v>
                </c:pt>
                <c:pt idx="26" formatCode="0">
                  <c:v>1219.5266999999999</c:v>
                </c:pt>
                <c:pt idx="27" formatCode="0">
                  <c:v>1133.576</c:v>
                </c:pt>
                <c:pt idx="28" formatCode="0">
                  <c:v>1245.2277999999999</c:v>
                </c:pt>
                <c:pt idx="29" formatCode="0">
                  <c:v>1004.6444</c:v>
                </c:pt>
                <c:pt idx="30" formatCode="0">
                  <c:v>688.60969999999998</c:v>
                </c:pt>
                <c:pt idx="31" formatCode="0">
                  <c:v>750.73619999999937</c:v>
                </c:pt>
                <c:pt idx="32" formatCode="0">
                  <c:v>202.2329</c:v>
                </c:pt>
              </c:numCache>
            </c:numRef>
          </c:val>
        </c:ser>
        <c:ser>
          <c:idx val="1"/>
          <c:order val="1"/>
          <c:tx>
            <c:strRef>
              <c:f>'New veh.'!$A$593</c:f>
              <c:strCache>
                <c:ptCount val="1"/>
                <c:pt idx="0">
                  <c:v>Gasoline HEV</c:v>
                </c:pt>
              </c:strCache>
            </c:strRef>
          </c:tx>
          <c:spPr>
            <a:pattFill prst="pct50">
              <a:fgClr>
                <a:schemeClr val="tx1"/>
              </a:fgClr>
              <a:bgClr>
                <a:schemeClr val="bg1"/>
              </a:bgClr>
            </a:pattFill>
            <a:ln w="3175">
              <a:solidFill>
                <a:prstClr val="black"/>
              </a:solidFill>
            </a:ln>
          </c:spPr>
          <c:invertIfNegative val="0"/>
          <c:cat>
            <c:strRef>
              <c:f>('New veh.'!$B$591:$R$591,'New veh.'!$AM$591:$BB$591)</c:f>
              <c:strCache>
                <c:ptCount val="33"/>
                <c:pt idx="0">
                  <c:v>REF 2008</c:v>
                </c:pt>
                <c:pt idx="1">
                  <c:v>|</c:v>
                </c:pt>
                <c:pt idx="2">
                  <c:v>REF</c:v>
                </c:pt>
                <c:pt idx="3">
                  <c:v>CPT1</c:v>
                </c:pt>
                <c:pt idx="4">
                  <c:v>CPT1a</c:v>
                </c:pt>
                <c:pt idx="5">
                  <c:v>CPT2</c:v>
                </c:pt>
                <c:pt idx="6">
                  <c:v>CPT2a</c:v>
                </c:pt>
                <c:pt idx="7">
                  <c:v>CPT3</c:v>
                </c:pt>
                <c:pt idx="8">
                  <c:v>SCR1</c:v>
                </c:pt>
                <c:pt idx="9">
                  <c:v>SCR2</c:v>
                </c:pt>
                <c:pt idx="10">
                  <c:v>SCR3</c:v>
                </c:pt>
                <c:pt idx="11">
                  <c:v>SCR2a</c:v>
                </c:pt>
                <c:pt idx="12">
                  <c:v>VED1</c:v>
                </c:pt>
                <c:pt idx="13">
                  <c:v>VED2</c:v>
                </c:pt>
                <c:pt idx="14">
                  <c:v>VED3</c:v>
                </c:pt>
                <c:pt idx="15">
                  <c:v>CPT2b</c:v>
                </c:pt>
                <c:pt idx="16">
                  <c:v>CPT3a</c:v>
                </c:pt>
                <c:pt idx="17">
                  <c:v>|</c:v>
                </c:pt>
                <c:pt idx="18">
                  <c:v>REF</c:v>
                </c:pt>
                <c:pt idx="19">
                  <c:v>CPT1</c:v>
                </c:pt>
                <c:pt idx="20">
                  <c:v>CPT1a</c:v>
                </c:pt>
                <c:pt idx="21">
                  <c:v>CPT2</c:v>
                </c:pt>
                <c:pt idx="22">
                  <c:v>CPT2a</c:v>
                </c:pt>
                <c:pt idx="23">
                  <c:v>CPT3</c:v>
                </c:pt>
                <c:pt idx="24">
                  <c:v>SCR1</c:v>
                </c:pt>
                <c:pt idx="25">
                  <c:v>SCR2</c:v>
                </c:pt>
                <c:pt idx="26">
                  <c:v>SCR3</c:v>
                </c:pt>
                <c:pt idx="27">
                  <c:v>SCR2a</c:v>
                </c:pt>
                <c:pt idx="28">
                  <c:v>VED1</c:v>
                </c:pt>
                <c:pt idx="29">
                  <c:v>VED2</c:v>
                </c:pt>
                <c:pt idx="30">
                  <c:v>VED3</c:v>
                </c:pt>
                <c:pt idx="31">
                  <c:v>CPT2b</c:v>
                </c:pt>
                <c:pt idx="32">
                  <c:v>CPT3a</c:v>
                </c:pt>
              </c:strCache>
            </c:strRef>
          </c:cat>
          <c:val>
            <c:numRef>
              <c:f>('New veh.'!$B$593:$R$593,'New veh.'!$AM$593:$BB$593)</c:f>
              <c:numCache>
                <c:formatCode>General</c:formatCode>
                <c:ptCount val="33"/>
                <c:pt idx="0" formatCode="0">
                  <c:v>4.0461</c:v>
                </c:pt>
                <c:pt idx="2" formatCode="0">
                  <c:v>31.6251</c:v>
                </c:pt>
                <c:pt idx="3" formatCode="0">
                  <c:v>33.002800000000001</c:v>
                </c:pt>
                <c:pt idx="4" formatCode="0">
                  <c:v>41.063300000000012</c:v>
                </c:pt>
                <c:pt idx="5" formatCode="0">
                  <c:v>48.060100000000013</c:v>
                </c:pt>
                <c:pt idx="6" formatCode="0">
                  <c:v>40.141000000000012</c:v>
                </c:pt>
                <c:pt idx="7" formatCode="0">
                  <c:v>61.941000000000003</c:v>
                </c:pt>
                <c:pt idx="8" formatCode="0">
                  <c:v>31.818000000000001</c:v>
                </c:pt>
                <c:pt idx="9" formatCode="0">
                  <c:v>44.3855</c:v>
                </c:pt>
                <c:pt idx="10" formatCode="0">
                  <c:v>39.299300000000081</c:v>
                </c:pt>
                <c:pt idx="11" formatCode="0">
                  <c:v>52.206800000000001</c:v>
                </c:pt>
                <c:pt idx="12" formatCode="0">
                  <c:v>33.144799999999996</c:v>
                </c:pt>
                <c:pt idx="13" formatCode="0">
                  <c:v>33.894000000000013</c:v>
                </c:pt>
                <c:pt idx="14" formatCode="0">
                  <c:v>41.0916</c:v>
                </c:pt>
                <c:pt idx="15" formatCode="0">
                  <c:v>44.432600000000008</c:v>
                </c:pt>
                <c:pt idx="16" formatCode="0">
                  <c:v>61.941000000000003</c:v>
                </c:pt>
                <c:pt idx="18" formatCode="0">
                  <c:v>186.85940000000031</c:v>
                </c:pt>
                <c:pt idx="19" formatCode="0">
                  <c:v>236.89840000000029</c:v>
                </c:pt>
                <c:pt idx="20" formatCode="0">
                  <c:v>278.46980000000002</c:v>
                </c:pt>
                <c:pt idx="21" formatCode="0">
                  <c:v>236.80770000000001</c:v>
                </c:pt>
                <c:pt idx="22" formatCode="0">
                  <c:v>172.38610000000031</c:v>
                </c:pt>
                <c:pt idx="23" formatCode="0">
                  <c:v>173.88690000000031</c:v>
                </c:pt>
                <c:pt idx="24" formatCode="0">
                  <c:v>186.9886000000003</c:v>
                </c:pt>
                <c:pt idx="25" formatCode="0">
                  <c:v>241.7851</c:v>
                </c:pt>
                <c:pt idx="26" formatCode="0">
                  <c:v>186.95790000000031</c:v>
                </c:pt>
                <c:pt idx="27" formatCode="0">
                  <c:v>279.88749999999999</c:v>
                </c:pt>
                <c:pt idx="28" formatCode="0">
                  <c:v>203.90979999999999</c:v>
                </c:pt>
                <c:pt idx="29" formatCode="0">
                  <c:v>219.85200000000029</c:v>
                </c:pt>
                <c:pt idx="30" formatCode="0">
                  <c:v>247.83179999999999</c:v>
                </c:pt>
                <c:pt idx="31" formatCode="0">
                  <c:v>204.2878</c:v>
                </c:pt>
                <c:pt idx="32" formatCode="0">
                  <c:v>189.69139999999999</c:v>
                </c:pt>
              </c:numCache>
            </c:numRef>
          </c:val>
        </c:ser>
        <c:ser>
          <c:idx val="2"/>
          <c:order val="2"/>
          <c:tx>
            <c:strRef>
              <c:f>'New veh.'!$A$594</c:f>
              <c:strCache>
                <c:ptCount val="1"/>
                <c:pt idx="0">
                  <c:v>Gasoline PHEV</c:v>
                </c:pt>
              </c:strCache>
            </c:strRef>
          </c:tx>
          <c:spPr>
            <a:pattFill prst="ltDnDiag">
              <a:fgClr>
                <a:schemeClr val="tx1"/>
              </a:fgClr>
              <a:bgClr>
                <a:schemeClr val="bg1"/>
              </a:bgClr>
            </a:pattFill>
            <a:ln w="3175">
              <a:solidFill>
                <a:prstClr val="black"/>
              </a:solidFill>
            </a:ln>
          </c:spPr>
          <c:invertIfNegative val="0"/>
          <c:cat>
            <c:strRef>
              <c:f>('New veh.'!$B$591:$R$591,'New veh.'!$AM$591:$BB$591)</c:f>
              <c:strCache>
                <c:ptCount val="33"/>
                <c:pt idx="0">
                  <c:v>REF 2008</c:v>
                </c:pt>
                <c:pt idx="1">
                  <c:v>|</c:v>
                </c:pt>
                <c:pt idx="2">
                  <c:v>REF</c:v>
                </c:pt>
                <c:pt idx="3">
                  <c:v>CPT1</c:v>
                </c:pt>
                <c:pt idx="4">
                  <c:v>CPT1a</c:v>
                </c:pt>
                <c:pt idx="5">
                  <c:v>CPT2</c:v>
                </c:pt>
                <c:pt idx="6">
                  <c:v>CPT2a</c:v>
                </c:pt>
                <c:pt idx="7">
                  <c:v>CPT3</c:v>
                </c:pt>
                <c:pt idx="8">
                  <c:v>SCR1</c:v>
                </c:pt>
                <c:pt idx="9">
                  <c:v>SCR2</c:v>
                </c:pt>
                <c:pt idx="10">
                  <c:v>SCR3</c:v>
                </c:pt>
                <c:pt idx="11">
                  <c:v>SCR2a</c:v>
                </c:pt>
                <c:pt idx="12">
                  <c:v>VED1</c:v>
                </c:pt>
                <c:pt idx="13">
                  <c:v>VED2</c:v>
                </c:pt>
                <c:pt idx="14">
                  <c:v>VED3</c:v>
                </c:pt>
                <c:pt idx="15">
                  <c:v>CPT2b</c:v>
                </c:pt>
                <c:pt idx="16">
                  <c:v>CPT3a</c:v>
                </c:pt>
                <c:pt idx="17">
                  <c:v>|</c:v>
                </c:pt>
                <c:pt idx="18">
                  <c:v>REF</c:v>
                </c:pt>
                <c:pt idx="19">
                  <c:v>CPT1</c:v>
                </c:pt>
                <c:pt idx="20">
                  <c:v>CPT1a</c:v>
                </c:pt>
                <c:pt idx="21">
                  <c:v>CPT2</c:v>
                </c:pt>
                <c:pt idx="22">
                  <c:v>CPT2a</c:v>
                </c:pt>
                <c:pt idx="23">
                  <c:v>CPT3</c:v>
                </c:pt>
                <c:pt idx="24">
                  <c:v>SCR1</c:v>
                </c:pt>
                <c:pt idx="25">
                  <c:v>SCR2</c:v>
                </c:pt>
                <c:pt idx="26">
                  <c:v>SCR3</c:v>
                </c:pt>
                <c:pt idx="27">
                  <c:v>SCR2a</c:v>
                </c:pt>
                <c:pt idx="28">
                  <c:v>VED1</c:v>
                </c:pt>
                <c:pt idx="29">
                  <c:v>VED2</c:v>
                </c:pt>
                <c:pt idx="30">
                  <c:v>VED3</c:v>
                </c:pt>
                <c:pt idx="31">
                  <c:v>CPT2b</c:v>
                </c:pt>
                <c:pt idx="32">
                  <c:v>CPT3a</c:v>
                </c:pt>
              </c:strCache>
            </c:strRef>
          </c:cat>
          <c:val>
            <c:numRef>
              <c:f>('New veh.'!$B$594:$R$594,'New veh.'!$AM$594:$BB$594)</c:f>
              <c:numCache>
                <c:formatCode>General</c:formatCode>
                <c:ptCount val="33"/>
                <c:pt idx="0" formatCode="0">
                  <c:v>0</c:v>
                </c:pt>
                <c:pt idx="2" formatCode="0">
                  <c:v>5.8548999999999891</c:v>
                </c:pt>
                <c:pt idx="3" formatCode="0">
                  <c:v>6.0493000000000023</c:v>
                </c:pt>
                <c:pt idx="4" formatCode="0">
                  <c:v>7.4908000000000001</c:v>
                </c:pt>
                <c:pt idx="5" formatCode="0">
                  <c:v>14.009600000000001</c:v>
                </c:pt>
                <c:pt idx="6" formatCode="0">
                  <c:v>28.026900000000001</c:v>
                </c:pt>
                <c:pt idx="7" formatCode="0">
                  <c:v>29.170699999999989</c:v>
                </c:pt>
                <c:pt idx="8" formatCode="0">
                  <c:v>5.8906000000000001</c:v>
                </c:pt>
                <c:pt idx="9" formatCode="0">
                  <c:v>7.6764000000000001</c:v>
                </c:pt>
                <c:pt idx="10" formatCode="0">
                  <c:v>10.0762</c:v>
                </c:pt>
                <c:pt idx="11" formatCode="0">
                  <c:v>9.0291000000000015</c:v>
                </c:pt>
                <c:pt idx="12" formatCode="0">
                  <c:v>6.6123999999999956</c:v>
                </c:pt>
                <c:pt idx="13" formatCode="0">
                  <c:v>7.2407000000000012</c:v>
                </c:pt>
                <c:pt idx="14" formatCode="0">
                  <c:v>9.7981999999999978</c:v>
                </c:pt>
                <c:pt idx="15" formatCode="0">
                  <c:v>17.3186</c:v>
                </c:pt>
                <c:pt idx="16" formatCode="0">
                  <c:v>29.170699999999989</c:v>
                </c:pt>
                <c:pt idx="18" formatCode="0">
                  <c:v>121.0408</c:v>
                </c:pt>
                <c:pt idx="19" formatCode="0">
                  <c:v>153.38100000000031</c:v>
                </c:pt>
                <c:pt idx="20" formatCode="0">
                  <c:v>201.4075</c:v>
                </c:pt>
                <c:pt idx="21" formatCode="0">
                  <c:v>394.52949999999993</c:v>
                </c:pt>
                <c:pt idx="22" formatCode="0">
                  <c:v>492.17460000000051</c:v>
                </c:pt>
                <c:pt idx="23" formatCode="0">
                  <c:v>796.92199999999912</c:v>
                </c:pt>
                <c:pt idx="24" formatCode="0">
                  <c:v>121.1245</c:v>
                </c:pt>
                <c:pt idx="25" formatCode="0">
                  <c:v>139.4975</c:v>
                </c:pt>
                <c:pt idx="26" formatCode="0">
                  <c:v>190.01949999999999</c:v>
                </c:pt>
                <c:pt idx="27" formatCode="0">
                  <c:v>161.48060000000001</c:v>
                </c:pt>
                <c:pt idx="28" formatCode="0">
                  <c:v>132.98200000000031</c:v>
                </c:pt>
                <c:pt idx="29" formatCode="0">
                  <c:v>197.07749999999999</c:v>
                </c:pt>
                <c:pt idx="30" formatCode="0">
                  <c:v>296.29480000000001</c:v>
                </c:pt>
                <c:pt idx="31" formatCode="0">
                  <c:v>405.76279999999952</c:v>
                </c:pt>
                <c:pt idx="32" formatCode="0">
                  <c:v>864.16659999999854</c:v>
                </c:pt>
              </c:numCache>
            </c:numRef>
          </c:val>
        </c:ser>
        <c:ser>
          <c:idx val="3"/>
          <c:order val="3"/>
          <c:tx>
            <c:strRef>
              <c:f>'New veh.'!$A$595</c:f>
              <c:strCache>
                <c:ptCount val="1"/>
                <c:pt idx="0">
                  <c:v>Diesel ICV</c:v>
                </c:pt>
              </c:strCache>
            </c:strRef>
          </c:tx>
          <c:spPr>
            <a:pattFill prst="ltVert">
              <a:fgClr>
                <a:schemeClr val="tx1"/>
              </a:fgClr>
              <a:bgClr>
                <a:schemeClr val="bg1"/>
              </a:bgClr>
            </a:pattFill>
            <a:ln w="3175">
              <a:solidFill>
                <a:schemeClr val="tx1"/>
              </a:solidFill>
            </a:ln>
          </c:spPr>
          <c:invertIfNegative val="0"/>
          <c:cat>
            <c:strRef>
              <c:f>('New veh.'!$B$591:$R$591,'New veh.'!$AM$591:$BB$591)</c:f>
              <c:strCache>
                <c:ptCount val="33"/>
                <c:pt idx="0">
                  <c:v>REF 2008</c:v>
                </c:pt>
                <c:pt idx="1">
                  <c:v>|</c:v>
                </c:pt>
                <c:pt idx="2">
                  <c:v>REF</c:v>
                </c:pt>
                <c:pt idx="3">
                  <c:v>CPT1</c:v>
                </c:pt>
                <c:pt idx="4">
                  <c:v>CPT1a</c:v>
                </c:pt>
                <c:pt idx="5">
                  <c:v>CPT2</c:v>
                </c:pt>
                <c:pt idx="6">
                  <c:v>CPT2a</c:v>
                </c:pt>
                <c:pt idx="7">
                  <c:v>CPT3</c:v>
                </c:pt>
                <c:pt idx="8">
                  <c:v>SCR1</c:v>
                </c:pt>
                <c:pt idx="9">
                  <c:v>SCR2</c:v>
                </c:pt>
                <c:pt idx="10">
                  <c:v>SCR3</c:v>
                </c:pt>
                <c:pt idx="11">
                  <c:v>SCR2a</c:v>
                </c:pt>
                <c:pt idx="12">
                  <c:v>VED1</c:v>
                </c:pt>
                <c:pt idx="13">
                  <c:v>VED2</c:v>
                </c:pt>
                <c:pt idx="14">
                  <c:v>VED3</c:v>
                </c:pt>
                <c:pt idx="15">
                  <c:v>CPT2b</c:v>
                </c:pt>
                <c:pt idx="16">
                  <c:v>CPT3a</c:v>
                </c:pt>
                <c:pt idx="17">
                  <c:v>|</c:v>
                </c:pt>
                <c:pt idx="18">
                  <c:v>REF</c:v>
                </c:pt>
                <c:pt idx="19">
                  <c:v>CPT1</c:v>
                </c:pt>
                <c:pt idx="20">
                  <c:v>CPT1a</c:v>
                </c:pt>
                <c:pt idx="21">
                  <c:v>CPT2</c:v>
                </c:pt>
                <c:pt idx="22">
                  <c:v>CPT2a</c:v>
                </c:pt>
                <c:pt idx="23">
                  <c:v>CPT3</c:v>
                </c:pt>
                <c:pt idx="24">
                  <c:v>SCR1</c:v>
                </c:pt>
                <c:pt idx="25">
                  <c:v>SCR2</c:v>
                </c:pt>
                <c:pt idx="26">
                  <c:v>SCR3</c:v>
                </c:pt>
                <c:pt idx="27">
                  <c:v>SCR2a</c:v>
                </c:pt>
                <c:pt idx="28">
                  <c:v>VED1</c:v>
                </c:pt>
                <c:pt idx="29">
                  <c:v>VED2</c:v>
                </c:pt>
                <c:pt idx="30">
                  <c:v>VED3</c:v>
                </c:pt>
                <c:pt idx="31">
                  <c:v>CPT2b</c:v>
                </c:pt>
                <c:pt idx="32">
                  <c:v>CPT3a</c:v>
                </c:pt>
              </c:strCache>
            </c:strRef>
          </c:cat>
          <c:val>
            <c:numRef>
              <c:f>('New veh.'!$B$595:$R$595,'New veh.'!$AM$595:$BB$595)</c:f>
              <c:numCache>
                <c:formatCode>General</c:formatCode>
                <c:ptCount val="33"/>
                <c:pt idx="0" formatCode="0">
                  <c:v>1274.9667999999999</c:v>
                </c:pt>
                <c:pt idx="2" formatCode="0">
                  <c:v>1374.9809</c:v>
                </c:pt>
                <c:pt idx="3" formatCode="0">
                  <c:v>1416.9250000000011</c:v>
                </c:pt>
                <c:pt idx="4" formatCode="0">
                  <c:v>1621.7321999999999</c:v>
                </c:pt>
                <c:pt idx="5" formatCode="0">
                  <c:v>1809.5244</c:v>
                </c:pt>
                <c:pt idx="6" formatCode="0">
                  <c:v>1428.1922999999981</c:v>
                </c:pt>
                <c:pt idx="7" formatCode="0">
                  <c:v>1886.9536000000001</c:v>
                </c:pt>
                <c:pt idx="8" formatCode="0">
                  <c:v>1383.3637000000001</c:v>
                </c:pt>
                <c:pt idx="9" formatCode="0">
                  <c:v>1766.5365000000011</c:v>
                </c:pt>
                <c:pt idx="10" formatCode="0">
                  <c:v>1440.8598</c:v>
                </c:pt>
                <c:pt idx="11" formatCode="0">
                  <c:v>2077.8262</c:v>
                </c:pt>
                <c:pt idx="12" formatCode="0">
                  <c:v>1427.0763999999999</c:v>
                </c:pt>
                <c:pt idx="13" formatCode="0">
                  <c:v>1445.7994000000001</c:v>
                </c:pt>
                <c:pt idx="14" formatCode="0">
                  <c:v>1574.7065000000009</c:v>
                </c:pt>
                <c:pt idx="15" formatCode="0">
                  <c:v>1626.2919999999999</c:v>
                </c:pt>
                <c:pt idx="16" formatCode="0">
                  <c:v>1886.9536000000001</c:v>
                </c:pt>
                <c:pt idx="18" formatCode="0">
                  <c:v>1460.6960999999999</c:v>
                </c:pt>
                <c:pt idx="19" formatCode="0">
                  <c:v>1739.2644</c:v>
                </c:pt>
                <c:pt idx="20" formatCode="0">
                  <c:v>1174.9943000000001</c:v>
                </c:pt>
                <c:pt idx="21" formatCode="0">
                  <c:v>1015.3584</c:v>
                </c:pt>
                <c:pt idx="22" formatCode="0">
                  <c:v>902.12119999999936</c:v>
                </c:pt>
                <c:pt idx="23" formatCode="0">
                  <c:v>430.55930000000012</c:v>
                </c:pt>
                <c:pt idx="24" formatCode="0">
                  <c:v>1461.7054000000001</c:v>
                </c:pt>
                <c:pt idx="25" formatCode="0">
                  <c:v>1731.4682</c:v>
                </c:pt>
                <c:pt idx="26" formatCode="0">
                  <c:v>1304.8063</c:v>
                </c:pt>
                <c:pt idx="27" formatCode="0">
                  <c:v>2004.3262</c:v>
                </c:pt>
                <c:pt idx="28" formatCode="0">
                  <c:v>1525.7016000000001</c:v>
                </c:pt>
                <c:pt idx="29" formatCode="0">
                  <c:v>1452.1476</c:v>
                </c:pt>
                <c:pt idx="30" formatCode="0">
                  <c:v>1351.9603</c:v>
                </c:pt>
                <c:pt idx="31" formatCode="0">
                  <c:v>1052.9899</c:v>
                </c:pt>
                <c:pt idx="32" formatCode="0">
                  <c:v>486.38669999999951</c:v>
                </c:pt>
              </c:numCache>
            </c:numRef>
          </c:val>
        </c:ser>
        <c:ser>
          <c:idx val="4"/>
          <c:order val="4"/>
          <c:tx>
            <c:strRef>
              <c:f>'New veh.'!$A$596</c:f>
              <c:strCache>
                <c:ptCount val="1"/>
                <c:pt idx="0">
                  <c:v>Diesel HEV</c:v>
                </c:pt>
              </c:strCache>
            </c:strRef>
          </c:tx>
          <c:spPr>
            <a:pattFill prst="dashDnDiag">
              <a:fgClr>
                <a:schemeClr val="tx1"/>
              </a:fgClr>
              <a:bgClr>
                <a:schemeClr val="bg1"/>
              </a:bgClr>
            </a:pattFill>
            <a:ln w="3175">
              <a:solidFill>
                <a:prstClr val="black"/>
              </a:solidFill>
            </a:ln>
          </c:spPr>
          <c:invertIfNegative val="0"/>
          <c:cat>
            <c:strRef>
              <c:f>('New veh.'!$B$591:$R$591,'New veh.'!$AM$591:$BB$591)</c:f>
              <c:strCache>
                <c:ptCount val="33"/>
                <c:pt idx="0">
                  <c:v>REF 2008</c:v>
                </c:pt>
                <c:pt idx="1">
                  <c:v>|</c:v>
                </c:pt>
                <c:pt idx="2">
                  <c:v>REF</c:v>
                </c:pt>
                <c:pt idx="3">
                  <c:v>CPT1</c:v>
                </c:pt>
                <c:pt idx="4">
                  <c:v>CPT1a</c:v>
                </c:pt>
                <c:pt idx="5">
                  <c:v>CPT2</c:v>
                </c:pt>
                <c:pt idx="6">
                  <c:v>CPT2a</c:v>
                </c:pt>
                <c:pt idx="7">
                  <c:v>CPT3</c:v>
                </c:pt>
                <c:pt idx="8">
                  <c:v>SCR1</c:v>
                </c:pt>
                <c:pt idx="9">
                  <c:v>SCR2</c:v>
                </c:pt>
                <c:pt idx="10">
                  <c:v>SCR3</c:v>
                </c:pt>
                <c:pt idx="11">
                  <c:v>SCR2a</c:v>
                </c:pt>
                <c:pt idx="12">
                  <c:v>VED1</c:v>
                </c:pt>
                <c:pt idx="13">
                  <c:v>VED2</c:v>
                </c:pt>
                <c:pt idx="14">
                  <c:v>VED3</c:v>
                </c:pt>
                <c:pt idx="15">
                  <c:v>CPT2b</c:v>
                </c:pt>
                <c:pt idx="16">
                  <c:v>CPT3a</c:v>
                </c:pt>
                <c:pt idx="17">
                  <c:v>|</c:v>
                </c:pt>
                <c:pt idx="18">
                  <c:v>REF</c:v>
                </c:pt>
                <c:pt idx="19">
                  <c:v>CPT1</c:v>
                </c:pt>
                <c:pt idx="20">
                  <c:v>CPT1a</c:v>
                </c:pt>
                <c:pt idx="21">
                  <c:v>CPT2</c:v>
                </c:pt>
                <c:pt idx="22">
                  <c:v>CPT2a</c:v>
                </c:pt>
                <c:pt idx="23">
                  <c:v>CPT3</c:v>
                </c:pt>
                <c:pt idx="24">
                  <c:v>SCR1</c:v>
                </c:pt>
                <c:pt idx="25">
                  <c:v>SCR2</c:v>
                </c:pt>
                <c:pt idx="26">
                  <c:v>SCR3</c:v>
                </c:pt>
                <c:pt idx="27">
                  <c:v>SCR2a</c:v>
                </c:pt>
                <c:pt idx="28">
                  <c:v>VED1</c:v>
                </c:pt>
                <c:pt idx="29">
                  <c:v>VED2</c:v>
                </c:pt>
                <c:pt idx="30">
                  <c:v>VED3</c:v>
                </c:pt>
                <c:pt idx="31">
                  <c:v>CPT2b</c:v>
                </c:pt>
                <c:pt idx="32">
                  <c:v>CPT3a</c:v>
                </c:pt>
              </c:strCache>
            </c:strRef>
          </c:cat>
          <c:val>
            <c:numRef>
              <c:f>('New veh.'!$B$596:$R$596,'New veh.'!$AM$596:$BB$596)</c:f>
              <c:numCache>
                <c:formatCode>General</c:formatCode>
                <c:ptCount val="33"/>
                <c:pt idx="0" formatCode="0">
                  <c:v>4.1486999999999998</c:v>
                </c:pt>
                <c:pt idx="2" formatCode="0">
                  <c:v>34.100200000000001</c:v>
                </c:pt>
                <c:pt idx="3" formatCode="0">
                  <c:v>37.707600000000014</c:v>
                </c:pt>
                <c:pt idx="4" formatCode="0">
                  <c:v>46.494799999999998</c:v>
                </c:pt>
                <c:pt idx="5" formatCode="0">
                  <c:v>76.484499999999997</c:v>
                </c:pt>
                <c:pt idx="6" formatCode="0">
                  <c:v>49.827500000000001</c:v>
                </c:pt>
                <c:pt idx="7" formatCode="0">
                  <c:v>152.86850000000001</c:v>
                </c:pt>
                <c:pt idx="8" formatCode="0">
                  <c:v>34.308</c:v>
                </c:pt>
                <c:pt idx="9" formatCode="0">
                  <c:v>49.007100000000008</c:v>
                </c:pt>
                <c:pt idx="10" formatCode="0">
                  <c:v>50.641599999999997</c:v>
                </c:pt>
                <c:pt idx="11" formatCode="0">
                  <c:v>57.642900000000012</c:v>
                </c:pt>
                <c:pt idx="12" formatCode="0">
                  <c:v>36.3063</c:v>
                </c:pt>
                <c:pt idx="13" formatCode="0">
                  <c:v>39.744900000000001</c:v>
                </c:pt>
                <c:pt idx="14" formatCode="0">
                  <c:v>54.094100000000012</c:v>
                </c:pt>
                <c:pt idx="15" formatCode="0">
                  <c:v>82.289599999999993</c:v>
                </c:pt>
                <c:pt idx="16" formatCode="0">
                  <c:v>152.86850000000001</c:v>
                </c:pt>
                <c:pt idx="18" formatCode="0">
                  <c:v>110.31699999999999</c:v>
                </c:pt>
                <c:pt idx="19" formatCode="0">
                  <c:v>139.6405</c:v>
                </c:pt>
                <c:pt idx="20" formatCode="0">
                  <c:v>175.02449999999999</c:v>
                </c:pt>
                <c:pt idx="21" formatCode="0">
                  <c:v>217.66300000000001</c:v>
                </c:pt>
                <c:pt idx="22" formatCode="0">
                  <c:v>118.6723999999999</c:v>
                </c:pt>
                <c:pt idx="23" formatCode="0">
                  <c:v>258.01839999999879</c:v>
                </c:pt>
                <c:pt idx="24" formatCode="0">
                  <c:v>110.39319999999999</c:v>
                </c:pt>
                <c:pt idx="25" formatCode="0">
                  <c:v>136.864</c:v>
                </c:pt>
                <c:pt idx="26" formatCode="0">
                  <c:v>107.0454</c:v>
                </c:pt>
                <c:pt idx="27" formatCode="0">
                  <c:v>158.43199999999999</c:v>
                </c:pt>
                <c:pt idx="28" formatCode="0">
                  <c:v>121.2679000000001</c:v>
                </c:pt>
                <c:pt idx="29" formatCode="0">
                  <c:v>149.47999999999999</c:v>
                </c:pt>
                <c:pt idx="30" formatCode="0">
                  <c:v>193.71039999999999</c:v>
                </c:pt>
                <c:pt idx="31" formatCode="0">
                  <c:v>158.24809999999999</c:v>
                </c:pt>
                <c:pt idx="32" formatCode="0">
                  <c:v>281.26529999999963</c:v>
                </c:pt>
              </c:numCache>
            </c:numRef>
          </c:val>
        </c:ser>
        <c:ser>
          <c:idx val="5"/>
          <c:order val="5"/>
          <c:tx>
            <c:strRef>
              <c:f>'New veh.'!$A$597</c:f>
              <c:strCache>
                <c:ptCount val="1"/>
                <c:pt idx="0">
                  <c:v>Biodiesel (B100) ICV</c:v>
                </c:pt>
              </c:strCache>
            </c:strRef>
          </c:tx>
          <c:spPr>
            <a:pattFill prst="zigZag">
              <a:fgClr>
                <a:schemeClr val="tx1">
                  <a:lumMod val="75000"/>
                  <a:lumOff val="25000"/>
                </a:schemeClr>
              </a:fgClr>
              <a:bgClr>
                <a:schemeClr val="bg1"/>
              </a:bgClr>
            </a:pattFill>
            <a:ln w="3175">
              <a:solidFill>
                <a:prstClr val="black"/>
              </a:solidFill>
            </a:ln>
          </c:spPr>
          <c:invertIfNegative val="0"/>
          <c:cat>
            <c:strRef>
              <c:f>('New veh.'!$B$591:$R$591,'New veh.'!$AM$591:$BB$591)</c:f>
              <c:strCache>
                <c:ptCount val="33"/>
                <c:pt idx="0">
                  <c:v>REF 2008</c:v>
                </c:pt>
                <c:pt idx="1">
                  <c:v>|</c:v>
                </c:pt>
                <c:pt idx="2">
                  <c:v>REF</c:v>
                </c:pt>
                <c:pt idx="3">
                  <c:v>CPT1</c:v>
                </c:pt>
                <c:pt idx="4">
                  <c:v>CPT1a</c:v>
                </c:pt>
                <c:pt idx="5">
                  <c:v>CPT2</c:v>
                </c:pt>
                <c:pt idx="6">
                  <c:v>CPT2a</c:v>
                </c:pt>
                <c:pt idx="7">
                  <c:v>CPT3</c:v>
                </c:pt>
                <c:pt idx="8">
                  <c:v>SCR1</c:v>
                </c:pt>
                <c:pt idx="9">
                  <c:v>SCR2</c:v>
                </c:pt>
                <c:pt idx="10">
                  <c:v>SCR3</c:v>
                </c:pt>
                <c:pt idx="11">
                  <c:v>SCR2a</c:v>
                </c:pt>
                <c:pt idx="12">
                  <c:v>VED1</c:v>
                </c:pt>
                <c:pt idx="13">
                  <c:v>VED2</c:v>
                </c:pt>
                <c:pt idx="14">
                  <c:v>VED3</c:v>
                </c:pt>
                <c:pt idx="15">
                  <c:v>CPT2b</c:v>
                </c:pt>
                <c:pt idx="16">
                  <c:v>CPT3a</c:v>
                </c:pt>
                <c:pt idx="17">
                  <c:v>|</c:v>
                </c:pt>
                <c:pt idx="18">
                  <c:v>REF</c:v>
                </c:pt>
                <c:pt idx="19">
                  <c:v>CPT1</c:v>
                </c:pt>
                <c:pt idx="20">
                  <c:v>CPT1a</c:v>
                </c:pt>
                <c:pt idx="21">
                  <c:v>CPT2</c:v>
                </c:pt>
                <c:pt idx="22">
                  <c:v>CPT2a</c:v>
                </c:pt>
                <c:pt idx="23">
                  <c:v>CPT3</c:v>
                </c:pt>
                <c:pt idx="24">
                  <c:v>SCR1</c:v>
                </c:pt>
                <c:pt idx="25">
                  <c:v>SCR2</c:v>
                </c:pt>
                <c:pt idx="26">
                  <c:v>SCR3</c:v>
                </c:pt>
                <c:pt idx="27">
                  <c:v>SCR2a</c:v>
                </c:pt>
                <c:pt idx="28">
                  <c:v>VED1</c:v>
                </c:pt>
                <c:pt idx="29">
                  <c:v>VED2</c:v>
                </c:pt>
                <c:pt idx="30">
                  <c:v>VED3</c:v>
                </c:pt>
                <c:pt idx="31">
                  <c:v>CPT2b</c:v>
                </c:pt>
                <c:pt idx="32">
                  <c:v>CPT3a</c:v>
                </c:pt>
              </c:strCache>
            </c:strRef>
          </c:cat>
          <c:val>
            <c:numRef>
              <c:f>('New veh.'!$B$597:$R$597,'New veh.'!$AM$597:$BB$597)</c:f>
              <c:numCache>
                <c:formatCode>General</c:formatCode>
                <c:ptCount val="33"/>
                <c:pt idx="0" formatCode="0">
                  <c:v>0.26179999999999998</c:v>
                </c:pt>
                <c:pt idx="2" formatCode="0">
                  <c:v>30.704900000000031</c:v>
                </c:pt>
                <c:pt idx="3" formatCode="0">
                  <c:v>30.905399999999918</c:v>
                </c:pt>
                <c:pt idx="4" formatCode="0">
                  <c:v>38.447699999999998</c:v>
                </c:pt>
                <c:pt idx="5" formatCode="0">
                  <c:v>42.29330000000008</c:v>
                </c:pt>
                <c:pt idx="6" formatCode="0">
                  <c:v>33.802400000000013</c:v>
                </c:pt>
                <c:pt idx="7" formatCode="0">
                  <c:v>44.978200000000001</c:v>
                </c:pt>
                <c:pt idx="8" formatCode="0">
                  <c:v>30.892099999999981</c:v>
                </c:pt>
                <c:pt idx="9" formatCode="0">
                  <c:v>39.129900000000013</c:v>
                </c:pt>
                <c:pt idx="10" formatCode="0">
                  <c:v>32.329800000000013</c:v>
                </c:pt>
                <c:pt idx="11" formatCode="0">
                  <c:v>46.025200000000012</c:v>
                </c:pt>
                <c:pt idx="12" formatCode="0">
                  <c:v>30.345800000000001</c:v>
                </c:pt>
                <c:pt idx="13" formatCode="0">
                  <c:v>32.870699999999999</c:v>
                </c:pt>
                <c:pt idx="14" formatCode="0">
                  <c:v>39.539100000000012</c:v>
                </c:pt>
                <c:pt idx="15" formatCode="0">
                  <c:v>37.620000000000012</c:v>
                </c:pt>
                <c:pt idx="16" formatCode="0">
                  <c:v>44.978200000000001</c:v>
                </c:pt>
                <c:pt idx="18" formatCode="0">
                  <c:v>73.765000000000001</c:v>
                </c:pt>
                <c:pt idx="19" formatCode="0">
                  <c:v>91.012699999999995</c:v>
                </c:pt>
                <c:pt idx="20" formatCode="0">
                  <c:v>86.891800000000003</c:v>
                </c:pt>
                <c:pt idx="21" formatCode="0">
                  <c:v>90.451300000000032</c:v>
                </c:pt>
                <c:pt idx="22" formatCode="0">
                  <c:v>63.273800000000001</c:v>
                </c:pt>
                <c:pt idx="23" formatCode="0">
                  <c:v>54.552700000000002</c:v>
                </c:pt>
                <c:pt idx="24" formatCode="0">
                  <c:v>73.816000000000003</c:v>
                </c:pt>
                <c:pt idx="25" formatCode="0">
                  <c:v>91.578799999999916</c:v>
                </c:pt>
                <c:pt idx="26" formatCode="0">
                  <c:v>69.544500000000113</c:v>
                </c:pt>
                <c:pt idx="27" formatCode="0">
                  <c:v>106.01049999999999</c:v>
                </c:pt>
                <c:pt idx="28" formatCode="0">
                  <c:v>78.5685</c:v>
                </c:pt>
                <c:pt idx="29" formatCode="0">
                  <c:v>100.1579</c:v>
                </c:pt>
                <c:pt idx="30" formatCode="0">
                  <c:v>127.4833</c:v>
                </c:pt>
                <c:pt idx="31" formatCode="0">
                  <c:v>76.584900000000005</c:v>
                </c:pt>
                <c:pt idx="32" formatCode="0">
                  <c:v>62.763700000000057</c:v>
                </c:pt>
              </c:numCache>
            </c:numRef>
          </c:val>
        </c:ser>
        <c:ser>
          <c:idx val="6"/>
          <c:order val="6"/>
          <c:tx>
            <c:strRef>
              <c:f>'New veh.'!$A$598</c:f>
              <c:strCache>
                <c:ptCount val="1"/>
                <c:pt idx="0">
                  <c:v>Bioethanol (E85) ICV</c:v>
                </c:pt>
              </c:strCache>
            </c:strRef>
          </c:tx>
          <c:spPr>
            <a:pattFill prst="smGrid">
              <a:fgClr>
                <a:schemeClr val="tx1">
                  <a:lumMod val="75000"/>
                  <a:lumOff val="25000"/>
                </a:schemeClr>
              </a:fgClr>
              <a:bgClr>
                <a:schemeClr val="bg1"/>
              </a:bgClr>
            </a:pattFill>
            <a:ln w="3175">
              <a:solidFill>
                <a:schemeClr val="tx1"/>
              </a:solidFill>
            </a:ln>
          </c:spPr>
          <c:invertIfNegative val="0"/>
          <c:cat>
            <c:strRef>
              <c:f>('New veh.'!$B$591:$R$591,'New veh.'!$AM$591:$BB$591)</c:f>
              <c:strCache>
                <c:ptCount val="33"/>
                <c:pt idx="0">
                  <c:v>REF 2008</c:v>
                </c:pt>
                <c:pt idx="1">
                  <c:v>|</c:v>
                </c:pt>
                <c:pt idx="2">
                  <c:v>REF</c:v>
                </c:pt>
                <c:pt idx="3">
                  <c:v>CPT1</c:v>
                </c:pt>
                <c:pt idx="4">
                  <c:v>CPT1a</c:v>
                </c:pt>
                <c:pt idx="5">
                  <c:v>CPT2</c:v>
                </c:pt>
                <c:pt idx="6">
                  <c:v>CPT2a</c:v>
                </c:pt>
                <c:pt idx="7">
                  <c:v>CPT3</c:v>
                </c:pt>
                <c:pt idx="8">
                  <c:v>SCR1</c:v>
                </c:pt>
                <c:pt idx="9">
                  <c:v>SCR2</c:v>
                </c:pt>
                <c:pt idx="10">
                  <c:v>SCR3</c:v>
                </c:pt>
                <c:pt idx="11">
                  <c:v>SCR2a</c:v>
                </c:pt>
                <c:pt idx="12">
                  <c:v>VED1</c:v>
                </c:pt>
                <c:pt idx="13">
                  <c:v>VED2</c:v>
                </c:pt>
                <c:pt idx="14">
                  <c:v>VED3</c:v>
                </c:pt>
                <c:pt idx="15">
                  <c:v>CPT2b</c:v>
                </c:pt>
                <c:pt idx="16">
                  <c:v>CPT3a</c:v>
                </c:pt>
                <c:pt idx="17">
                  <c:v>|</c:v>
                </c:pt>
                <c:pt idx="18">
                  <c:v>REF</c:v>
                </c:pt>
                <c:pt idx="19">
                  <c:v>CPT1</c:v>
                </c:pt>
                <c:pt idx="20">
                  <c:v>CPT1a</c:v>
                </c:pt>
                <c:pt idx="21">
                  <c:v>CPT2</c:v>
                </c:pt>
                <c:pt idx="22">
                  <c:v>CPT2a</c:v>
                </c:pt>
                <c:pt idx="23">
                  <c:v>CPT3</c:v>
                </c:pt>
                <c:pt idx="24">
                  <c:v>SCR1</c:v>
                </c:pt>
                <c:pt idx="25">
                  <c:v>SCR2</c:v>
                </c:pt>
                <c:pt idx="26">
                  <c:v>SCR3</c:v>
                </c:pt>
                <c:pt idx="27">
                  <c:v>SCR2a</c:v>
                </c:pt>
                <c:pt idx="28">
                  <c:v>VED1</c:v>
                </c:pt>
                <c:pt idx="29">
                  <c:v>VED2</c:v>
                </c:pt>
                <c:pt idx="30">
                  <c:v>VED3</c:v>
                </c:pt>
                <c:pt idx="31">
                  <c:v>CPT2b</c:v>
                </c:pt>
                <c:pt idx="32">
                  <c:v>CPT3a</c:v>
                </c:pt>
              </c:strCache>
            </c:strRef>
          </c:cat>
          <c:val>
            <c:numRef>
              <c:f>('New veh.'!$B$598:$R$598,'New veh.'!$AM$598:$BB$598)</c:f>
              <c:numCache>
                <c:formatCode>General</c:formatCode>
                <c:ptCount val="33"/>
                <c:pt idx="0" formatCode="0">
                  <c:v>2.7400000000000001E-2</c:v>
                </c:pt>
                <c:pt idx="2" formatCode="0">
                  <c:v>1.3128</c:v>
                </c:pt>
                <c:pt idx="3" formatCode="0">
                  <c:v>1.302</c:v>
                </c:pt>
                <c:pt idx="4" formatCode="0">
                  <c:v>1.2926</c:v>
                </c:pt>
                <c:pt idx="5" formatCode="0">
                  <c:v>1.1580999999999999</c:v>
                </c:pt>
                <c:pt idx="6" formatCode="0">
                  <c:v>1.201699999999996</c:v>
                </c:pt>
                <c:pt idx="7" formatCode="0">
                  <c:v>0.76530000000000098</c:v>
                </c:pt>
                <c:pt idx="8" formatCode="0">
                  <c:v>1.3207</c:v>
                </c:pt>
                <c:pt idx="9" formatCode="0">
                  <c:v>0.83100000000000096</c:v>
                </c:pt>
                <c:pt idx="10" formatCode="0">
                  <c:v>1.1295999999999979</c:v>
                </c:pt>
                <c:pt idx="11" formatCode="0">
                  <c:v>0.97729999999999995</c:v>
                </c:pt>
                <c:pt idx="12" formatCode="0">
                  <c:v>1.2912999999999979</c:v>
                </c:pt>
                <c:pt idx="13" formatCode="0">
                  <c:v>1.241399999999997</c:v>
                </c:pt>
                <c:pt idx="14" formatCode="0">
                  <c:v>1.0925</c:v>
                </c:pt>
                <c:pt idx="15" formatCode="0">
                  <c:v>1.1205000000000001</c:v>
                </c:pt>
                <c:pt idx="16" formatCode="0">
                  <c:v>0.76530000000000098</c:v>
                </c:pt>
                <c:pt idx="18" formatCode="0">
                  <c:v>1.237499999999996</c:v>
                </c:pt>
                <c:pt idx="19" formatCode="0">
                  <c:v>1.1884999999999999</c:v>
                </c:pt>
                <c:pt idx="20" formatCode="0">
                  <c:v>1.5210999999999979</c:v>
                </c:pt>
                <c:pt idx="21" formatCode="0">
                  <c:v>1.1354</c:v>
                </c:pt>
                <c:pt idx="22" formatCode="0">
                  <c:v>0.74739999999999995</c:v>
                </c:pt>
                <c:pt idx="23" formatCode="0">
                  <c:v>0.66170000000000195</c:v>
                </c:pt>
                <c:pt idx="24" formatCode="0">
                  <c:v>1.2384999999999979</c:v>
                </c:pt>
                <c:pt idx="25" formatCode="0">
                  <c:v>0.67890000000000095</c:v>
                </c:pt>
                <c:pt idx="26" formatCode="0">
                  <c:v>1.0307999999999999</c:v>
                </c:pt>
                <c:pt idx="27" formatCode="0">
                  <c:v>0.78590000000000004</c:v>
                </c:pt>
                <c:pt idx="28" formatCode="0">
                  <c:v>1.1404000000000001</c:v>
                </c:pt>
                <c:pt idx="29" formatCode="0">
                  <c:v>1.022</c:v>
                </c:pt>
                <c:pt idx="30" formatCode="0">
                  <c:v>0.80189999999999995</c:v>
                </c:pt>
                <c:pt idx="31" formatCode="0">
                  <c:v>1.0317999999999961</c:v>
                </c:pt>
                <c:pt idx="32" formatCode="0">
                  <c:v>0.71290000000000098</c:v>
                </c:pt>
              </c:numCache>
            </c:numRef>
          </c:val>
        </c:ser>
        <c:ser>
          <c:idx val="7"/>
          <c:order val="7"/>
          <c:tx>
            <c:strRef>
              <c:f>'New veh.'!$A$599</c:f>
              <c:strCache>
                <c:ptCount val="1"/>
                <c:pt idx="0">
                  <c:v>LPG ICV</c:v>
                </c:pt>
              </c:strCache>
            </c:strRef>
          </c:tx>
          <c:spPr>
            <a:pattFill prst="pct10">
              <a:fgClr>
                <a:schemeClr val="tx1">
                  <a:lumMod val="75000"/>
                  <a:lumOff val="25000"/>
                </a:schemeClr>
              </a:fgClr>
              <a:bgClr>
                <a:schemeClr val="bg1"/>
              </a:bgClr>
            </a:pattFill>
            <a:ln w="3175">
              <a:solidFill>
                <a:schemeClr val="tx1"/>
              </a:solidFill>
            </a:ln>
          </c:spPr>
          <c:invertIfNegative val="0"/>
          <c:cat>
            <c:strRef>
              <c:f>('New veh.'!$B$591:$R$591,'New veh.'!$AM$591:$BB$591)</c:f>
              <c:strCache>
                <c:ptCount val="33"/>
                <c:pt idx="0">
                  <c:v>REF 2008</c:v>
                </c:pt>
                <c:pt idx="1">
                  <c:v>|</c:v>
                </c:pt>
                <c:pt idx="2">
                  <c:v>REF</c:v>
                </c:pt>
                <c:pt idx="3">
                  <c:v>CPT1</c:v>
                </c:pt>
                <c:pt idx="4">
                  <c:v>CPT1a</c:v>
                </c:pt>
                <c:pt idx="5">
                  <c:v>CPT2</c:v>
                </c:pt>
                <c:pt idx="6">
                  <c:v>CPT2a</c:v>
                </c:pt>
                <c:pt idx="7">
                  <c:v>CPT3</c:v>
                </c:pt>
                <c:pt idx="8">
                  <c:v>SCR1</c:v>
                </c:pt>
                <c:pt idx="9">
                  <c:v>SCR2</c:v>
                </c:pt>
                <c:pt idx="10">
                  <c:v>SCR3</c:v>
                </c:pt>
                <c:pt idx="11">
                  <c:v>SCR2a</c:v>
                </c:pt>
                <c:pt idx="12">
                  <c:v>VED1</c:v>
                </c:pt>
                <c:pt idx="13">
                  <c:v>VED2</c:v>
                </c:pt>
                <c:pt idx="14">
                  <c:v>VED3</c:v>
                </c:pt>
                <c:pt idx="15">
                  <c:v>CPT2b</c:v>
                </c:pt>
                <c:pt idx="16">
                  <c:v>CPT3a</c:v>
                </c:pt>
                <c:pt idx="17">
                  <c:v>|</c:v>
                </c:pt>
                <c:pt idx="18">
                  <c:v>REF</c:v>
                </c:pt>
                <c:pt idx="19">
                  <c:v>CPT1</c:v>
                </c:pt>
                <c:pt idx="20">
                  <c:v>CPT1a</c:v>
                </c:pt>
                <c:pt idx="21">
                  <c:v>CPT2</c:v>
                </c:pt>
                <c:pt idx="22">
                  <c:v>CPT2a</c:v>
                </c:pt>
                <c:pt idx="23">
                  <c:v>CPT3</c:v>
                </c:pt>
                <c:pt idx="24">
                  <c:v>SCR1</c:v>
                </c:pt>
                <c:pt idx="25">
                  <c:v>SCR2</c:v>
                </c:pt>
                <c:pt idx="26">
                  <c:v>SCR3</c:v>
                </c:pt>
                <c:pt idx="27">
                  <c:v>SCR2a</c:v>
                </c:pt>
                <c:pt idx="28">
                  <c:v>VED1</c:v>
                </c:pt>
                <c:pt idx="29">
                  <c:v>VED2</c:v>
                </c:pt>
                <c:pt idx="30">
                  <c:v>VED3</c:v>
                </c:pt>
                <c:pt idx="31">
                  <c:v>CPT2b</c:v>
                </c:pt>
                <c:pt idx="32">
                  <c:v>CPT3a</c:v>
                </c:pt>
              </c:strCache>
            </c:strRef>
          </c:cat>
          <c:val>
            <c:numRef>
              <c:f>('New veh.'!$B$599:$R$599,'New veh.'!$AM$599:$BB$599)</c:f>
              <c:numCache>
                <c:formatCode>General</c:formatCode>
                <c:ptCount val="33"/>
                <c:pt idx="0" formatCode="0">
                  <c:v>0.35799999999999998</c:v>
                </c:pt>
                <c:pt idx="2" formatCode="0">
                  <c:v>0.76340000000000097</c:v>
                </c:pt>
                <c:pt idx="3" formatCode="0">
                  <c:v>0.68080000000000096</c:v>
                </c:pt>
                <c:pt idx="4" formatCode="0">
                  <c:v>0.58819999999999995</c:v>
                </c:pt>
                <c:pt idx="5" formatCode="0">
                  <c:v>0.34460000000000002</c:v>
                </c:pt>
                <c:pt idx="6" formatCode="0">
                  <c:v>0.51039999999999996</c:v>
                </c:pt>
                <c:pt idx="7" formatCode="0">
                  <c:v>0.15210000000000001</c:v>
                </c:pt>
                <c:pt idx="8" formatCode="0">
                  <c:v>0.76820000000000099</c:v>
                </c:pt>
                <c:pt idx="9" formatCode="0">
                  <c:v>0.51660000000000095</c:v>
                </c:pt>
                <c:pt idx="10" formatCode="0">
                  <c:v>0.66070000000000195</c:v>
                </c:pt>
                <c:pt idx="11" formatCode="0">
                  <c:v>0.60770000000000102</c:v>
                </c:pt>
                <c:pt idx="12" formatCode="0">
                  <c:v>0.72650000000000003</c:v>
                </c:pt>
                <c:pt idx="13" formatCode="0">
                  <c:v>0.69090000000000096</c:v>
                </c:pt>
                <c:pt idx="14" formatCode="0">
                  <c:v>0.5837</c:v>
                </c:pt>
                <c:pt idx="15" formatCode="0">
                  <c:v>0.45839999999999997</c:v>
                </c:pt>
                <c:pt idx="16" formatCode="0">
                  <c:v>0.15210000000000001</c:v>
                </c:pt>
                <c:pt idx="18" formatCode="0">
                  <c:v>0.76840000000000097</c:v>
                </c:pt>
                <c:pt idx="19" formatCode="0">
                  <c:v>0.58089999999999997</c:v>
                </c:pt>
                <c:pt idx="20" formatCode="0">
                  <c:v>0.71090000000000098</c:v>
                </c:pt>
                <c:pt idx="21" formatCode="0">
                  <c:v>0.44180000000000003</c:v>
                </c:pt>
                <c:pt idx="22" formatCode="0">
                  <c:v>0.38700000000000101</c:v>
                </c:pt>
                <c:pt idx="23" formatCode="0">
                  <c:v>0.19420000000000001</c:v>
                </c:pt>
                <c:pt idx="24" formatCode="0">
                  <c:v>0.76890000000000103</c:v>
                </c:pt>
                <c:pt idx="25" formatCode="0">
                  <c:v>0.4365</c:v>
                </c:pt>
                <c:pt idx="26" formatCode="0">
                  <c:v>0.63580000000000103</c:v>
                </c:pt>
                <c:pt idx="27" formatCode="0">
                  <c:v>0.50519999999999998</c:v>
                </c:pt>
                <c:pt idx="28" formatCode="0">
                  <c:v>0.73680000000000101</c:v>
                </c:pt>
                <c:pt idx="29" formatCode="0">
                  <c:v>0.6825</c:v>
                </c:pt>
                <c:pt idx="30" formatCode="0">
                  <c:v>0.57790000000000097</c:v>
                </c:pt>
                <c:pt idx="31" formatCode="0">
                  <c:v>0.505</c:v>
                </c:pt>
                <c:pt idx="32" formatCode="0">
                  <c:v>0.19950000000000001</c:v>
                </c:pt>
              </c:numCache>
            </c:numRef>
          </c:val>
        </c:ser>
        <c:ser>
          <c:idx val="8"/>
          <c:order val="8"/>
          <c:tx>
            <c:strRef>
              <c:f>'New veh.'!$A$600</c:f>
              <c:strCache>
                <c:ptCount val="1"/>
                <c:pt idx="0">
                  <c:v>Electricity BEV</c:v>
                </c:pt>
              </c:strCache>
            </c:strRef>
          </c:tx>
          <c:spPr>
            <a:pattFill prst="pct60">
              <a:fgClr>
                <a:schemeClr val="tx1"/>
              </a:fgClr>
              <a:bgClr>
                <a:schemeClr val="bg1"/>
              </a:bgClr>
            </a:pattFill>
            <a:ln w="3175">
              <a:solidFill>
                <a:prstClr val="black"/>
              </a:solidFill>
            </a:ln>
          </c:spPr>
          <c:invertIfNegative val="0"/>
          <c:cat>
            <c:strRef>
              <c:f>('New veh.'!$B$591:$R$591,'New veh.'!$AM$591:$BB$591)</c:f>
              <c:strCache>
                <c:ptCount val="33"/>
                <c:pt idx="0">
                  <c:v>REF 2008</c:v>
                </c:pt>
                <c:pt idx="1">
                  <c:v>|</c:v>
                </c:pt>
                <c:pt idx="2">
                  <c:v>REF</c:v>
                </c:pt>
                <c:pt idx="3">
                  <c:v>CPT1</c:v>
                </c:pt>
                <c:pt idx="4">
                  <c:v>CPT1a</c:v>
                </c:pt>
                <c:pt idx="5">
                  <c:v>CPT2</c:v>
                </c:pt>
                <c:pt idx="6">
                  <c:v>CPT2a</c:v>
                </c:pt>
                <c:pt idx="7">
                  <c:v>CPT3</c:v>
                </c:pt>
                <c:pt idx="8">
                  <c:v>SCR1</c:v>
                </c:pt>
                <c:pt idx="9">
                  <c:v>SCR2</c:v>
                </c:pt>
                <c:pt idx="10">
                  <c:v>SCR3</c:v>
                </c:pt>
                <c:pt idx="11">
                  <c:v>SCR2a</c:v>
                </c:pt>
                <c:pt idx="12">
                  <c:v>VED1</c:v>
                </c:pt>
                <c:pt idx="13">
                  <c:v>VED2</c:v>
                </c:pt>
                <c:pt idx="14">
                  <c:v>VED3</c:v>
                </c:pt>
                <c:pt idx="15">
                  <c:v>CPT2b</c:v>
                </c:pt>
                <c:pt idx="16">
                  <c:v>CPT3a</c:v>
                </c:pt>
                <c:pt idx="17">
                  <c:v>|</c:v>
                </c:pt>
                <c:pt idx="18">
                  <c:v>REF</c:v>
                </c:pt>
                <c:pt idx="19">
                  <c:v>CPT1</c:v>
                </c:pt>
                <c:pt idx="20">
                  <c:v>CPT1a</c:v>
                </c:pt>
                <c:pt idx="21">
                  <c:v>CPT2</c:v>
                </c:pt>
                <c:pt idx="22">
                  <c:v>CPT2a</c:v>
                </c:pt>
                <c:pt idx="23">
                  <c:v>CPT3</c:v>
                </c:pt>
                <c:pt idx="24">
                  <c:v>SCR1</c:v>
                </c:pt>
                <c:pt idx="25">
                  <c:v>SCR2</c:v>
                </c:pt>
                <c:pt idx="26">
                  <c:v>SCR3</c:v>
                </c:pt>
                <c:pt idx="27">
                  <c:v>SCR2a</c:v>
                </c:pt>
                <c:pt idx="28">
                  <c:v>VED1</c:v>
                </c:pt>
                <c:pt idx="29">
                  <c:v>VED2</c:v>
                </c:pt>
                <c:pt idx="30">
                  <c:v>VED3</c:v>
                </c:pt>
                <c:pt idx="31">
                  <c:v>CPT2b</c:v>
                </c:pt>
                <c:pt idx="32">
                  <c:v>CPT3a</c:v>
                </c:pt>
              </c:strCache>
            </c:strRef>
          </c:cat>
          <c:val>
            <c:numRef>
              <c:f>('New veh.'!$B$600:$R$600,'New veh.'!$AM$600:$BB$600)</c:f>
              <c:numCache>
                <c:formatCode>General</c:formatCode>
                <c:ptCount val="33"/>
                <c:pt idx="0" formatCode="0">
                  <c:v>1.457399999999996</c:v>
                </c:pt>
                <c:pt idx="2" formatCode="0">
                  <c:v>34.592400000000012</c:v>
                </c:pt>
                <c:pt idx="3" formatCode="0">
                  <c:v>34.5366</c:v>
                </c:pt>
                <c:pt idx="4" formatCode="0">
                  <c:v>38.8673</c:v>
                </c:pt>
                <c:pt idx="5" formatCode="0">
                  <c:v>81.460300000000004</c:v>
                </c:pt>
                <c:pt idx="6" formatCode="0">
                  <c:v>223.45020000000031</c:v>
                </c:pt>
                <c:pt idx="7" formatCode="0">
                  <c:v>174.03380000000001</c:v>
                </c:pt>
                <c:pt idx="8" formatCode="0">
                  <c:v>34.803400000000003</c:v>
                </c:pt>
                <c:pt idx="9" formatCode="0">
                  <c:v>45.0276</c:v>
                </c:pt>
                <c:pt idx="10" formatCode="0">
                  <c:v>62.068200000000012</c:v>
                </c:pt>
                <c:pt idx="11" formatCode="0">
                  <c:v>52.96220000000001</c:v>
                </c:pt>
                <c:pt idx="12" formatCode="0">
                  <c:v>35.265600000000013</c:v>
                </c:pt>
                <c:pt idx="13" formatCode="0">
                  <c:v>40.386300000000013</c:v>
                </c:pt>
                <c:pt idx="14" formatCode="0">
                  <c:v>53.996200000000002</c:v>
                </c:pt>
                <c:pt idx="15" formatCode="0">
                  <c:v>119.7863</c:v>
                </c:pt>
                <c:pt idx="16" formatCode="0">
                  <c:v>174.03380000000001</c:v>
                </c:pt>
                <c:pt idx="18" formatCode="0">
                  <c:v>339.72499999999951</c:v>
                </c:pt>
                <c:pt idx="19" formatCode="0">
                  <c:v>419.01409999999993</c:v>
                </c:pt>
                <c:pt idx="20" formatCode="0">
                  <c:v>589.87080000000003</c:v>
                </c:pt>
                <c:pt idx="21" formatCode="0">
                  <c:v>1075.1288999999999</c:v>
                </c:pt>
                <c:pt idx="22" formatCode="0">
                  <c:v>1341.5404000000001</c:v>
                </c:pt>
                <c:pt idx="23" formatCode="0">
                  <c:v>1608.9767999999999</c:v>
                </c:pt>
                <c:pt idx="24" formatCode="0">
                  <c:v>339.95980000000031</c:v>
                </c:pt>
                <c:pt idx="25" formatCode="0">
                  <c:v>414.06</c:v>
                </c:pt>
                <c:pt idx="26" formatCode="0">
                  <c:v>624.71749999999997</c:v>
                </c:pt>
                <c:pt idx="27" formatCode="0">
                  <c:v>479.3107</c:v>
                </c:pt>
                <c:pt idx="28" formatCode="0">
                  <c:v>372.44470000000001</c:v>
                </c:pt>
                <c:pt idx="29" formatCode="0">
                  <c:v>547.80449999999996</c:v>
                </c:pt>
                <c:pt idx="30" formatCode="0">
                  <c:v>756.30619999999817</c:v>
                </c:pt>
                <c:pt idx="31" formatCode="0">
                  <c:v>988.2876</c:v>
                </c:pt>
                <c:pt idx="32" formatCode="0">
                  <c:v>1424.37</c:v>
                </c:pt>
              </c:numCache>
            </c:numRef>
          </c:val>
        </c:ser>
        <c:ser>
          <c:idx val="9"/>
          <c:order val="9"/>
          <c:tx>
            <c:strRef>
              <c:f>'New veh.'!$A$601</c:f>
              <c:strCache>
                <c:ptCount val="1"/>
                <c:pt idx="0">
                  <c:v>Hydrogen FCV</c:v>
                </c:pt>
              </c:strCache>
            </c:strRef>
          </c:tx>
          <c:spPr>
            <a:pattFill prst="ltUpDiag">
              <a:fgClr>
                <a:schemeClr val="tx1"/>
              </a:fgClr>
              <a:bgClr>
                <a:schemeClr val="bg1"/>
              </a:bgClr>
            </a:pattFill>
            <a:ln w="3175">
              <a:solidFill>
                <a:prstClr val="black"/>
              </a:solidFill>
            </a:ln>
          </c:spPr>
          <c:invertIfNegative val="0"/>
          <c:cat>
            <c:strRef>
              <c:f>('New veh.'!$B$591:$R$591,'New veh.'!$AM$591:$BB$591)</c:f>
              <c:strCache>
                <c:ptCount val="33"/>
                <c:pt idx="0">
                  <c:v>REF 2008</c:v>
                </c:pt>
                <c:pt idx="1">
                  <c:v>|</c:v>
                </c:pt>
                <c:pt idx="2">
                  <c:v>REF</c:v>
                </c:pt>
                <c:pt idx="3">
                  <c:v>CPT1</c:v>
                </c:pt>
                <c:pt idx="4">
                  <c:v>CPT1a</c:v>
                </c:pt>
                <c:pt idx="5">
                  <c:v>CPT2</c:v>
                </c:pt>
                <c:pt idx="6">
                  <c:v>CPT2a</c:v>
                </c:pt>
                <c:pt idx="7">
                  <c:v>CPT3</c:v>
                </c:pt>
                <c:pt idx="8">
                  <c:v>SCR1</c:v>
                </c:pt>
                <c:pt idx="9">
                  <c:v>SCR2</c:v>
                </c:pt>
                <c:pt idx="10">
                  <c:v>SCR3</c:v>
                </c:pt>
                <c:pt idx="11">
                  <c:v>SCR2a</c:v>
                </c:pt>
                <c:pt idx="12">
                  <c:v>VED1</c:v>
                </c:pt>
                <c:pt idx="13">
                  <c:v>VED2</c:v>
                </c:pt>
                <c:pt idx="14">
                  <c:v>VED3</c:v>
                </c:pt>
                <c:pt idx="15">
                  <c:v>CPT2b</c:v>
                </c:pt>
                <c:pt idx="16">
                  <c:v>CPT3a</c:v>
                </c:pt>
                <c:pt idx="17">
                  <c:v>|</c:v>
                </c:pt>
                <c:pt idx="18">
                  <c:v>REF</c:v>
                </c:pt>
                <c:pt idx="19">
                  <c:v>CPT1</c:v>
                </c:pt>
                <c:pt idx="20">
                  <c:v>CPT1a</c:v>
                </c:pt>
                <c:pt idx="21">
                  <c:v>CPT2</c:v>
                </c:pt>
                <c:pt idx="22">
                  <c:v>CPT2a</c:v>
                </c:pt>
                <c:pt idx="23">
                  <c:v>CPT3</c:v>
                </c:pt>
                <c:pt idx="24">
                  <c:v>SCR1</c:v>
                </c:pt>
                <c:pt idx="25">
                  <c:v>SCR2</c:v>
                </c:pt>
                <c:pt idx="26">
                  <c:v>SCR3</c:v>
                </c:pt>
                <c:pt idx="27">
                  <c:v>SCR2a</c:v>
                </c:pt>
                <c:pt idx="28">
                  <c:v>VED1</c:v>
                </c:pt>
                <c:pt idx="29">
                  <c:v>VED2</c:v>
                </c:pt>
                <c:pt idx="30">
                  <c:v>VED3</c:v>
                </c:pt>
                <c:pt idx="31">
                  <c:v>CPT2b</c:v>
                </c:pt>
                <c:pt idx="32">
                  <c:v>CPT3a</c:v>
                </c:pt>
              </c:strCache>
            </c:strRef>
          </c:cat>
          <c:val>
            <c:numRef>
              <c:f>('New veh.'!$B$601:$R$601,'New veh.'!$AM$601:$BB$601)</c:f>
              <c:numCache>
                <c:formatCode>General</c:formatCode>
                <c:ptCount val="33"/>
                <c:pt idx="0" formatCode="0">
                  <c:v>0</c:v>
                </c:pt>
                <c:pt idx="2" formatCode="0">
                  <c:v>1.0200000000000001E-2</c:v>
                </c:pt>
                <c:pt idx="3" formatCode="0">
                  <c:v>1.21E-2</c:v>
                </c:pt>
                <c:pt idx="4" formatCode="0">
                  <c:v>1.49E-2</c:v>
                </c:pt>
                <c:pt idx="5" formatCode="0">
                  <c:v>2.7900000000000001E-2</c:v>
                </c:pt>
                <c:pt idx="6" formatCode="0">
                  <c:v>3.4099999999999998E-2</c:v>
                </c:pt>
                <c:pt idx="7" formatCode="0">
                  <c:v>6.88E-2</c:v>
                </c:pt>
                <c:pt idx="8" formatCode="0">
                  <c:v>1.0200000000000001E-2</c:v>
                </c:pt>
                <c:pt idx="9" formatCode="0">
                  <c:v>1.3899999999999999E-2</c:v>
                </c:pt>
                <c:pt idx="10" formatCode="0">
                  <c:v>1.52E-2</c:v>
                </c:pt>
                <c:pt idx="11" formatCode="0">
                  <c:v>1.6299999999999999E-2</c:v>
                </c:pt>
                <c:pt idx="12" formatCode="0">
                  <c:v>1.12E-2</c:v>
                </c:pt>
                <c:pt idx="13" formatCode="0">
                  <c:v>1.26E-2</c:v>
                </c:pt>
                <c:pt idx="14" formatCode="0">
                  <c:v>1.84E-2</c:v>
                </c:pt>
                <c:pt idx="15" formatCode="0">
                  <c:v>2.6800000000000001E-2</c:v>
                </c:pt>
                <c:pt idx="16" formatCode="0">
                  <c:v>6.88E-2</c:v>
                </c:pt>
                <c:pt idx="18" formatCode="0">
                  <c:v>9.3399999999999997E-2</c:v>
                </c:pt>
                <c:pt idx="19" formatCode="0">
                  <c:v>0.12</c:v>
                </c:pt>
                <c:pt idx="20" formatCode="0">
                  <c:v>0.15179999999999999</c:v>
                </c:pt>
                <c:pt idx="21" formatCode="0">
                  <c:v>0.28899999999999998</c:v>
                </c:pt>
                <c:pt idx="22" formatCode="0">
                  <c:v>0.33500000000000102</c:v>
                </c:pt>
                <c:pt idx="23" formatCode="0">
                  <c:v>0.60150000000000003</c:v>
                </c:pt>
                <c:pt idx="24" formatCode="0">
                  <c:v>9.3500000000000194E-2</c:v>
                </c:pt>
                <c:pt idx="25" formatCode="0">
                  <c:v>0.10199999999999999</c:v>
                </c:pt>
                <c:pt idx="26" formatCode="0">
                  <c:v>0.1346</c:v>
                </c:pt>
                <c:pt idx="27" formatCode="0">
                  <c:v>0.11799999999999999</c:v>
                </c:pt>
                <c:pt idx="28" formatCode="0">
                  <c:v>0.1031</c:v>
                </c:pt>
                <c:pt idx="29" formatCode="0">
                  <c:v>0.1532</c:v>
                </c:pt>
                <c:pt idx="30" formatCode="0">
                  <c:v>0.2366</c:v>
                </c:pt>
                <c:pt idx="31" formatCode="0">
                  <c:v>0.28260000000000002</c:v>
                </c:pt>
                <c:pt idx="32" formatCode="0">
                  <c:v>0.65090000000000103</c:v>
                </c:pt>
              </c:numCache>
            </c:numRef>
          </c:val>
        </c:ser>
        <c:dLbls>
          <c:showLegendKey val="0"/>
          <c:showVal val="0"/>
          <c:showCatName val="0"/>
          <c:showSerName val="0"/>
          <c:showPercent val="0"/>
          <c:showBubbleSize val="0"/>
        </c:dLbls>
        <c:gapWidth val="100"/>
        <c:overlap val="100"/>
        <c:axId val="90110976"/>
        <c:axId val="111093248"/>
      </c:barChart>
      <c:catAx>
        <c:axId val="90110976"/>
        <c:scaling>
          <c:orientation val="minMax"/>
        </c:scaling>
        <c:delete val="0"/>
        <c:axPos val="b"/>
        <c:majorTickMark val="out"/>
        <c:minorTickMark val="none"/>
        <c:tickLblPos val="nextTo"/>
        <c:txPr>
          <a:bodyPr/>
          <a:lstStyle/>
          <a:p>
            <a:pPr>
              <a:defRPr sz="700"/>
            </a:pPr>
            <a:endParaRPr lang="en-US"/>
          </a:p>
        </c:txPr>
        <c:crossAx val="111093248"/>
        <c:crosses val="autoZero"/>
        <c:auto val="1"/>
        <c:lblAlgn val="ctr"/>
        <c:lblOffset val="100"/>
        <c:noMultiLvlLbl val="0"/>
      </c:catAx>
      <c:valAx>
        <c:axId val="111093248"/>
        <c:scaling>
          <c:orientation val="minMax"/>
          <c:max val="4500"/>
        </c:scaling>
        <c:delete val="0"/>
        <c:axPos val="l"/>
        <c:title>
          <c:tx>
            <c:rich>
              <a:bodyPr rot="-5400000" vert="horz"/>
              <a:lstStyle/>
              <a:p>
                <a:pPr>
                  <a:defRPr/>
                </a:pPr>
                <a:r>
                  <a:rPr lang="en-US"/>
                  <a:t>new car stock [thousand]</a:t>
                </a:r>
              </a:p>
            </c:rich>
          </c:tx>
          <c:layout>
            <c:manualLayout>
              <c:xMode val="edge"/>
              <c:yMode val="edge"/>
              <c:x val="7.0187141887143503E-3"/>
              <c:y val="0.222609695058679"/>
            </c:manualLayout>
          </c:layout>
          <c:overlay val="0"/>
        </c:title>
        <c:numFmt formatCode="#,##0" sourceLinked="0"/>
        <c:majorTickMark val="out"/>
        <c:minorTickMark val="none"/>
        <c:tickLblPos val="nextTo"/>
        <c:crossAx val="90110976"/>
        <c:crosses val="autoZero"/>
        <c:crossBetween val="between"/>
      </c:valAx>
    </c:plotArea>
    <c:legend>
      <c:legendPos val="r"/>
      <c:layout>
        <c:manualLayout>
          <c:xMode val="edge"/>
          <c:yMode val="edge"/>
          <c:x val="0.77424343434345"/>
          <c:y val="4.8083870468572397E-2"/>
          <c:w val="0.224502405949256"/>
          <c:h val="0.88736735289041302"/>
        </c:manualLayout>
      </c:layout>
      <c:overlay val="0"/>
    </c:legend>
    <c:plotVisOnly val="1"/>
    <c:dispBlanksAs val="gap"/>
    <c:showDLblsOverMax val="0"/>
  </c:chart>
  <c:spPr>
    <a:ln>
      <a:noFill/>
    </a:ln>
  </c:spPr>
  <c:txPr>
    <a:bodyPr/>
    <a:lstStyle/>
    <a:p>
      <a:pPr>
        <a:defRPr sz="1000">
          <a:latin typeface="+mn-lt"/>
          <a:cs typeface="Times New Roman" pitchFamily="18" charset="0"/>
        </a:defRPr>
      </a:pPr>
      <a:endParaRPr lang="en-US"/>
    </a:p>
  </c:txPr>
  <c:externalData r:id="rId1">
    <c:autoUpdate val="0"/>
  </c:externalData>
  <c:userShapes r:id="rId2"/>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0"/>
    <c:plotArea>
      <c:layout/>
      <c:barChart>
        <c:barDir val="bar"/>
        <c:grouping val="percentStacked"/>
        <c:varyColors val="0"/>
        <c:ser>
          <c:idx val="0"/>
          <c:order val="0"/>
          <c:tx>
            <c:strRef>
              <c:f>'CPT2b piv'!$J$14</c:f>
              <c:strCache>
                <c:ptCount val="1"/>
                <c:pt idx="0">
                  <c:v>&lt;50 &amp; EV</c:v>
                </c:pt>
              </c:strCache>
            </c:strRef>
          </c:tx>
          <c:spPr>
            <a:pattFill prst="pct5">
              <a:fgClr>
                <a:sysClr val="windowText" lastClr="000000"/>
              </a:fgClr>
              <a:bgClr>
                <a:schemeClr val="bg1"/>
              </a:bgClr>
            </a:pattFill>
            <a:ln>
              <a:solidFill>
                <a:schemeClr val="tx1"/>
              </a:solidFill>
            </a:ln>
          </c:spPr>
          <c:invertIfNegative val="0"/>
          <c:cat>
            <c:numRef>
              <c:f>'CPT2b piv'!$K$13:$P$13</c:f>
              <c:numCache>
                <c:formatCode>General</c:formatCode>
                <c:ptCount val="6"/>
                <c:pt idx="0">
                  <c:v>2000</c:v>
                </c:pt>
                <c:pt idx="1">
                  <c:v>2010</c:v>
                </c:pt>
                <c:pt idx="2">
                  <c:v>2020</c:v>
                </c:pt>
                <c:pt idx="3">
                  <c:v>2030</c:v>
                </c:pt>
                <c:pt idx="4">
                  <c:v>2040</c:v>
                </c:pt>
                <c:pt idx="5">
                  <c:v>2050</c:v>
                </c:pt>
              </c:numCache>
            </c:numRef>
          </c:cat>
          <c:val>
            <c:numRef>
              <c:f>'CPT2b piv'!$K$14:$P$14</c:f>
              <c:numCache>
                <c:formatCode>0.0%</c:formatCode>
                <c:ptCount val="6"/>
                <c:pt idx="0">
                  <c:v>1.7380077465488102E-5</c:v>
                </c:pt>
                <c:pt idx="1">
                  <c:v>6.0755715478982798E-4</c:v>
                </c:pt>
                <c:pt idx="2">
                  <c:v>5.0839216677221397E-2</c:v>
                </c:pt>
                <c:pt idx="3">
                  <c:v>0.170174306518766</c:v>
                </c:pt>
                <c:pt idx="4">
                  <c:v>0.30601372458937798</c:v>
                </c:pt>
                <c:pt idx="5">
                  <c:v>0.38319361328679402</c:v>
                </c:pt>
              </c:numCache>
            </c:numRef>
          </c:val>
        </c:ser>
        <c:ser>
          <c:idx val="1"/>
          <c:order val="1"/>
          <c:tx>
            <c:strRef>
              <c:f>'CPT2b piv'!$J$15</c:f>
              <c:strCache>
                <c:ptCount val="1"/>
                <c:pt idx="0">
                  <c:v>50-79</c:v>
                </c:pt>
              </c:strCache>
            </c:strRef>
          </c:tx>
          <c:spPr>
            <a:pattFill prst="pct50">
              <a:fgClr>
                <a:sysClr val="windowText" lastClr="000000"/>
              </a:fgClr>
              <a:bgClr>
                <a:schemeClr val="bg1"/>
              </a:bgClr>
            </a:pattFill>
            <a:ln>
              <a:solidFill>
                <a:schemeClr val="tx1"/>
              </a:solidFill>
            </a:ln>
          </c:spPr>
          <c:invertIfNegative val="0"/>
          <c:cat>
            <c:numRef>
              <c:f>'CPT2b piv'!$K$13:$P$13</c:f>
              <c:numCache>
                <c:formatCode>General</c:formatCode>
                <c:ptCount val="6"/>
                <c:pt idx="0">
                  <c:v>2000</c:v>
                </c:pt>
                <c:pt idx="1">
                  <c:v>2010</c:v>
                </c:pt>
                <c:pt idx="2">
                  <c:v>2020</c:v>
                </c:pt>
                <c:pt idx="3">
                  <c:v>2030</c:v>
                </c:pt>
                <c:pt idx="4">
                  <c:v>2040</c:v>
                </c:pt>
                <c:pt idx="5">
                  <c:v>2050</c:v>
                </c:pt>
              </c:numCache>
            </c:numRef>
          </c:cat>
          <c:val>
            <c:numRef>
              <c:f>'CPT2b piv'!$K$15:$P$15</c:f>
              <c:numCache>
                <c:formatCode>0.0%</c:formatCode>
                <c:ptCount val="6"/>
                <c:pt idx="0">
                  <c:v>0</c:v>
                </c:pt>
                <c:pt idx="1">
                  <c:v>0</c:v>
                </c:pt>
                <c:pt idx="2">
                  <c:v>1.8728419181328601E-2</c:v>
                </c:pt>
                <c:pt idx="3">
                  <c:v>4.08989251605405E-2</c:v>
                </c:pt>
                <c:pt idx="4">
                  <c:v>3.4889022882631203E-2</c:v>
                </c:pt>
                <c:pt idx="5">
                  <c:v>3.5039111453771601E-2</c:v>
                </c:pt>
              </c:numCache>
            </c:numRef>
          </c:val>
        </c:ser>
        <c:ser>
          <c:idx val="2"/>
          <c:order val="2"/>
          <c:tx>
            <c:strRef>
              <c:f>'CPT2b piv'!$J$16</c:f>
              <c:strCache>
                <c:ptCount val="1"/>
                <c:pt idx="0">
                  <c:v>80-99</c:v>
                </c:pt>
              </c:strCache>
            </c:strRef>
          </c:tx>
          <c:spPr>
            <a:pattFill prst="ltDnDiag">
              <a:fgClr>
                <a:sysClr val="windowText" lastClr="000000"/>
              </a:fgClr>
              <a:bgClr>
                <a:schemeClr val="bg1"/>
              </a:bgClr>
            </a:pattFill>
            <a:ln>
              <a:solidFill>
                <a:schemeClr val="tx1"/>
              </a:solidFill>
            </a:ln>
          </c:spPr>
          <c:invertIfNegative val="0"/>
          <c:cat>
            <c:numRef>
              <c:f>'CPT2b piv'!$K$13:$P$13</c:f>
              <c:numCache>
                <c:formatCode>General</c:formatCode>
                <c:ptCount val="6"/>
                <c:pt idx="0">
                  <c:v>2000</c:v>
                </c:pt>
                <c:pt idx="1">
                  <c:v>2010</c:v>
                </c:pt>
                <c:pt idx="2">
                  <c:v>2020</c:v>
                </c:pt>
                <c:pt idx="3">
                  <c:v>2030</c:v>
                </c:pt>
                <c:pt idx="4">
                  <c:v>2040</c:v>
                </c:pt>
                <c:pt idx="5">
                  <c:v>2050</c:v>
                </c:pt>
              </c:numCache>
            </c:numRef>
          </c:cat>
          <c:val>
            <c:numRef>
              <c:f>'CPT2b piv'!$K$16:$P$16</c:f>
              <c:numCache>
                <c:formatCode>0.0%</c:formatCode>
                <c:ptCount val="6"/>
                <c:pt idx="0">
                  <c:v>0</c:v>
                </c:pt>
                <c:pt idx="1">
                  <c:v>2.1095384779974699E-3</c:v>
                </c:pt>
                <c:pt idx="2">
                  <c:v>8.5369379236873294E-3</c:v>
                </c:pt>
                <c:pt idx="3">
                  <c:v>1.06616023482733E-2</c:v>
                </c:pt>
                <c:pt idx="4">
                  <c:v>6.2905017172313296E-2</c:v>
                </c:pt>
                <c:pt idx="5">
                  <c:v>5.2917090247778797E-2</c:v>
                </c:pt>
              </c:numCache>
            </c:numRef>
          </c:val>
        </c:ser>
        <c:ser>
          <c:idx val="3"/>
          <c:order val="3"/>
          <c:tx>
            <c:strRef>
              <c:f>'CPT2b piv'!$J$17</c:f>
              <c:strCache>
                <c:ptCount val="1"/>
                <c:pt idx="0">
                  <c:v>100-119</c:v>
                </c:pt>
              </c:strCache>
            </c:strRef>
          </c:tx>
          <c:spPr>
            <a:pattFill prst="ltVert">
              <a:fgClr>
                <a:sysClr val="windowText" lastClr="000000"/>
              </a:fgClr>
              <a:bgClr>
                <a:schemeClr val="bg1"/>
              </a:bgClr>
            </a:pattFill>
            <a:ln>
              <a:solidFill>
                <a:schemeClr val="tx1"/>
              </a:solidFill>
            </a:ln>
          </c:spPr>
          <c:invertIfNegative val="0"/>
          <c:cat>
            <c:numRef>
              <c:f>'CPT2b piv'!$K$13:$P$13</c:f>
              <c:numCache>
                <c:formatCode>General</c:formatCode>
                <c:ptCount val="6"/>
                <c:pt idx="0">
                  <c:v>2000</c:v>
                </c:pt>
                <c:pt idx="1">
                  <c:v>2010</c:v>
                </c:pt>
                <c:pt idx="2">
                  <c:v>2020</c:v>
                </c:pt>
                <c:pt idx="3">
                  <c:v>2030</c:v>
                </c:pt>
                <c:pt idx="4">
                  <c:v>2040</c:v>
                </c:pt>
                <c:pt idx="5">
                  <c:v>2050</c:v>
                </c:pt>
              </c:numCache>
            </c:numRef>
          </c:cat>
          <c:val>
            <c:numRef>
              <c:f>'CPT2b piv'!$K$17:$P$17</c:f>
              <c:numCache>
                <c:formatCode>0.0%</c:formatCode>
                <c:ptCount val="6"/>
                <c:pt idx="0">
                  <c:v>0</c:v>
                </c:pt>
                <c:pt idx="1">
                  <c:v>2.8756171201122201E-3</c:v>
                </c:pt>
                <c:pt idx="2">
                  <c:v>0.170065915547221</c:v>
                </c:pt>
                <c:pt idx="3">
                  <c:v>0.206498563777987</c:v>
                </c:pt>
                <c:pt idx="4">
                  <c:v>0.317829106321041</c:v>
                </c:pt>
                <c:pt idx="5">
                  <c:v>0.26212367673471298</c:v>
                </c:pt>
              </c:numCache>
            </c:numRef>
          </c:val>
        </c:ser>
        <c:ser>
          <c:idx val="4"/>
          <c:order val="4"/>
          <c:tx>
            <c:strRef>
              <c:f>'CPT2b piv'!$J$18</c:f>
              <c:strCache>
                <c:ptCount val="1"/>
                <c:pt idx="0">
                  <c:v>120-149</c:v>
                </c:pt>
              </c:strCache>
            </c:strRef>
          </c:tx>
          <c:spPr>
            <a:pattFill prst="dashDnDiag">
              <a:fgClr>
                <a:sysClr val="windowText" lastClr="000000"/>
              </a:fgClr>
              <a:bgClr>
                <a:schemeClr val="bg1"/>
              </a:bgClr>
            </a:pattFill>
            <a:ln>
              <a:solidFill>
                <a:schemeClr val="tx1"/>
              </a:solidFill>
            </a:ln>
          </c:spPr>
          <c:invertIfNegative val="0"/>
          <c:cat>
            <c:numRef>
              <c:f>'CPT2b piv'!$K$13:$P$13</c:f>
              <c:numCache>
                <c:formatCode>General</c:formatCode>
                <c:ptCount val="6"/>
                <c:pt idx="0">
                  <c:v>2000</c:v>
                </c:pt>
                <c:pt idx="1">
                  <c:v>2010</c:v>
                </c:pt>
                <c:pt idx="2">
                  <c:v>2020</c:v>
                </c:pt>
                <c:pt idx="3">
                  <c:v>2030</c:v>
                </c:pt>
                <c:pt idx="4">
                  <c:v>2040</c:v>
                </c:pt>
                <c:pt idx="5">
                  <c:v>2050</c:v>
                </c:pt>
              </c:numCache>
            </c:numRef>
          </c:cat>
          <c:val>
            <c:numRef>
              <c:f>'CPT2b piv'!$K$18:$P$18</c:f>
              <c:numCache>
                <c:formatCode>0.0%</c:formatCode>
                <c:ptCount val="6"/>
                <c:pt idx="0">
                  <c:v>0.22360949830783</c:v>
                </c:pt>
                <c:pt idx="1">
                  <c:v>0.43208428879688598</c:v>
                </c:pt>
                <c:pt idx="2">
                  <c:v>0.39046648045500498</c:v>
                </c:pt>
                <c:pt idx="3">
                  <c:v>0.31313945451997099</c:v>
                </c:pt>
                <c:pt idx="4">
                  <c:v>5.66194096394559E-2</c:v>
                </c:pt>
                <c:pt idx="5">
                  <c:v>6.9327243860452206E-2</c:v>
                </c:pt>
              </c:numCache>
            </c:numRef>
          </c:val>
        </c:ser>
        <c:ser>
          <c:idx val="5"/>
          <c:order val="5"/>
          <c:tx>
            <c:strRef>
              <c:f>'CPT2b piv'!$J$19</c:f>
              <c:strCache>
                <c:ptCount val="1"/>
                <c:pt idx="0">
                  <c:v>150-184</c:v>
                </c:pt>
              </c:strCache>
            </c:strRef>
          </c:tx>
          <c:spPr>
            <a:pattFill prst="zigZag">
              <a:fgClr>
                <a:sysClr val="windowText" lastClr="000000"/>
              </a:fgClr>
              <a:bgClr>
                <a:schemeClr val="bg1"/>
              </a:bgClr>
            </a:pattFill>
            <a:ln>
              <a:solidFill>
                <a:schemeClr val="tx1"/>
              </a:solidFill>
            </a:ln>
          </c:spPr>
          <c:invertIfNegative val="0"/>
          <c:cat>
            <c:numRef>
              <c:f>'CPT2b piv'!$K$13:$P$13</c:f>
              <c:numCache>
                <c:formatCode>General</c:formatCode>
                <c:ptCount val="6"/>
                <c:pt idx="0">
                  <c:v>2000</c:v>
                </c:pt>
                <c:pt idx="1">
                  <c:v>2010</c:v>
                </c:pt>
                <c:pt idx="2">
                  <c:v>2020</c:v>
                </c:pt>
                <c:pt idx="3">
                  <c:v>2030</c:v>
                </c:pt>
                <c:pt idx="4">
                  <c:v>2040</c:v>
                </c:pt>
                <c:pt idx="5">
                  <c:v>2050</c:v>
                </c:pt>
              </c:numCache>
            </c:numRef>
          </c:cat>
          <c:val>
            <c:numRef>
              <c:f>'CPT2b piv'!$K$19:$P$19</c:f>
              <c:numCache>
                <c:formatCode>0.0%</c:formatCode>
                <c:ptCount val="6"/>
                <c:pt idx="0">
                  <c:v>0.22314758932595899</c:v>
                </c:pt>
                <c:pt idx="1">
                  <c:v>0.19398718576729701</c:v>
                </c:pt>
                <c:pt idx="2">
                  <c:v>0.29610927808465798</c:v>
                </c:pt>
                <c:pt idx="3">
                  <c:v>0.19811923763272901</c:v>
                </c:pt>
                <c:pt idx="4">
                  <c:v>0.15979404939135899</c:v>
                </c:pt>
                <c:pt idx="5">
                  <c:v>0.13554297865508499</c:v>
                </c:pt>
              </c:numCache>
            </c:numRef>
          </c:val>
        </c:ser>
        <c:ser>
          <c:idx val="6"/>
          <c:order val="6"/>
          <c:tx>
            <c:strRef>
              <c:f>'CPT2b piv'!$J$20</c:f>
              <c:strCache>
                <c:ptCount val="1"/>
                <c:pt idx="0">
                  <c:v>185-224</c:v>
                </c:pt>
              </c:strCache>
            </c:strRef>
          </c:tx>
          <c:spPr>
            <a:pattFill prst="divot">
              <a:fgClr>
                <a:sysClr val="windowText" lastClr="000000"/>
              </a:fgClr>
              <a:bgClr>
                <a:schemeClr val="bg1"/>
              </a:bgClr>
            </a:pattFill>
            <a:ln>
              <a:solidFill>
                <a:schemeClr val="tx1"/>
              </a:solidFill>
            </a:ln>
          </c:spPr>
          <c:invertIfNegative val="0"/>
          <c:cat>
            <c:numRef>
              <c:f>'CPT2b piv'!$K$13:$P$13</c:f>
              <c:numCache>
                <c:formatCode>General</c:formatCode>
                <c:ptCount val="6"/>
                <c:pt idx="0">
                  <c:v>2000</c:v>
                </c:pt>
                <c:pt idx="1">
                  <c:v>2010</c:v>
                </c:pt>
                <c:pt idx="2">
                  <c:v>2020</c:v>
                </c:pt>
                <c:pt idx="3">
                  <c:v>2030</c:v>
                </c:pt>
                <c:pt idx="4">
                  <c:v>2040</c:v>
                </c:pt>
                <c:pt idx="5">
                  <c:v>2050</c:v>
                </c:pt>
              </c:numCache>
            </c:numRef>
          </c:cat>
          <c:val>
            <c:numRef>
              <c:f>'CPT2b piv'!$K$20:$P$20</c:f>
              <c:numCache>
                <c:formatCode>0.0%</c:formatCode>
                <c:ptCount val="6"/>
                <c:pt idx="0">
                  <c:v>0.44932804991711001</c:v>
                </c:pt>
                <c:pt idx="1">
                  <c:v>0.28531062873764002</c:v>
                </c:pt>
                <c:pt idx="2">
                  <c:v>6.5253752130879306E-2</c:v>
                </c:pt>
                <c:pt idx="3">
                  <c:v>6.0507910041733198E-2</c:v>
                </c:pt>
                <c:pt idx="4">
                  <c:v>6.1949670003820498E-2</c:v>
                </c:pt>
                <c:pt idx="5">
                  <c:v>6.1856285761405901E-2</c:v>
                </c:pt>
              </c:numCache>
            </c:numRef>
          </c:val>
        </c:ser>
        <c:ser>
          <c:idx val="7"/>
          <c:order val="7"/>
          <c:tx>
            <c:strRef>
              <c:f>'CPT2b piv'!$J$21</c:f>
              <c:strCache>
                <c:ptCount val="1"/>
                <c:pt idx="0">
                  <c:v>225-254</c:v>
                </c:pt>
              </c:strCache>
            </c:strRef>
          </c:tx>
          <c:spPr>
            <a:pattFill prst="smGrid">
              <a:fgClr>
                <a:sysClr val="windowText" lastClr="000000"/>
              </a:fgClr>
              <a:bgClr>
                <a:schemeClr val="bg1"/>
              </a:bgClr>
            </a:pattFill>
            <a:ln>
              <a:solidFill>
                <a:schemeClr val="tx1"/>
              </a:solidFill>
            </a:ln>
          </c:spPr>
          <c:invertIfNegative val="0"/>
          <c:cat>
            <c:numRef>
              <c:f>'CPT2b piv'!$K$13:$P$13</c:f>
              <c:numCache>
                <c:formatCode>General</c:formatCode>
                <c:ptCount val="6"/>
                <c:pt idx="0">
                  <c:v>2000</c:v>
                </c:pt>
                <c:pt idx="1">
                  <c:v>2010</c:v>
                </c:pt>
                <c:pt idx="2">
                  <c:v>2020</c:v>
                </c:pt>
                <c:pt idx="3">
                  <c:v>2030</c:v>
                </c:pt>
                <c:pt idx="4">
                  <c:v>2040</c:v>
                </c:pt>
                <c:pt idx="5">
                  <c:v>2050</c:v>
                </c:pt>
              </c:numCache>
            </c:numRef>
          </c:cat>
          <c:val>
            <c:numRef>
              <c:f>'CPT2b piv'!$K$21:$P$21</c:f>
              <c:numCache>
                <c:formatCode>0.0%</c:formatCode>
                <c:ptCount val="6"/>
                <c:pt idx="0">
                  <c:v>5.9094125533816703E-2</c:v>
                </c:pt>
                <c:pt idx="1">
                  <c:v>8.3025183945277206E-2</c:v>
                </c:pt>
                <c:pt idx="2">
                  <c:v>0</c:v>
                </c:pt>
                <c:pt idx="3">
                  <c:v>0</c:v>
                </c:pt>
                <c:pt idx="4">
                  <c:v>0</c:v>
                </c:pt>
                <c:pt idx="5">
                  <c:v>0</c:v>
                </c:pt>
              </c:numCache>
            </c:numRef>
          </c:val>
        </c:ser>
        <c:ser>
          <c:idx val="8"/>
          <c:order val="8"/>
          <c:tx>
            <c:strRef>
              <c:f>'CPT2b piv'!$J$22</c:f>
              <c:strCache>
                <c:ptCount val="1"/>
                <c:pt idx="0">
                  <c:v>&gt;=255</c:v>
                </c:pt>
              </c:strCache>
            </c:strRef>
          </c:tx>
          <c:spPr>
            <a:pattFill prst="pct80">
              <a:fgClr>
                <a:sysClr val="windowText" lastClr="000000"/>
              </a:fgClr>
              <a:bgClr>
                <a:schemeClr val="bg1"/>
              </a:bgClr>
            </a:pattFill>
            <a:ln>
              <a:solidFill>
                <a:schemeClr val="tx1"/>
              </a:solidFill>
            </a:ln>
          </c:spPr>
          <c:invertIfNegative val="0"/>
          <c:cat>
            <c:numRef>
              <c:f>'CPT2b piv'!$K$13:$P$13</c:f>
              <c:numCache>
                <c:formatCode>General</c:formatCode>
                <c:ptCount val="6"/>
                <c:pt idx="0">
                  <c:v>2000</c:v>
                </c:pt>
                <c:pt idx="1">
                  <c:v>2010</c:v>
                </c:pt>
                <c:pt idx="2">
                  <c:v>2020</c:v>
                </c:pt>
                <c:pt idx="3">
                  <c:v>2030</c:v>
                </c:pt>
                <c:pt idx="4">
                  <c:v>2040</c:v>
                </c:pt>
                <c:pt idx="5">
                  <c:v>2050</c:v>
                </c:pt>
              </c:numCache>
            </c:numRef>
          </c:cat>
          <c:val>
            <c:numRef>
              <c:f>'CPT2b piv'!$K$22:$P$22</c:f>
              <c:numCache>
                <c:formatCode>0.0%</c:formatCode>
                <c:ptCount val="6"/>
                <c:pt idx="0">
                  <c:v>4.4803356837819101E-2</c:v>
                </c:pt>
                <c:pt idx="1">
                  <c:v>0</c:v>
                </c:pt>
                <c:pt idx="2">
                  <c:v>0</c:v>
                </c:pt>
                <c:pt idx="3">
                  <c:v>0</c:v>
                </c:pt>
                <c:pt idx="4">
                  <c:v>0</c:v>
                </c:pt>
                <c:pt idx="5">
                  <c:v>0</c:v>
                </c:pt>
              </c:numCache>
            </c:numRef>
          </c:val>
        </c:ser>
        <c:dLbls>
          <c:showLegendKey val="0"/>
          <c:showVal val="0"/>
          <c:showCatName val="0"/>
          <c:showSerName val="0"/>
          <c:showPercent val="0"/>
          <c:showBubbleSize val="0"/>
        </c:dLbls>
        <c:gapWidth val="100"/>
        <c:overlap val="100"/>
        <c:axId val="128712704"/>
        <c:axId val="128714624"/>
      </c:barChart>
      <c:catAx>
        <c:axId val="128712704"/>
        <c:scaling>
          <c:orientation val="minMax"/>
        </c:scaling>
        <c:delete val="0"/>
        <c:axPos val="l"/>
        <c:numFmt formatCode="General" sourceLinked="1"/>
        <c:majorTickMark val="out"/>
        <c:minorTickMark val="none"/>
        <c:tickLblPos val="nextTo"/>
        <c:txPr>
          <a:bodyPr rot="0"/>
          <a:lstStyle/>
          <a:p>
            <a:pPr>
              <a:defRPr/>
            </a:pPr>
            <a:endParaRPr lang="en-US"/>
          </a:p>
        </c:txPr>
        <c:crossAx val="128714624"/>
        <c:crosses val="autoZero"/>
        <c:auto val="1"/>
        <c:lblAlgn val="ctr"/>
        <c:lblOffset val="100"/>
        <c:noMultiLvlLbl val="0"/>
      </c:catAx>
      <c:valAx>
        <c:axId val="128714624"/>
        <c:scaling>
          <c:orientation val="minMax"/>
        </c:scaling>
        <c:delete val="0"/>
        <c:axPos val="b"/>
        <c:title>
          <c:tx>
            <c:rich>
              <a:bodyPr/>
              <a:lstStyle/>
              <a:p>
                <a:pPr>
                  <a:defRPr/>
                </a:pPr>
                <a:r>
                  <a:rPr lang="en-GB"/>
                  <a:t>% share</a:t>
                </a:r>
                <a:r>
                  <a:rPr lang="en-GB" baseline="0"/>
                  <a:t> of new cars purchased</a:t>
                </a:r>
                <a:endParaRPr lang="en-GB"/>
              </a:p>
            </c:rich>
          </c:tx>
          <c:overlay val="0"/>
        </c:title>
        <c:numFmt formatCode="0%" sourceLinked="0"/>
        <c:majorTickMark val="out"/>
        <c:minorTickMark val="none"/>
        <c:tickLblPos val="nextTo"/>
        <c:crossAx val="128712704"/>
        <c:crosses val="autoZero"/>
        <c:crossBetween val="between"/>
      </c:valAx>
    </c:plotArea>
    <c:legend>
      <c:legendPos val="r"/>
      <c:layout>
        <c:manualLayout>
          <c:xMode val="edge"/>
          <c:yMode val="edge"/>
          <c:x val="0.78579972816936605"/>
          <c:y val="0.103734444444444"/>
          <c:w val="0.214200271830635"/>
          <c:h val="0.67786000000000002"/>
        </c:manualLayout>
      </c:layout>
      <c:overlay val="0"/>
    </c:legend>
    <c:plotVisOnly val="1"/>
    <c:dispBlanksAs val="gap"/>
    <c:showDLblsOverMax val="0"/>
  </c:chart>
  <c:spPr>
    <a:ln>
      <a:noFill/>
    </a:ln>
  </c:spPr>
  <c:txPr>
    <a:bodyPr/>
    <a:lstStyle/>
    <a:p>
      <a:pPr>
        <a:defRPr sz="1400">
          <a:latin typeface="Times New Roman" pitchFamily="18" charset="0"/>
          <a:cs typeface="Times New Roman" pitchFamily="18" charset="0"/>
        </a:defRPr>
      </a:pPr>
      <a:endParaRPr lang="en-US"/>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477118055555558"/>
          <c:y val="4.218333333333335E-2"/>
          <c:w val="0.68445642361111103"/>
          <c:h val="0.83226611111111104"/>
        </c:manualLayout>
      </c:layout>
      <c:lineChart>
        <c:grouping val="standard"/>
        <c:varyColors val="0"/>
        <c:ser>
          <c:idx val="0"/>
          <c:order val="0"/>
          <c:tx>
            <c:strRef>
              <c:f>ED!$B$66</c:f>
              <c:strCache>
                <c:ptCount val="1"/>
                <c:pt idx="0">
                  <c:v>REF</c:v>
                </c:pt>
              </c:strCache>
            </c:strRef>
          </c:tx>
          <c:spPr>
            <a:ln>
              <a:solidFill>
                <a:schemeClr val="tx1"/>
              </a:solidFill>
            </a:ln>
          </c:spPr>
          <c:marker>
            <c:symbol val="none"/>
          </c:marker>
          <c:cat>
            <c:numRef>
              <c:f>ED!$A$67:$A$122</c:f>
              <c:numCache>
                <c:formatCode>General</c:formatCode>
                <c:ptCount val="56"/>
                <c:pt idx="0">
                  <c:v>1995</c:v>
                </c:pt>
                <c:pt idx="1">
                  <c:v>1996</c:v>
                </c:pt>
                <c:pt idx="2">
                  <c:v>1997</c:v>
                </c:pt>
                <c:pt idx="3">
                  <c:v>1998</c:v>
                </c:pt>
                <c:pt idx="4">
                  <c:v>1999</c:v>
                </c:pt>
                <c:pt idx="5">
                  <c:v>2000</c:v>
                </c:pt>
                <c:pt idx="6">
                  <c:v>2001</c:v>
                </c:pt>
                <c:pt idx="7">
                  <c:v>2002</c:v>
                </c:pt>
                <c:pt idx="8">
                  <c:v>2003</c:v>
                </c:pt>
                <c:pt idx="9">
                  <c:v>2004</c:v>
                </c:pt>
                <c:pt idx="10">
                  <c:v>2005</c:v>
                </c:pt>
                <c:pt idx="11">
                  <c:v>2006</c:v>
                </c:pt>
                <c:pt idx="12">
                  <c:v>2007</c:v>
                </c:pt>
                <c:pt idx="13">
                  <c:v>2008</c:v>
                </c:pt>
                <c:pt idx="14">
                  <c:v>2009</c:v>
                </c:pt>
                <c:pt idx="15">
                  <c:v>2010</c:v>
                </c:pt>
                <c:pt idx="16">
                  <c:v>2011</c:v>
                </c:pt>
                <c:pt idx="17">
                  <c:v>2012</c:v>
                </c:pt>
                <c:pt idx="18">
                  <c:v>2013</c:v>
                </c:pt>
                <c:pt idx="19">
                  <c:v>2014</c:v>
                </c:pt>
                <c:pt idx="20">
                  <c:v>2015</c:v>
                </c:pt>
                <c:pt idx="21">
                  <c:v>2016</c:v>
                </c:pt>
                <c:pt idx="22">
                  <c:v>2017</c:v>
                </c:pt>
                <c:pt idx="23">
                  <c:v>2018</c:v>
                </c:pt>
                <c:pt idx="24">
                  <c:v>2019</c:v>
                </c:pt>
                <c:pt idx="25">
                  <c:v>2020</c:v>
                </c:pt>
                <c:pt idx="26">
                  <c:v>2021</c:v>
                </c:pt>
                <c:pt idx="27">
                  <c:v>2022</c:v>
                </c:pt>
                <c:pt idx="28">
                  <c:v>2023</c:v>
                </c:pt>
                <c:pt idx="29">
                  <c:v>2024</c:v>
                </c:pt>
                <c:pt idx="30">
                  <c:v>2025</c:v>
                </c:pt>
                <c:pt idx="31">
                  <c:v>2026</c:v>
                </c:pt>
                <c:pt idx="32">
                  <c:v>2027</c:v>
                </c:pt>
                <c:pt idx="33">
                  <c:v>2028</c:v>
                </c:pt>
                <c:pt idx="34">
                  <c:v>2029</c:v>
                </c:pt>
                <c:pt idx="35">
                  <c:v>2030</c:v>
                </c:pt>
                <c:pt idx="36">
                  <c:v>2031</c:v>
                </c:pt>
                <c:pt idx="37">
                  <c:v>2032</c:v>
                </c:pt>
                <c:pt idx="38">
                  <c:v>2033</c:v>
                </c:pt>
                <c:pt idx="39">
                  <c:v>2034</c:v>
                </c:pt>
                <c:pt idx="40">
                  <c:v>2035</c:v>
                </c:pt>
                <c:pt idx="41">
                  <c:v>2036</c:v>
                </c:pt>
                <c:pt idx="42">
                  <c:v>2037</c:v>
                </c:pt>
                <c:pt idx="43">
                  <c:v>2038</c:v>
                </c:pt>
                <c:pt idx="44">
                  <c:v>2039</c:v>
                </c:pt>
                <c:pt idx="45">
                  <c:v>2040</c:v>
                </c:pt>
                <c:pt idx="46">
                  <c:v>2041</c:v>
                </c:pt>
                <c:pt idx="47">
                  <c:v>2042</c:v>
                </c:pt>
                <c:pt idx="48">
                  <c:v>2043</c:v>
                </c:pt>
                <c:pt idx="49">
                  <c:v>2044</c:v>
                </c:pt>
                <c:pt idx="50">
                  <c:v>2045</c:v>
                </c:pt>
                <c:pt idx="51">
                  <c:v>2046</c:v>
                </c:pt>
                <c:pt idx="52">
                  <c:v>2047</c:v>
                </c:pt>
                <c:pt idx="53">
                  <c:v>2048</c:v>
                </c:pt>
                <c:pt idx="54">
                  <c:v>2049</c:v>
                </c:pt>
                <c:pt idx="55">
                  <c:v>2050</c:v>
                </c:pt>
              </c:numCache>
            </c:numRef>
          </c:cat>
          <c:val>
            <c:numRef>
              <c:f>ED!$B$67:$B$122</c:f>
              <c:numCache>
                <c:formatCode>0.0</c:formatCode>
                <c:ptCount val="56"/>
                <c:pt idx="0">
                  <c:v>71.958781770000002</c:v>
                </c:pt>
                <c:pt idx="1">
                  <c:v>74.782839189999976</c:v>
                </c:pt>
                <c:pt idx="2">
                  <c:v>75.410338730000007</c:v>
                </c:pt>
                <c:pt idx="3">
                  <c:v>74.86499508</c:v>
                </c:pt>
                <c:pt idx="4">
                  <c:v>76.340601700000008</c:v>
                </c:pt>
                <c:pt idx="5">
                  <c:v>76.172476860000017</c:v>
                </c:pt>
                <c:pt idx="6">
                  <c:v>75.965079860000003</c:v>
                </c:pt>
                <c:pt idx="7">
                  <c:v>77.215048849999988</c:v>
                </c:pt>
                <c:pt idx="8">
                  <c:v>75.878598019999998</c:v>
                </c:pt>
                <c:pt idx="9">
                  <c:v>76.304902039999988</c:v>
                </c:pt>
                <c:pt idx="10">
                  <c:v>75.413214559999986</c:v>
                </c:pt>
                <c:pt idx="11">
                  <c:v>74.958157420000006</c:v>
                </c:pt>
                <c:pt idx="12">
                  <c:v>74.348432209999984</c:v>
                </c:pt>
                <c:pt idx="13">
                  <c:v>71.984716360000007</c:v>
                </c:pt>
                <c:pt idx="14">
                  <c:v>69.777386059999984</c:v>
                </c:pt>
                <c:pt idx="15">
                  <c:v>69.559788400000002</c:v>
                </c:pt>
                <c:pt idx="16">
                  <c:v>68.974460500000035</c:v>
                </c:pt>
                <c:pt idx="17">
                  <c:v>68.730242510000011</c:v>
                </c:pt>
                <c:pt idx="18">
                  <c:v>68.521401339999983</c:v>
                </c:pt>
                <c:pt idx="19">
                  <c:v>68.362073449999983</c:v>
                </c:pt>
                <c:pt idx="20">
                  <c:v>68.152416380000005</c:v>
                </c:pt>
                <c:pt idx="21">
                  <c:v>67.914957779999995</c:v>
                </c:pt>
                <c:pt idx="22">
                  <c:v>67.723781499999987</c:v>
                </c:pt>
                <c:pt idx="23">
                  <c:v>67.58333626999999</c:v>
                </c:pt>
                <c:pt idx="24">
                  <c:v>67.502159860000006</c:v>
                </c:pt>
                <c:pt idx="25">
                  <c:v>67.371929440000017</c:v>
                </c:pt>
                <c:pt idx="26">
                  <c:v>67.225896980000002</c:v>
                </c:pt>
                <c:pt idx="27">
                  <c:v>67.109224310000002</c:v>
                </c:pt>
                <c:pt idx="28">
                  <c:v>67.008188810000007</c:v>
                </c:pt>
                <c:pt idx="29">
                  <c:v>66.913941040000012</c:v>
                </c:pt>
                <c:pt idx="30">
                  <c:v>66.719297349999977</c:v>
                </c:pt>
                <c:pt idx="31">
                  <c:v>66.453001650000004</c:v>
                </c:pt>
                <c:pt idx="32">
                  <c:v>66.210296670000005</c:v>
                </c:pt>
                <c:pt idx="33">
                  <c:v>65.983115440000006</c:v>
                </c:pt>
                <c:pt idx="34">
                  <c:v>65.782444760000018</c:v>
                </c:pt>
                <c:pt idx="35">
                  <c:v>65.47260393000002</c:v>
                </c:pt>
                <c:pt idx="36">
                  <c:v>65.113792970000006</c:v>
                </c:pt>
                <c:pt idx="37">
                  <c:v>64.798004739999996</c:v>
                </c:pt>
                <c:pt idx="38">
                  <c:v>64.52286158000004</c:v>
                </c:pt>
                <c:pt idx="39">
                  <c:v>64.287680909999992</c:v>
                </c:pt>
                <c:pt idx="40">
                  <c:v>63.983104439999991</c:v>
                </c:pt>
                <c:pt idx="41">
                  <c:v>63.65476361999999</c:v>
                </c:pt>
                <c:pt idx="42">
                  <c:v>63.370755860000003</c:v>
                </c:pt>
                <c:pt idx="43">
                  <c:v>63.124462979999976</c:v>
                </c:pt>
                <c:pt idx="44">
                  <c:v>62.916118030000042</c:v>
                </c:pt>
                <c:pt idx="45">
                  <c:v>62.645513579999992</c:v>
                </c:pt>
                <c:pt idx="46">
                  <c:v>62.365375849999985</c:v>
                </c:pt>
                <c:pt idx="47">
                  <c:v>62.134460510000018</c:v>
                </c:pt>
                <c:pt idx="48">
                  <c:v>61.944537910000037</c:v>
                </c:pt>
                <c:pt idx="49">
                  <c:v>61.79529855000002</c:v>
                </c:pt>
                <c:pt idx="50">
                  <c:v>61.545642749999978</c:v>
                </c:pt>
                <c:pt idx="51">
                  <c:v>61.262674029999985</c:v>
                </c:pt>
                <c:pt idx="52">
                  <c:v>61.023710409999993</c:v>
                </c:pt>
                <c:pt idx="53">
                  <c:v>60.819254050000012</c:v>
                </c:pt>
                <c:pt idx="54">
                  <c:v>60.647297469999984</c:v>
                </c:pt>
                <c:pt idx="55">
                  <c:v>60.506655659999986</c:v>
                </c:pt>
              </c:numCache>
            </c:numRef>
          </c:val>
          <c:smooth val="0"/>
        </c:ser>
        <c:ser>
          <c:idx val="2"/>
          <c:order val="1"/>
          <c:tx>
            <c:strRef>
              <c:f>ED!$C$66</c:f>
              <c:strCache>
                <c:ptCount val="1"/>
                <c:pt idx="0">
                  <c:v>CPT1</c:v>
                </c:pt>
              </c:strCache>
            </c:strRef>
          </c:tx>
          <c:spPr>
            <a:ln>
              <a:solidFill>
                <a:schemeClr val="tx1"/>
              </a:solidFill>
              <a:prstDash val="sysDot"/>
            </a:ln>
          </c:spPr>
          <c:marker>
            <c:symbol val="none"/>
          </c:marker>
          <c:cat>
            <c:numRef>
              <c:f>ED!$A$67:$A$122</c:f>
              <c:numCache>
                <c:formatCode>General</c:formatCode>
                <c:ptCount val="56"/>
                <c:pt idx="0">
                  <c:v>1995</c:v>
                </c:pt>
                <c:pt idx="1">
                  <c:v>1996</c:v>
                </c:pt>
                <c:pt idx="2">
                  <c:v>1997</c:v>
                </c:pt>
                <c:pt idx="3">
                  <c:v>1998</c:v>
                </c:pt>
                <c:pt idx="4">
                  <c:v>1999</c:v>
                </c:pt>
                <c:pt idx="5">
                  <c:v>2000</c:v>
                </c:pt>
                <c:pt idx="6">
                  <c:v>2001</c:v>
                </c:pt>
                <c:pt idx="7">
                  <c:v>2002</c:v>
                </c:pt>
                <c:pt idx="8">
                  <c:v>2003</c:v>
                </c:pt>
                <c:pt idx="9">
                  <c:v>2004</c:v>
                </c:pt>
                <c:pt idx="10">
                  <c:v>2005</c:v>
                </c:pt>
                <c:pt idx="11">
                  <c:v>2006</c:v>
                </c:pt>
                <c:pt idx="12">
                  <c:v>2007</c:v>
                </c:pt>
                <c:pt idx="13">
                  <c:v>2008</c:v>
                </c:pt>
                <c:pt idx="14">
                  <c:v>2009</c:v>
                </c:pt>
                <c:pt idx="15">
                  <c:v>2010</c:v>
                </c:pt>
                <c:pt idx="16">
                  <c:v>2011</c:v>
                </c:pt>
                <c:pt idx="17">
                  <c:v>2012</c:v>
                </c:pt>
                <c:pt idx="18">
                  <c:v>2013</c:v>
                </c:pt>
                <c:pt idx="19">
                  <c:v>2014</c:v>
                </c:pt>
                <c:pt idx="20">
                  <c:v>2015</c:v>
                </c:pt>
                <c:pt idx="21">
                  <c:v>2016</c:v>
                </c:pt>
                <c:pt idx="22">
                  <c:v>2017</c:v>
                </c:pt>
                <c:pt idx="23">
                  <c:v>2018</c:v>
                </c:pt>
                <c:pt idx="24">
                  <c:v>2019</c:v>
                </c:pt>
                <c:pt idx="25">
                  <c:v>2020</c:v>
                </c:pt>
                <c:pt idx="26">
                  <c:v>2021</c:v>
                </c:pt>
                <c:pt idx="27">
                  <c:v>2022</c:v>
                </c:pt>
                <c:pt idx="28">
                  <c:v>2023</c:v>
                </c:pt>
                <c:pt idx="29">
                  <c:v>2024</c:v>
                </c:pt>
                <c:pt idx="30">
                  <c:v>2025</c:v>
                </c:pt>
                <c:pt idx="31">
                  <c:v>2026</c:v>
                </c:pt>
                <c:pt idx="32">
                  <c:v>2027</c:v>
                </c:pt>
                <c:pt idx="33">
                  <c:v>2028</c:v>
                </c:pt>
                <c:pt idx="34">
                  <c:v>2029</c:v>
                </c:pt>
                <c:pt idx="35">
                  <c:v>2030</c:v>
                </c:pt>
                <c:pt idx="36">
                  <c:v>2031</c:v>
                </c:pt>
                <c:pt idx="37">
                  <c:v>2032</c:v>
                </c:pt>
                <c:pt idx="38">
                  <c:v>2033</c:v>
                </c:pt>
                <c:pt idx="39">
                  <c:v>2034</c:v>
                </c:pt>
                <c:pt idx="40">
                  <c:v>2035</c:v>
                </c:pt>
                <c:pt idx="41">
                  <c:v>2036</c:v>
                </c:pt>
                <c:pt idx="42">
                  <c:v>2037</c:v>
                </c:pt>
                <c:pt idx="43">
                  <c:v>2038</c:v>
                </c:pt>
                <c:pt idx="44">
                  <c:v>2039</c:v>
                </c:pt>
                <c:pt idx="45">
                  <c:v>2040</c:v>
                </c:pt>
                <c:pt idx="46">
                  <c:v>2041</c:v>
                </c:pt>
                <c:pt idx="47">
                  <c:v>2042</c:v>
                </c:pt>
                <c:pt idx="48">
                  <c:v>2043</c:v>
                </c:pt>
                <c:pt idx="49">
                  <c:v>2044</c:v>
                </c:pt>
                <c:pt idx="50">
                  <c:v>2045</c:v>
                </c:pt>
                <c:pt idx="51">
                  <c:v>2046</c:v>
                </c:pt>
                <c:pt idx="52">
                  <c:v>2047</c:v>
                </c:pt>
                <c:pt idx="53">
                  <c:v>2048</c:v>
                </c:pt>
                <c:pt idx="54">
                  <c:v>2049</c:v>
                </c:pt>
                <c:pt idx="55">
                  <c:v>2050</c:v>
                </c:pt>
              </c:numCache>
            </c:numRef>
          </c:cat>
          <c:val>
            <c:numRef>
              <c:f>ED!$C$67:$C$122</c:f>
              <c:numCache>
                <c:formatCode>0.0</c:formatCode>
                <c:ptCount val="56"/>
                <c:pt idx="0">
                  <c:v>71.958781770000002</c:v>
                </c:pt>
                <c:pt idx="1">
                  <c:v>74.782839189999976</c:v>
                </c:pt>
                <c:pt idx="2">
                  <c:v>75.410338730000007</c:v>
                </c:pt>
                <c:pt idx="3">
                  <c:v>74.86499508</c:v>
                </c:pt>
                <c:pt idx="4">
                  <c:v>76.340601700000008</c:v>
                </c:pt>
                <c:pt idx="5">
                  <c:v>76.172476860000017</c:v>
                </c:pt>
                <c:pt idx="6">
                  <c:v>75.965079860000003</c:v>
                </c:pt>
                <c:pt idx="7">
                  <c:v>77.215048849999988</c:v>
                </c:pt>
                <c:pt idx="8">
                  <c:v>75.878598019999998</c:v>
                </c:pt>
                <c:pt idx="9">
                  <c:v>76.304902039999988</c:v>
                </c:pt>
                <c:pt idx="10">
                  <c:v>75.413214559999986</c:v>
                </c:pt>
                <c:pt idx="11">
                  <c:v>74.958157420000006</c:v>
                </c:pt>
                <c:pt idx="12">
                  <c:v>74.348432209999984</c:v>
                </c:pt>
                <c:pt idx="13">
                  <c:v>71.984716360000007</c:v>
                </c:pt>
                <c:pt idx="14">
                  <c:v>69.777386059999984</c:v>
                </c:pt>
                <c:pt idx="15">
                  <c:v>69.559788400000002</c:v>
                </c:pt>
                <c:pt idx="16">
                  <c:v>68.956114049999996</c:v>
                </c:pt>
                <c:pt idx="17">
                  <c:v>68.636081849999982</c:v>
                </c:pt>
                <c:pt idx="18">
                  <c:v>68.378012849999976</c:v>
                </c:pt>
                <c:pt idx="19">
                  <c:v>68.170015780000014</c:v>
                </c:pt>
                <c:pt idx="20">
                  <c:v>67.911487339999994</c:v>
                </c:pt>
                <c:pt idx="21">
                  <c:v>67.626010700000009</c:v>
                </c:pt>
                <c:pt idx="22">
                  <c:v>67.388524599999982</c:v>
                </c:pt>
                <c:pt idx="23">
                  <c:v>67.203755330000007</c:v>
                </c:pt>
                <c:pt idx="24">
                  <c:v>67.080887740000009</c:v>
                </c:pt>
                <c:pt idx="25">
                  <c:v>66.911561789999979</c:v>
                </c:pt>
                <c:pt idx="26">
                  <c:v>66.72978664</c:v>
                </c:pt>
                <c:pt idx="27">
                  <c:v>66.58187006</c:v>
                </c:pt>
                <c:pt idx="28">
                  <c:v>66.454612340000011</c:v>
                </c:pt>
                <c:pt idx="29">
                  <c:v>66.339512479999996</c:v>
                </c:pt>
                <c:pt idx="30">
                  <c:v>66.129997240000009</c:v>
                </c:pt>
                <c:pt idx="31">
                  <c:v>65.853334099999998</c:v>
                </c:pt>
                <c:pt idx="32">
                  <c:v>65.603523520000024</c:v>
                </c:pt>
                <c:pt idx="33">
                  <c:v>65.371682330000013</c:v>
                </c:pt>
                <c:pt idx="34">
                  <c:v>65.167584910000002</c:v>
                </c:pt>
                <c:pt idx="35">
                  <c:v>64.778944780000018</c:v>
                </c:pt>
                <c:pt idx="36">
                  <c:v>64.240911010000033</c:v>
                </c:pt>
                <c:pt idx="37">
                  <c:v>63.725850879999989</c:v>
                </c:pt>
                <c:pt idx="38">
                  <c:v>63.254216849999985</c:v>
                </c:pt>
                <c:pt idx="39">
                  <c:v>62.825652510000019</c:v>
                </c:pt>
                <c:pt idx="40">
                  <c:v>62.34448789999999</c:v>
                </c:pt>
                <c:pt idx="41">
                  <c:v>61.842048220000002</c:v>
                </c:pt>
                <c:pt idx="42">
                  <c:v>61.378463470000014</c:v>
                </c:pt>
                <c:pt idx="43">
                  <c:v>60.958955299999992</c:v>
                </c:pt>
                <c:pt idx="44">
                  <c:v>60.585688059999967</c:v>
                </c:pt>
                <c:pt idx="45">
                  <c:v>60.15697717000004</c:v>
                </c:pt>
                <c:pt idx="46">
                  <c:v>59.725724289999995</c:v>
                </c:pt>
                <c:pt idx="47">
                  <c:v>59.358777790000012</c:v>
                </c:pt>
                <c:pt idx="48">
                  <c:v>59.052991630000008</c:v>
                </c:pt>
                <c:pt idx="49">
                  <c:v>58.809787420000013</c:v>
                </c:pt>
                <c:pt idx="50">
                  <c:v>58.424160769999986</c:v>
                </c:pt>
                <c:pt idx="51">
                  <c:v>57.95497999000002</c:v>
                </c:pt>
                <c:pt idx="52">
                  <c:v>57.535794660000029</c:v>
                </c:pt>
                <c:pt idx="53">
                  <c:v>57.163195039999998</c:v>
                </c:pt>
                <c:pt idx="54">
                  <c:v>56.830508000000002</c:v>
                </c:pt>
                <c:pt idx="55">
                  <c:v>56.533829200000028</c:v>
                </c:pt>
              </c:numCache>
            </c:numRef>
          </c:val>
          <c:smooth val="0"/>
        </c:ser>
        <c:ser>
          <c:idx val="11"/>
          <c:order val="2"/>
          <c:tx>
            <c:strRef>
              <c:f>ED!$D$66</c:f>
              <c:strCache>
                <c:ptCount val="1"/>
                <c:pt idx="0">
                  <c:v>CPT1a</c:v>
                </c:pt>
              </c:strCache>
            </c:strRef>
          </c:tx>
          <c:spPr>
            <a:ln cmpd="dbl">
              <a:solidFill>
                <a:schemeClr val="tx1"/>
              </a:solidFill>
              <a:prstDash val="sysDot"/>
            </a:ln>
          </c:spPr>
          <c:marker>
            <c:symbol val="none"/>
          </c:marker>
          <c:cat>
            <c:numRef>
              <c:f>ED!$A$67:$A$122</c:f>
              <c:numCache>
                <c:formatCode>General</c:formatCode>
                <c:ptCount val="56"/>
                <c:pt idx="0">
                  <c:v>1995</c:v>
                </c:pt>
                <c:pt idx="1">
                  <c:v>1996</c:v>
                </c:pt>
                <c:pt idx="2">
                  <c:v>1997</c:v>
                </c:pt>
                <c:pt idx="3">
                  <c:v>1998</c:v>
                </c:pt>
                <c:pt idx="4">
                  <c:v>1999</c:v>
                </c:pt>
                <c:pt idx="5">
                  <c:v>2000</c:v>
                </c:pt>
                <c:pt idx="6">
                  <c:v>2001</c:v>
                </c:pt>
                <c:pt idx="7">
                  <c:v>2002</c:v>
                </c:pt>
                <c:pt idx="8">
                  <c:v>2003</c:v>
                </c:pt>
                <c:pt idx="9">
                  <c:v>2004</c:v>
                </c:pt>
                <c:pt idx="10">
                  <c:v>2005</c:v>
                </c:pt>
                <c:pt idx="11">
                  <c:v>2006</c:v>
                </c:pt>
                <c:pt idx="12">
                  <c:v>2007</c:v>
                </c:pt>
                <c:pt idx="13">
                  <c:v>2008</c:v>
                </c:pt>
                <c:pt idx="14">
                  <c:v>2009</c:v>
                </c:pt>
                <c:pt idx="15">
                  <c:v>2010</c:v>
                </c:pt>
                <c:pt idx="16">
                  <c:v>2011</c:v>
                </c:pt>
                <c:pt idx="17">
                  <c:v>2012</c:v>
                </c:pt>
                <c:pt idx="18">
                  <c:v>2013</c:v>
                </c:pt>
                <c:pt idx="19">
                  <c:v>2014</c:v>
                </c:pt>
                <c:pt idx="20">
                  <c:v>2015</c:v>
                </c:pt>
                <c:pt idx="21">
                  <c:v>2016</c:v>
                </c:pt>
                <c:pt idx="22">
                  <c:v>2017</c:v>
                </c:pt>
                <c:pt idx="23">
                  <c:v>2018</c:v>
                </c:pt>
                <c:pt idx="24">
                  <c:v>2019</c:v>
                </c:pt>
                <c:pt idx="25">
                  <c:v>2020</c:v>
                </c:pt>
                <c:pt idx="26">
                  <c:v>2021</c:v>
                </c:pt>
                <c:pt idx="27">
                  <c:v>2022</c:v>
                </c:pt>
                <c:pt idx="28">
                  <c:v>2023</c:v>
                </c:pt>
                <c:pt idx="29">
                  <c:v>2024</c:v>
                </c:pt>
                <c:pt idx="30">
                  <c:v>2025</c:v>
                </c:pt>
                <c:pt idx="31">
                  <c:v>2026</c:v>
                </c:pt>
                <c:pt idx="32">
                  <c:v>2027</c:v>
                </c:pt>
                <c:pt idx="33">
                  <c:v>2028</c:v>
                </c:pt>
                <c:pt idx="34">
                  <c:v>2029</c:v>
                </c:pt>
                <c:pt idx="35">
                  <c:v>2030</c:v>
                </c:pt>
                <c:pt idx="36">
                  <c:v>2031</c:v>
                </c:pt>
                <c:pt idx="37">
                  <c:v>2032</c:v>
                </c:pt>
                <c:pt idx="38">
                  <c:v>2033</c:v>
                </c:pt>
                <c:pt idx="39">
                  <c:v>2034</c:v>
                </c:pt>
                <c:pt idx="40">
                  <c:v>2035</c:v>
                </c:pt>
                <c:pt idx="41">
                  <c:v>2036</c:v>
                </c:pt>
                <c:pt idx="42">
                  <c:v>2037</c:v>
                </c:pt>
                <c:pt idx="43">
                  <c:v>2038</c:v>
                </c:pt>
                <c:pt idx="44">
                  <c:v>2039</c:v>
                </c:pt>
                <c:pt idx="45">
                  <c:v>2040</c:v>
                </c:pt>
                <c:pt idx="46">
                  <c:v>2041</c:v>
                </c:pt>
                <c:pt idx="47">
                  <c:v>2042</c:v>
                </c:pt>
                <c:pt idx="48">
                  <c:v>2043</c:v>
                </c:pt>
                <c:pt idx="49">
                  <c:v>2044</c:v>
                </c:pt>
                <c:pt idx="50">
                  <c:v>2045</c:v>
                </c:pt>
                <c:pt idx="51">
                  <c:v>2046</c:v>
                </c:pt>
                <c:pt idx="52">
                  <c:v>2047</c:v>
                </c:pt>
                <c:pt idx="53">
                  <c:v>2048</c:v>
                </c:pt>
                <c:pt idx="54">
                  <c:v>2049</c:v>
                </c:pt>
                <c:pt idx="55">
                  <c:v>2050</c:v>
                </c:pt>
              </c:numCache>
            </c:numRef>
          </c:cat>
          <c:val>
            <c:numRef>
              <c:f>ED!$D$67:$D$122</c:f>
              <c:numCache>
                <c:formatCode>0.0</c:formatCode>
                <c:ptCount val="56"/>
                <c:pt idx="0">
                  <c:v>71.958781770000002</c:v>
                </c:pt>
                <c:pt idx="1">
                  <c:v>74.782839189999976</c:v>
                </c:pt>
                <c:pt idx="2">
                  <c:v>75.410338730000007</c:v>
                </c:pt>
                <c:pt idx="3">
                  <c:v>74.86499508</c:v>
                </c:pt>
                <c:pt idx="4">
                  <c:v>76.340601700000008</c:v>
                </c:pt>
                <c:pt idx="5">
                  <c:v>76.172476860000017</c:v>
                </c:pt>
                <c:pt idx="6">
                  <c:v>75.965079860000003</c:v>
                </c:pt>
                <c:pt idx="7">
                  <c:v>77.215048849999988</c:v>
                </c:pt>
                <c:pt idx="8">
                  <c:v>75.878598019999998</c:v>
                </c:pt>
                <c:pt idx="9">
                  <c:v>76.304902039999988</c:v>
                </c:pt>
                <c:pt idx="10">
                  <c:v>75.413214559999986</c:v>
                </c:pt>
                <c:pt idx="11">
                  <c:v>74.958157420000006</c:v>
                </c:pt>
                <c:pt idx="12">
                  <c:v>74.348432209999984</c:v>
                </c:pt>
                <c:pt idx="13">
                  <c:v>71.984716360000007</c:v>
                </c:pt>
                <c:pt idx="14">
                  <c:v>69.777386059999984</c:v>
                </c:pt>
                <c:pt idx="15">
                  <c:v>69.559788400000002</c:v>
                </c:pt>
                <c:pt idx="16">
                  <c:v>68.826450470000012</c:v>
                </c:pt>
                <c:pt idx="17">
                  <c:v>68.220924940000003</c:v>
                </c:pt>
                <c:pt idx="18">
                  <c:v>67.764914279999999</c:v>
                </c:pt>
                <c:pt idx="19">
                  <c:v>67.361228019999999</c:v>
                </c:pt>
                <c:pt idx="20">
                  <c:v>66.93337003000002</c:v>
                </c:pt>
                <c:pt idx="21">
                  <c:v>66.483497069999999</c:v>
                </c:pt>
                <c:pt idx="22">
                  <c:v>66.072109330000004</c:v>
                </c:pt>
                <c:pt idx="23">
                  <c:v>65.720621510000015</c:v>
                </c:pt>
                <c:pt idx="24">
                  <c:v>65.440970620000002</c:v>
                </c:pt>
                <c:pt idx="25">
                  <c:v>65.097018860000006</c:v>
                </c:pt>
                <c:pt idx="26">
                  <c:v>64.70898502999998</c:v>
                </c:pt>
                <c:pt idx="27">
                  <c:v>64.358932619999976</c:v>
                </c:pt>
                <c:pt idx="28">
                  <c:v>64.049110109999972</c:v>
                </c:pt>
                <c:pt idx="29">
                  <c:v>63.772931509999992</c:v>
                </c:pt>
                <c:pt idx="30">
                  <c:v>63.42032227</c:v>
                </c:pt>
                <c:pt idx="31">
                  <c:v>63.016829369999996</c:v>
                </c:pt>
                <c:pt idx="32">
                  <c:v>62.656271270000005</c:v>
                </c:pt>
                <c:pt idx="33">
                  <c:v>62.326634230000003</c:v>
                </c:pt>
                <c:pt idx="34">
                  <c:v>62.03418047000001</c:v>
                </c:pt>
                <c:pt idx="35">
                  <c:v>61.62898227000003</c:v>
                </c:pt>
                <c:pt idx="36">
                  <c:v>61.175377399999988</c:v>
                </c:pt>
                <c:pt idx="37">
                  <c:v>60.774136859999984</c:v>
                </c:pt>
                <c:pt idx="38">
                  <c:v>60.423423119999995</c:v>
                </c:pt>
                <c:pt idx="39">
                  <c:v>60.123697139999983</c:v>
                </c:pt>
                <c:pt idx="40">
                  <c:v>59.767506289999993</c:v>
                </c:pt>
                <c:pt idx="41">
                  <c:v>59.400778860000038</c:v>
                </c:pt>
                <c:pt idx="42">
                  <c:v>59.085294920000003</c:v>
                </c:pt>
                <c:pt idx="43">
                  <c:v>58.813521059999992</c:v>
                </c:pt>
                <c:pt idx="44">
                  <c:v>58.583735659999974</c:v>
                </c:pt>
                <c:pt idx="45">
                  <c:v>58.295530300000024</c:v>
                </c:pt>
                <c:pt idx="46">
                  <c:v>57.94041394000002</c:v>
                </c:pt>
                <c:pt idx="47">
                  <c:v>57.640753609999976</c:v>
                </c:pt>
                <c:pt idx="48">
                  <c:v>57.384611969999966</c:v>
                </c:pt>
                <c:pt idx="49">
                  <c:v>57.171773329999986</c:v>
                </c:pt>
                <c:pt idx="50">
                  <c:v>56.78477212</c:v>
                </c:pt>
                <c:pt idx="51">
                  <c:v>56.282695659999987</c:v>
                </c:pt>
                <c:pt idx="52">
                  <c:v>55.816886560000007</c:v>
                </c:pt>
                <c:pt idx="53">
                  <c:v>55.38830199999996</c:v>
                </c:pt>
                <c:pt idx="54">
                  <c:v>54.9950793</c:v>
                </c:pt>
                <c:pt idx="55">
                  <c:v>54.636714560000001</c:v>
                </c:pt>
              </c:numCache>
            </c:numRef>
          </c:val>
          <c:smooth val="0"/>
        </c:ser>
        <c:ser>
          <c:idx val="6"/>
          <c:order val="3"/>
          <c:tx>
            <c:strRef>
              <c:f>ED!$E$66</c:f>
              <c:strCache>
                <c:ptCount val="1"/>
                <c:pt idx="0">
                  <c:v>CPT2</c:v>
                </c:pt>
              </c:strCache>
            </c:strRef>
          </c:tx>
          <c:spPr>
            <a:ln cmpd="sng">
              <a:solidFill>
                <a:schemeClr val="tx1"/>
              </a:solidFill>
              <a:prstDash val="sysDash"/>
            </a:ln>
          </c:spPr>
          <c:marker>
            <c:symbol val="none"/>
          </c:marker>
          <c:cat>
            <c:numRef>
              <c:f>ED!$A$67:$A$122</c:f>
              <c:numCache>
                <c:formatCode>General</c:formatCode>
                <c:ptCount val="56"/>
                <c:pt idx="0">
                  <c:v>1995</c:v>
                </c:pt>
                <c:pt idx="1">
                  <c:v>1996</c:v>
                </c:pt>
                <c:pt idx="2">
                  <c:v>1997</c:v>
                </c:pt>
                <c:pt idx="3">
                  <c:v>1998</c:v>
                </c:pt>
                <c:pt idx="4">
                  <c:v>1999</c:v>
                </c:pt>
                <c:pt idx="5">
                  <c:v>2000</c:v>
                </c:pt>
                <c:pt idx="6">
                  <c:v>2001</c:v>
                </c:pt>
                <c:pt idx="7">
                  <c:v>2002</c:v>
                </c:pt>
                <c:pt idx="8">
                  <c:v>2003</c:v>
                </c:pt>
                <c:pt idx="9">
                  <c:v>2004</c:v>
                </c:pt>
                <c:pt idx="10">
                  <c:v>2005</c:v>
                </c:pt>
                <c:pt idx="11">
                  <c:v>2006</c:v>
                </c:pt>
                <c:pt idx="12">
                  <c:v>2007</c:v>
                </c:pt>
                <c:pt idx="13">
                  <c:v>2008</c:v>
                </c:pt>
                <c:pt idx="14">
                  <c:v>2009</c:v>
                </c:pt>
                <c:pt idx="15">
                  <c:v>2010</c:v>
                </c:pt>
                <c:pt idx="16">
                  <c:v>2011</c:v>
                </c:pt>
                <c:pt idx="17">
                  <c:v>2012</c:v>
                </c:pt>
                <c:pt idx="18">
                  <c:v>2013</c:v>
                </c:pt>
                <c:pt idx="19">
                  <c:v>2014</c:v>
                </c:pt>
                <c:pt idx="20">
                  <c:v>2015</c:v>
                </c:pt>
                <c:pt idx="21">
                  <c:v>2016</c:v>
                </c:pt>
                <c:pt idx="22">
                  <c:v>2017</c:v>
                </c:pt>
                <c:pt idx="23">
                  <c:v>2018</c:v>
                </c:pt>
                <c:pt idx="24">
                  <c:v>2019</c:v>
                </c:pt>
                <c:pt idx="25">
                  <c:v>2020</c:v>
                </c:pt>
                <c:pt idx="26">
                  <c:v>2021</c:v>
                </c:pt>
                <c:pt idx="27">
                  <c:v>2022</c:v>
                </c:pt>
                <c:pt idx="28">
                  <c:v>2023</c:v>
                </c:pt>
                <c:pt idx="29">
                  <c:v>2024</c:v>
                </c:pt>
                <c:pt idx="30">
                  <c:v>2025</c:v>
                </c:pt>
                <c:pt idx="31">
                  <c:v>2026</c:v>
                </c:pt>
                <c:pt idx="32">
                  <c:v>2027</c:v>
                </c:pt>
                <c:pt idx="33">
                  <c:v>2028</c:v>
                </c:pt>
                <c:pt idx="34">
                  <c:v>2029</c:v>
                </c:pt>
                <c:pt idx="35">
                  <c:v>2030</c:v>
                </c:pt>
                <c:pt idx="36">
                  <c:v>2031</c:v>
                </c:pt>
                <c:pt idx="37">
                  <c:v>2032</c:v>
                </c:pt>
                <c:pt idx="38">
                  <c:v>2033</c:v>
                </c:pt>
                <c:pt idx="39">
                  <c:v>2034</c:v>
                </c:pt>
                <c:pt idx="40">
                  <c:v>2035</c:v>
                </c:pt>
                <c:pt idx="41">
                  <c:v>2036</c:v>
                </c:pt>
                <c:pt idx="42">
                  <c:v>2037</c:v>
                </c:pt>
                <c:pt idx="43">
                  <c:v>2038</c:v>
                </c:pt>
                <c:pt idx="44">
                  <c:v>2039</c:v>
                </c:pt>
                <c:pt idx="45">
                  <c:v>2040</c:v>
                </c:pt>
                <c:pt idx="46">
                  <c:v>2041</c:v>
                </c:pt>
                <c:pt idx="47">
                  <c:v>2042</c:v>
                </c:pt>
                <c:pt idx="48">
                  <c:v>2043</c:v>
                </c:pt>
                <c:pt idx="49">
                  <c:v>2044</c:v>
                </c:pt>
                <c:pt idx="50">
                  <c:v>2045</c:v>
                </c:pt>
                <c:pt idx="51">
                  <c:v>2046</c:v>
                </c:pt>
                <c:pt idx="52">
                  <c:v>2047</c:v>
                </c:pt>
                <c:pt idx="53">
                  <c:v>2048</c:v>
                </c:pt>
                <c:pt idx="54">
                  <c:v>2049</c:v>
                </c:pt>
                <c:pt idx="55">
                  <c:v>2050</c:v>
                </c:pt>
              </c:numCache>
            </c:numRef>
          </c:cat>
          <c:val>
            <c:numRef>
              <c:f>ED!$E$67:$E$122</c:f>
              <c:numCache>
                <c:formatCode>0.0</c:formatCode>
                <c:ptCount val="56"/>
                <c:pt idx="0">
                  <c:v>71.958781770000002</c:v>
                </c:pt>
                <c:pt idx="1">
                  <c:v>74.782839189999976</c:v>
                </c:pt>
                <c:pt idx="2">
                  <c:v>75.410338730000007</c:v>
                </c:pt>
                <c:pt idx="3">
                  <c:v>74.86499508</c:v>
                </c:pt>
                <c:pt idx="4">
                  <c:v>76.340601700000008</c:v>
                </c:pt>
                <c:pt idx="5">
                  <c:v>76.172476860000017</c:v>
                </c:pt>
                <c:pt idx="6">
                  <c:v>75.965079860000003</c:v>
                </c:pt>
                <c:pt idx="7">
                  <c:v>77.215048849999988</c:v>
                </c:pt>
                <c:pt idx="8">
                  <c:v>75.878598019999998</c:v>
                </c:pt>
                <c:pt idx="9">
                  <c:v>76.304902039999988</c:v>
                </c:pt>
                <c:pt idx="10">
                  <c:v>75.413214559999986</c:v>
                </c:pt>
                <c:pt idx="11">
                  <c:v>74.958157420000006</c:v>
                </c:pt>
                <c:pt idx="12">
                  <c:v>74.348432209999984</c:v>
                </c:pt>
                <c:pt idx="13">
                  <c:v>71.984716360000007</c:v>
                </c:pt>
                <c:pt idx="14">
                  <c:v>69.777386059999984</c:v>
                </c:pt>
                <c:pt idx="15">
                  <c:v>69.559788400000002</c:v>
                </c:pt>
                <c:pt idx="16">
                  <c:v>68.739667449999999</c:v>
                </c:pt>
                <c:pt idx="17">
                  <c:v>67.987399019999998</c:v>
                </c:pt>
                <c:pt idx="18">
                  <c:v>67.404684229999987</c:v>
                </c:pt>
                <c:pt idx="19">
                  <c:v>66.873811360000019</c:v>
                </c:pt>
                <c:pt idx="20">
                  <c:v>66.298119889999995</c:v>
                </c:pt>
                <c:pt idx="21">
                  <c:v>65.688318699999982</c:v>
                </c:pt>
                <c:pt idx="22">
                  <c:v>65.114023879999991</c:v>
                </c:pt>
                <c:pt idx="23">
                  <c:v>64.591976050000014</c:v>
                </c:pt>
                <c:pt idx="24">
                  <c:v>64.141042659999968</c:v>
                </c:pt>
                <c:pt idx="25">
                  <c:v>63.579985449999988</c:v>
                </c:pt>
                <c:pt idx="26">
                  <c:v>62.954452590000017</c:v>
                </c:pt>
                <c:pt idx="27">
                  <c:v>62.373128829999999</c:v>
                </c:pt>
                <c:pt idx="28">
                  <c:v>61.843543940000004</c:v>
                </c:pt>
                <c:pt idx="29">
                  <c:v>61.362953159999996</c:v>
                </c:pt>
                <c:pt idx="30">
                  <c:v>60.831818340000012</c:v>
                </c:pt>
                <c:pt idx="31">
                  <c:v>60.214487210000001</c:v>
                </c:pt>
                <c:pt idx="32">
                  <c:v>59.618027790000014</c:v>
                </c:pt>
                <c:pt idx="33">
                  <c:v>59.065328490000027</c:v>
                </c:pt>
                <c:pt idx="34">
                  <c:v>58.566212900000004</c:v>
                </c:pt>
                <c:pt idx="35">
                  <c:v>57.900064169999993</c:v>
                </c:pt>
                <c:pt idx="36">
                  <c:v>57.151072499999991</c:v>
                </c:pt>
                <c:pt idx="37">
                  <c:v>56.485068199999986</c:v>
                </c:pt>
                <c:pt idx="38">
                  <c:v>55.889066709999994</c:v>
                </c:pt>
                <c:pt idx="39">
                  <c:v>55.363524690000013</c:v>
                </c:pt>
                <c:pt idx="40">
                  <c:v>54.68559007999999</c:v>
                </c:pt>
                <c:pt idx="41">
                  <c:v>53.888993369999994</c:v>
                </c:pt>
                <c:pt idx="42">
                  <c:v>53.141649780000009</c:v>
                </c:pt>
                <c:pt idx="43">
                  <c:v>52.454877750000001</c:v>
                </c:pt>
                <c:pt idx="44">
                  <c:v>51.826157760000015</c:v>
                </c:pt>
                <c:pt idx="45">
                  <c:v>51.049844800000024</c:v>
                </c:pt>
                <c:pt idx="46">
                  <c:v>50.213947990000008</c:v>
                </c:pt>
                <c:pt idx="47">
                  <c:v>49.452322980000005</c:v>
                </c:pt>
                <c:pt idx="48">
                  <c:v>48.759136770000019</c:v>
                </c:pt>
                <c:pt idx="49">
                  <c:v>48.136594190000004</c:v>
                </c:pt>
                <c:pt idx="50">
                  <c:v>47.311496620000035</c:v>
                </c:pt>
                <c:pt idx="51">
                  <c:v>46.460301680000001</c:v>
                </c:pt>
                <c:pt idx="52">
                  <c:v>45.691434220000005</c:v>
                </c:pt>
                <c:pt idx="53">
                  <c:v>44.997056569999991</c:v>
                </c:pt>
                <c:pt idx="54">
                  <c:v>44.376594960000006</c:v>
                </c:pt>
                <c:pt idx="55">
                  <c:v>43.82971774</c:v>
                </c:pt>
              </c:numCache>
            </c:numRef>
          </c:val>
          <c:smooth val="0"/>
        </c:ser>
        <c:ser>
          <c:idx val="7"/>
          <c:order val="4"/>
          <c:tx>
            <c:strRef>
              <c:f>ED!$F$66</c:f>
              <c:strCache>
                <c:ptCount val="1"/>
                <c:pt idx="0">
                  <c:v>CPT2a</c:v>
                </c:pt>
              </c:strCache>
            </c:strRef>
          </c:tx>
          <c:spPr>
            <a:ln cmpd="dbl">
              <a:solidFill>
                <a:schemeClr val="tx1"/>
              </a:solidFill>
              <a:prstDash val="sysDash"/>
            </a:ln>
          </c:spPr>
          <c:marker>
            <c:symbol val="none"/>
          </c:marker>
          <c:cat>
            <c:numRef>
              <c:f>ED!$A$67:$A$122</c:f>
              <c:numCache>
                <c:formatCode>General</c:formatCode>
                <c:ptCount val="56"/>
                <c:pt idx="0">
                  <c:v>1995</c:v>
                </c:pt>
                <c:pt idx="1">
                  <c:v>1996</c:v>
                </c:pt>
                <c:pt idx="2">
                  <c:v>1997</c:v>
                </c:pt>
                <c:pt idx="3">
                  <c:v>1998</c:v>
                </c:pt>
                <c:pt idx="4">
                  <c:v>1999</c:v>
                </c:pt>
                <c:pt idx="5">
                  <c:v>2000</c:v>
                </c:pt>
                <c:pt idx="6">
                  <c:v>2001</c:v>
                </c:pt>
                <c:pt idx="7">
                  <c:v>2002</c:v>
                </c:pt>
                <c:pt idx="8">
                  <c:v>2003</c:v>
                </c:pt>
                <c:pt idx="9">
                  <c:v>2004</c:v>
                </c:pt>
                <c:pt idx="10">
                  <c:v>2005</c:v>
                </c:pt>
                <c:pt idx="11">
                  <c:v>2006</c:v>
                </c:pt>
                <c:pt idx="12">
                  <c:v>2007</c:v>
                </c:pt>
                <c:pt idx="13">
                  <c:v>2008</c:v>
                </c:pt>
                <c:pt idx="14">
                  <c:v>2009</c:v>
                </c:pt>
                <c:pt idx="15">
                  <c:v>2010</c:v>
                </c:pt>
                <c:pt idx="16">
                  <c:v>2011</c:v>
                </c:pt>
                <c:pt idx="17">
                  <c:v>2012</c:v>
                </c:pt>
                <c:pt idx="18">
                  <c:v>2013</c:v>
                </c:pt>
                <c:pt idx="19">
                  <c:v>2014</c:v>
                </c:pt>
                <c:pt idx="20">
                  <c:v>2015</c:v>
                </c:pt>
                <c:pt idx="21">
                  <c:v>2016</c:v>
                </c:pt>
                <c:pt idx="22">
                  <c:v>2017</c:v>
                </c:pt>
                <c:pt idx="23">
                  <c:v>2018</c:v>
                </c:pt>
                <c:pt idx="24">
                  <c:v>2019</c:v>
                </c:pt>
                <c:pt idx="25">
                  <c:v>2020</c:v>
                </c:pt>
                <c:pt idx="26">
                  <c:v>2021</c:v>
                </c:pt>
                <c:pt idx="27">
                  <c:v>2022</c:v>
                </c:pt>
                <c:pt idx="28">
                  <c:v>2023</c:v>
                </c:pt>
                <c:pt idx="29">
                  <c:v>2024</c:v>
                </c:pt>
                <c:pt idx="30">
                  <c:v>2025</c:v>
                </c:pt>
                <c:pt idx="31">
                  <c:v>2026</c:v>
                </c:pt>
                <c:pt idx="32">
                  <c:v>2027</c:v>
                </c:pt>
                <c:pt idx="33">
                  <c:v>2028</c:v>
                </c:pt>
                <c:pt idx="34">
                  <c:v>2029</c:v>
                </c:pt>
                <c:pt idx="35">
                  <c:v>2030</c:v>
                </c:pt>
                <c:pt idx="36">
                  <c:v>2031</c:v>
                </c:pt>
                <c:pt idx="37">
                  <c:v>2032</c:v>
                </c:pt>
                <c:pt idx="38">
                  <c:v>2033</c:v>
                </c:pt>
                <c:pt idx="39">
                  <c:v>2034</c:v>
                </c:pt>
                <c:pt idx="40">
                  <c:v>2035</c:v>
                </c:pt>
                <c:pt idx="41">
                  <c:v>2036</c:v>
                </c:pt>
                <c:pt idx="42">
                  <c:v>2037</c:v>
                </c:pt>
                <c:pt idx="43">
                  <c:v>2038</c:v>
                </c:pt>
                <c:pt idx="44">
                  <c:v>2039</c:v>
                </c:pt>
                <c:pt idx="45">
                  <c:v>2040</c:v>
                </c:pt>
                <c:pt idx="46">
                  <c:v>2041</c:v>
                </c:pt>
                <c:pt idx="47">
                  <c:v>2042</c:v>
                </c:pt>
                <c:pt idx="48">
                  <c:v>2043</c:v>
                </c:pt>
                <c:pt idx="49">
                  <c:v>2044</c:v>
                </c:pt>
                <c:pt idx="50">
                  <c:v>2045</c:v>
                </c:pt>
                <c:pt idx="51">
                  <c:v>2046</c:v>
                </c:pt>
                <c:pt idx="52">
                  <c:v>2047</c:v>
                </c:pt>
                <c:pt idx="53">
                  <c:v>2048</c:v>
                </c:pt>
                <c:pt idx="54">
                  <c:v>2049</c:v>
                </c:pt>
                <c:pt idx="55">
                  <c:v>2050</c:v>
                </c:pt>
              </c:numCache>
            </c:numRef>
          </c:cat>
          <c:val>
            <c:numRef>
              <c:f>ED!$F$67:$F$122</c:f>
              <c:numCache>
                <c:formatCode>0.0</c:formatCode>
                <c:ptCount val="56"/>
                <c:pt idx="0">
                  <c:v>71.958781770000002</c:v>
                </c:pt>
                <c:pt idx="1">
                  <c:v>74.782839189999976</c:v>
                </c:pt>
                <c:pt idx="2">
                  <c:v>75.410338730000007</c:v>
                </c:pt>
                <c:pt idx="3">
                  <c:v>74.86499508</c:v>
                </c:pt>
                <c:pt idx="4">
                  <c:v>76.340601700000008</c:v>
                </c:pt>
                <c:pt idx="5">
                  <c:v>76.172476860000017</c:v>
                </c:pt>
                <c:pt idx="6">
                  <c:v>75.965079860000003</c:v>
                </c:pt>
                <c:pt idx="7">
                  <c:v>77.215048849999988</c:v>
                </c:pt>
                <c:pt idx="8">
                  <c:v>75.878598019999998</c:v>
                </c:pt>
                <c:pt idx="9">
                  <c:v>76.304902039999988</c:v>
                </c:pt>
                <c:pt idx="10">
                  <c:v>75.413214559999986</c:v>
                </c:pt>
                <c:pt idx="11">
                  <c:v>74.958157420000006</c:v>
                </c:pt>
                <c:pt idx="12">
                  <c:v>74.348432209999984</c:v>
                </c:pt>
                <c:pt idx="13">
                  <c:v>71.984716360000007</c:v>
                </c:pt>
                <c:pt idx="14">
                  <c:v>69.777386059999984</c:v>
                </c:pt>
                <c:pt idx="15">
                  <c:v>69.559788400000002</c:v>
                </c:pt>
                <c:pt idx="16">
                  <c:v>68.891346410000011</c:v>
                </c:pt>
                <c:pt idx="17">
                  <c:v>68.453512630000006</c:v>
                </c:pt>
                <c:pt idx="18">
                  <c:v>68.095366249999998</c:v>
                </c:pt>
                <c:pt idx="19">
                  <c:v>67.783600820000018</c:v>
                </c:pt>
                <c:pt idx="20">
                  <c:v>67.397505510000002</c:v>
                </c:pt>
                <c:pt idx="21">
                  <c:v>66.927143700000016</c:v>
                </c:pt>
                <c:pt idx="22">
                  <c:v>66.446221929999993</c:v>
                </c:pt>
                <c:pt idx="23">
                  <c:v>65.975064540000005</c:v>
                </c:pt>
                <c:pt idx="24">
                  <c:v>65.545886229999994</c:v>
                </c:pt>
                <c:pt idx="25">
                  <c:v>64.955677600000001</c:v>
                </c:pt>
                <c:pt idx="26">
                  <c:v>64.280595329999997</c:v>
                </c:pt>
                <c:pt idx="27">
                  <c:v>63.618904649999955</c:v>
                </c:pt>
                <c:pt idx="28">
                  <c:v>62.981949139999998</c:v>
                </c:pt>
                <c:pt idx="29">
                  <c:v>62.373538020000019</c:v>
                </c:pt>
                <c:pt idx="30">
                  <c:v>61.640431439999993</c:v>
                </c:pt>
                <c:pt idx="31">
                  <c:v>60.8184921</c:v>
                </c:pt>
                <c:pt idx="32">
                  <c:v>60.045011290000012</c:v>
                </c:pt>
                <c:pt idx="33">
                  <c:v>59.306198130000006</c:v>
                </c:pt>
                <c:pt idx="34">
                  <c:v>58.627514310000009</c:v>
                </c:pt>
                <c:pt idx="35">
                  <c:v>57.71425621000003</c:v>
                </c:pt>
                <c:pt idx="36">
                  <c:v>56.735375530000006</c:v>
                </c:pt>
                <c:pt idx="37">
                  <c:v>55.847219430000003</c:v>
                </c:pt>
                <c:pt idx="38">
                  <c:v>55.049119520000005</c:v>
                </c:pt>
                <c:pt idx="39">
                  <c:v>54.339014759999991</c:v>
                </c:pt>
                <c:pt idx="40">
                  <c:v>53.47852504999998</c:v>
                </c:pt>
                <c:pt idx="41">
                  <c:v>52.601697990000012</c:v>
                </c:pt>
                <c:pt idx="42">
                  <c:v>51.811631150000018</c:v>
                </c:pt>
                <c:pt idx="43">
                  <c:v>51.091618189999998</c:v>
                </c:pt>
                <c:pt idx="44">
                  <c:v>50.439610249999987</c:v>
                </c:pt>
                <c:pt idx="45">
                  <c:v>49.560693199999996</c:v>
                </c:pt>
                <c:pt idx="46">
                  <c:v>48.640482340000005</c:v>
                </c:pt>
                <c:pt idx="47">
                  <c:v>47.801051199999996</c:v>
                </c:pt>
                <c:pt idx="48">
                  <c:v>47.042293139999956</c:v>
                </c:pt>
                <c:pt idx="49">
                  <c:v>46.365308069999998</c:v>
                </c:pt>
                <c:pt idx="50">
                  <c:v>45.49156017</c:v>
                </c:pt>
                <c:pt idx="51">
                  <c:v>44.608253449999992</c:v>
                </c:pt>
                <c:pt idx="52">
                  <c:v>43.810317570000024</c:v>
                </c:pt>
                <c:pt idx="53">
                  <c:v>43.084865339999993</c:v>
                </c:pt>
                <c:pt idx="54">
                  <c:v>42.429105409999984</c:v>
                </c:pt>
                <c:pt idx="55">
                  <c:v>41.842673950000005</c:v>
                </c:pt>
              </c:numCache>
            </c:numRef>
          </c:val>
          <c:smooth val="0"/>
        </c:ser>
        <c:ser>
          <c:idx val="8"/>
          <c:order val="5"/>
          <c:tx>
            <c:strRef>
              <c:f>ED!$O$66</c:f>
              <c:strCache>
                <c:ptCount val="1"/>
                <c:pt idx="0">
                  <c:v>CPT2b</c:v>
                </c:pt>
              </c:strCache>
            </c:strRef>
          </c:tx>
          <c:spPr>
            <a:ln cmpd="thickThin">
              <a:solidFill>
                <a:schemeClr val="tx1"/>
              </a:solidFill>
              <a:prstDash val="sysDash"/>
            </a:ln>
          </c:spPr>
          <c:marker>
            <c:symbol val="none"/>
          </c:marker>
          <c:cat>
            <c:numRef>
              <c:f>ED!$A$67:$A$122</c:f>
              <c:numCache>
                <c:formatCode>General</c:formatCode>
                <c:ptCount val="56"/>
                <c:pt idx="0">
                  <c:v>1995</c:v>
                </c:pt>
                <c:pt idx="1">
                  <c:v>1996</c:v>
                </c:pt>
                <c:pt idx="2">
                  <c:v>1997</c:v>
                </c:pt>
                <c:pt idx="3">
                  <c:v>1998</c:v>
                </c:pt>
                <c:pt idx="4">
                  <c:v>1999</c:v>
                </c:pt>
                <c:pt idx="5">
                  <c:v>2000</c:v>
                </c:pt>
                <c:pt idx="6">
                  <c:v>2001</c:v>
                </c:pt>
                <c:pt idx="7">
                  <c:v>2002</c:v>
                </c:pt>
                <c:pt idx="8">
                  <c:v>2003</c:v>
                </c:pt>
                <c:pt idx="9">
                  <c:v>2004</c:v>
                </c:pt>
                <c:pt idx="10">
                  <c:v>2005</c:v>
                </c:pt>
                <c:pt idx="11">
                  <c:v>2006</c:v>
                </c:pt>
                <c:pt idx="12">
                  <c:v>2007</c:v>
                </c:pt>
                <c:pt idx="13">
                  <c:v>2008</c:v>
                </c:pt>
                <c:pt idx="14">
                  <c:v>2009</c:v>
                </c:pt>
                <c:pt idx="15">
                  <c:v>2010</c:v>
                </c:pt>
                <c:pt idx="16">
                  <c:v>2011</c:v>
                </c:pt>
                <c:pt idx="17">
                  <c:v>2012</c:v>
                </c:pt>
                <c:pt idx="18">
                  <c:v>2013</c:v>
                </c:pt>
                <c:pt idx="19">
                  <c:v>2014</c:v>
                </c:pt>
                <c:pt idx="20">
                  <c:v>2015</c:v>
                </c:pt>
                <c:pt idx="21">
                  <c:v>2016</c:v>
                </c:pt>
                <c:pt idx="22">
                  <c:v>2017</c:v>
                </c:pt>
                <c:pt idx="23">
                  <c:v>2018</c:v>
                </c:pt>
                <c:pt idx="24">
                  <c:v>2019</c:v>
                </c:pt>
                <c:pt idx="25">
                  <c:v>2020</c:v>
                </c:pt>
                <c:pt idx="26">
                  <c:v>2021</c:v>
                </c:pt>
                <c:pt idx="27">
                  <c:v>2022</c:v>
                </c:pt>
                <c:pt idx="28">
                  <c:v>2023</c:v>
                </c:pt>
                <c:pt idx="29">
                  <c:v>2024</c:v>
                </c:pt>
                <c:pt idx="30">
                  <c:v>2025</c:v>
                </c:pt>
                <c:pt idx="31">
                  <c:v>2026</c:v>
                </c:pt>
                <c:pt idx="32">
                  <c:v>2027</c:v>
                </c:pt>
                <c:pt idx="33">
                  <c:v>2028</c:v>
                </c:pt>
                <c:pt idx="34">
                  <c:v>2029</c:v>
                </c:pt>
                <c:pt idx="35">
                  <c:v>2030</c:v>
                </c:pt>
                <c:pt idx="36">
                  <c:v>2031</c:v>
                </c:pt>
                <c:pt idx="37">
                  <c:v>2032</c:v>
                </c:pt>
                <c:pt idx="38">
                  <c:v>2033</c:v>
                </c:pt>
                <c:pt idx="39">
                  <c:v>2034</c:v>
                </c:pt>
                <c:pt idx="40">
                  <c:v>2035</c:v>
                </c:pt>
                <c:pt idx="41">
                  <c:v>2036</c:v>
                </c:pt>
                <c:pt idx="42">
                  <c:v>2037</c:v>
                </c:pt>
                <c:pt idx="43">
                  <c:v>2038</c:v>
                </c:pt>
                <c:pt idx="44">
                  <c:v>2039</c:v>
                </c:pt>
                <c:pt idx="45">
                  <c:v>2040</c:v>
                </c:pt>
                <c:pt idx="46">
                  <c:v>2041</c:v>
                </c:pt>
                <c:pt idx="47">
                  <c:v>2042</c:v>
                </c:pt>
                <c:pt idx="48">
                  <c:v>2043</c:v>
                </c:pt>
                <c:pt idx="49">
                  <c:v>2044</c:v>
                </c:pt>
                <c:pt idx="50">
                  <c:v>2045</c:v>
                </c:pt>
                <c:pt idx="51">
                  <c:v>2046</c:v>
                </c:pt>
                <c:pt idx="52">
                  <c:v>2047</c:v>
                </c:pt>
                <c:pt idx="53">
                  <c:v>2048</c:v>
                </c:pt>
                <c:pt idx="54">
                  <c:v>2049</c:v>
                </c:pt>
                <c:pt idx="55">
                  <c:v>2050</c:v>
                </c:pt>
              </c:numCache>
            </c:numRef>
          </c:cat>
          <c:val>
            <c:numRef>
              <c:f>ED!$O$67:$O$122</c:f>
              <c:numCache>
                <c:formatCode>0.0</c:formatCode>
                <c:ptCount val="56"/>
                <c:pt idx="0">
                  <c:v>71.958781770000002</c:v>
                </c:pt>
                <c:pt idx="1">
                  <c:v>74.782839189999976</c:v>
                </c:pt>
                <c:pt idx="2">
                  <c:v>75.410338730000007</c:v>
                </c:pt>
                <c:pt idx="3">
                  <c:v>74.86499508</c:v>
                </c:pt>
                <c:pt idx="4">
                  <c:v>76.340601700000008</c:v>
                </c:pt>
                <c:pt idx="5">
                  <c:v>76.172476860000017</c:v>
                </c:pt>
                <c:pt idx="6">
                  <c:v>75.965079860000003</c:v>
                </c:pt>
                <c:pt idx="7">
                  <c:v>77.215048849999988</c:v>
                </c:pt>
                <c:pt idx="8">
                  <c:v>75.878598019999998</c:v>
                </c:pt>
                <c:pt idx="9">
                  <c:v>76.304902039999988</c:v>
                </c:pt>
                <c:pt idx="10">
                  <c:v>75.413214559999986</c:v>
                </c:pt>
                <c:pt idx="11">
                  <c:v>74.958157420000006</c:v>
                </c:pt>
                <c:pt idx="12">
                  <c:v>74.348432209999984</c:v>
                </c:pt>
                <c:pt idx="13">
                  <c:v>71.984716360000007</c:v>
                </c:pt>
                <c:pt idx="14">
                  <c:v>69.777386059999984</c:v>
                </c:pt>
                <c:pt idx="15">
                  <c:v>69.559788400000002</c:v>
                </c:pt>
                <c:pt idx="16">
                  <c:v>68.788043210000012</c:v>
                </c:pt>
                <c:pt idx="17">
                  <c:v>68.255183160000001</c:v>
                </c:pt>
                <c:pt idx="18">
                  <c:v>67.805962649999998</c:v>
                </c:pt>
                <c:pt idx="19">
                  <c:v>67.405692970000018</c:v>
                </c:pt>
                <c:pt idx="20">
                  <c:v>66.947087600000003</c:v>
                </c:pt>
                <c:pt idx="21">
                  <c:v>66.443596039999989</c:v>
                </c:pt>
                <c:pt idx="22">
                  <c:v>65.963842869999979</c:v>
                </c:pt>
                <c:pt idx="23">
                  <c:v>65.520661150000009</c:v>
                </c:pt>
                <c:pt idx="24">
                  <c:v>65.135526200000001</c:v>
                </c:pt>
                <c:pt idx="25">
                  <c:v>64.625791339999992</c:v>
                </c:pt>
                <c:pt idx="26">
                  <c:v>64.097779840000001</c:v>
                </c:pt>
                <c:pt idx="27">
                  <c:v>63.598497070000001</c:v>
                </c:pt>
                <c:pt idx="28">
                  <c:v>63.141512680000005</c:v>
                </c:pt>
                <c:pt idx="29">
                  <c:v>62.719876340000006</c:v>
                </c:pt>
                <c:pt idx="30">
                  <c:v>62.236293300000007</c:v>
                </c:pt>
                <c:pt idx="31">
                  <c:v>61.681095990000003</c:v>
                </c:pt>
                <c:pt idx="32">
                  <c:v>61.147468000000003</c:v>
                </c:pt>
                <c:pt idx="33">
                  <c:v>60.647947280000011</c:v>
                </c:pt>
                <c:pt idx="34">
                  <c:v>60.198180629999989</c:v>
                </c:pt>
                <c:pt idx="35">
                  <c:v>59.560434250000007</c:v>
                </c:pt>
                <c:pt idx="36">
                  <c:v>58.847856350000001</c:v>
                </c:pt>
                <c:pt idx="37">
                  <c:v>58.21620665999999</c:v>
                </c:pt>
                <c:pt idx="38">
                  <c:v>57.650993509999985</c:v>
                </c:pt>
                <c:pt idx="39">
                  <c:v>57.150903699999986</c:v>
                </c:pt>
                <c:pt idx="40">
                  <c:v>56.501664060000003</c:v>
                </c:pt>
                <c:pt idx="41">
                  <c:v>55.773532740000036</c:v>
                </c:pt>
                <c:pt idx="42">
                  <c:v>55.097496750000005</c:v>
                </c:pt>
                <c:pt idx="43">
                  <c:v>54.47603323999995</c:v>
                </c:pt>
                <c:pt idx="44">
                  <c:v>53.908078139999979</c:v>
                </c:pt>
                <c:pt idx="45">
                  <c:v>53.202825490000009</c:v>
                </c:pt>
                <c:pt idx="46">
                  <c:v>52.475214299999998</c:v>
                </c:pt>
                <c:pt idx="47">
                  <c:v>51.820395589999983</c:v>
                </c:pt>
                <c:pt idx="48">
                  <c:v>51.232401670000016</c:v>
                </c:pt>
                <c:pt idx="49">
                  <c:v>50.713389730000003</c:v>
                </c:pt>
                <c:pt idx="50">
                  <c:v>50.008206389999991</c:v>
                </c:pt>
                <c:pt idx="51">
                  <c:v>49.287468829999973</c:v>
                </c:pt>
                <c:pt idx="52">
                  <c:v>48.645171940000012</c:v>
                </c:pt>
                <c:pt idx="53">
                  <c:v>48.069397749999979</c:v>
                </c:pt>
                <c:pt idx="54">
                  <c:v>47.558052230000023</c:v>
                </c:pt>
                <c:pt idx="55">
                  <c:v>47.10978380000001</c:v>
                </c:pt>
              </c:numCache>
            </c:numRef>
          </c:val>
          <c:smooth val="0"/>
        </c:ser>
        <c:ser>
          <c:idx val="10"/>
          <c:order val="6"/>
          <c:tx>
            <c:strRef>
              <c:f>ED!$G$66</c:f>
              <c:strCache>
                <c:ptCount val="1"/>
                <c:pt idx="0">
                  <c:v>CPT3</c:v>
                </c:pt>
              </c:strCache>
            </c:strRef>
          </c:tx>
          <c:spPr>
            <a:ln cmpd="sng">
              <a:solidFill>
                <a:schemeClr val="tx1"/>
              </a:solidFill>
              <a:prstDash val="dash"/>
            </a:ln>
          </c:spPr>
          <c:marker>
            <c:symbol val="none"/>
          </c:marker>
          <c:cat>
            <c:numRef>
              <c:f>ED!$A$67:$A$122</c:f>
              <c:numCache>
                <c:formatCode>General</c:formatCode>
                <c:ptCount val="56"/>
                <c:pt idx="0">
                  <c:v>1995</c:v>
                </c:pt>
                <c:pt idx="1">
                  <c:v>1996</c:v>
                </c:pt>
                <c:pt idx="2">
                  <c:v>1997</c:v>
                </c:pt>
                <c:pt idx="3">
                  <c:v>1998</c:v>
                </c:pt>
                <c:pt idx="4">
                  <c:v>1999</c:v>
                </c:pt>
                <c:pt idx="5">
                  <c:v>2000</c:v>
                </c:pt>
                <c:pt idx="6">
                  <c:v>2001</c:v>
                </c:pt>
                <c:pt idx="7">
                  <c:v>2002</c:v>
                </c:pt>
                <c:pt idx="8">
                  <c:v>2003</c:v>
                </c:pt>
                <c:pt idx="9">
                  <c:v>2004</c:v>
                </c:pt>
                <c:pt idx="10">
                  <c:v>2005</c:v>
                </c:pt>
                <c:pt idx="11">
                  <c:v>2006</c:v>
                </c:pt>
                <c:pt idx="12">
                  <c:v>2007</c:v>
                </c:pt>
                <c:pt idx="13">
                  <c:v>2008</c:v>
                </c:pt>
                <c:pt idx="14">
                  <c:v>2009</c:v>
                </c:pt>
                <c:pt idx="15">
                  <c:v>2010</c:v>
                </c:pt>
                <c:pt idx="16">
                  <c:v>2011</c:v>
                </c:pt>
                <c:pt idx="17">
                  <c:v>2012</c:v>
                </c:pt>
                <c:pt idx="18">
                  <c:v>2013</c:v>
                </c:pt>
                <c:pt idx="19">
                  <c:v>2014</c:v>
                </c:pt>
                <c:pt idx="20">
                  <c:v>2015</c:v>
                </c:pt>
                <c:pt idx="21">
                  <c:v>2016</c:v>
                </c:pt>
                <c:pt idx="22">
                  <c:v>2017</c:v>
                </c:pt>
                <c:pt idx="23">
                  <c:v>2018</c:v>
                </c:pt>
                <c:pt idx="24">
                  <c:v>2019</c:v>
                </c:pt>
                <c:pt idx="25">
                  <c:v>2020</c:v>
                </c:pt>
                <c:pt idx="26">
                  <c:v>2021</c:v>
                </c:pt>
                <c:pt idx="27">
                  <c:v>2022</c:v>
                </c:pt>
                <c:pt idx="28">
                  <c:v>2023</c:v>
                </c:pt>
                <c:pt idx="29">
                  <c:v>2024</c:v>
                </c:pt>
                <c:pt idx="30">
                  <c:v>2025</c:v>
                </c:pt>
                <c:pt idx="31">
                  <c:v>2026</c:v>
                </c:pt>
                <c:pt idx="32">
                  <c:v>2027</c:v>
                </c:pt>
                <c:pt idx="33">
                  <c:v>2028</c:v>
                </c:pt>
                <c:pt idx="34">
                  <c:v>2029</c:v>
                </c:pt>
                <c:pt idx="35">
                  <c:v>2030</c:v>
                </c:pt>
                <c:pt idx="36">
                  <c:v>2031</c:v>
                </c:pt>
                <c:pt idx="37">
                  <c:v>2032</c:v>
                </c:pt>
                <c:pt idx="38">
                  <c:v>2033</c:v>
                </c:pt>
                <c:pt idx="39">
                  <c:v>2034</c:v>
                </c:pt>
                <c:pt idx="40">
                  <c:v>2035</c:v>
                </c:pt>
                <c:pt idx="41">
                  <c:v>2036</c:v>
                </c:pt>
                <c:pt idx="42">
                  <c:v>2037</c:v>
                </c:pt>
                <c:pt idx="43">
                  <c:v>2038</c:v>
                </c:pt>
                <c:pt idx="44">
                  <c:v>2039</c:v>
                </c:pt>
                <c:pt idx="45">
                  <c:v>2040</c:v>
                </c:pt>
                <c:pt idx="46">
                  <c:v>2041</c:v>
                </c:pt>
                <c:pt idx="47">
                  <c:v>2042</c:v>
                </c:pt>
                <c:pt idx="48">
                  <c:v>2043</c:v>
                </c:pt>
                <c:pt idx="49">
                  <c:v>2044</c:v>
                </c:pt>
                <c:pt idx="50">
                  <c:v>2045</c:v>
                </c:pt>
                <c:pt idx="51">
                  <c:v>2046</c:v>
                </c:pt>
                <c:pt idx="52">
                  <c:v>2047</c:v>
                </c:pt>
                <c:pt idx="53">
                  <c:v>2048</c:v>
                </c:pt>
                <c:pt idx="54">
                  <c:v>2049</c:v>
                </c:pt>
                <c:pt idx="55">
                  <c:v>2050</c:v>
                </c:pt>
              </c:numCache>
            </c:numRef>
          </c:cat>
          <c:val>
            <c:numRef>
              <c:f>ED!$G$67:$G$122</c:f>
              <c:numCache>
                <c:formatCode>0.0</c:formatCode>
                <c:ptCount val="56"/>
                <c:pt idx="0">
                  <c:v>71.958781770000002</c:v>
                </c:pt>
                <c:pt idx="1">
                  <c:v>74.782839189999976</c:v>
                </c:pt>
                <c:pt idx="2">
                  <c:v>75.410338730000007</c:v>
                </c:pt>
                <c:pt idx="3">
                  <c:v>74.86499508</c:v>
                </c:pt>
                <c:pt idx="4">
                  <c:v>76.340601700000008</c:v>
                </c:pt>
                <c:pt idx="5">
                  <c:v>76.172476860000017</c:v>
                </c:pt>
                <c:pt idx="6">
                  <c:v>75.965079860000003</c:v>
                </c:pt>
                <c:pt idx="7">
                  <c:v>77.215048849999988</c:v>
                </c:pt>
                <c:pt idx="8">
                  <c:v>75.878598019999998</c:v>
                </c:pt>
                <c:pt idx="9">
                  <c:v>76.304902039999988</c:v>
                </c:pt>
                <c:pt idx="10">
                  <c:v>75.413214559999986</c:v>
                </c:pt>
                <c:pt idx="11">
                  <c:v>74.958157420000006</c:v>
                </c:pt>
                <c:pt idx="12">
                  <c:v>74.348432209999984</c:v>
                </c:pt>
                <c:pt idx="13">
                  <c:v>71.984716360000007</c:v>
                </c:pt>
                <c:pt idx="14">
                  <c:v>69.777386059999984</c:v>
                </c:pt>
                <c:pt idx="15">
                  <c:v>69.559788400000002</c:v>
                </c:pt>
                <c:pt idx="16">
                  <c:v>68.60759800999999</c:v>
                </c:pt>
                <c:pt idx="17">
                  <c:v>67.463981889999999</c:v>
                </c:pt>
                <c:pt idx="18">
                  <c:v>66.626179689999987</c:v>
                </c:pt>
                <c:pt idx="19">
                  <c:v>65.839290689999999</c:v>
                </c:pt>
                <c:pt idx="20">
                  <c:v>64.993339920000011</c:v>
                </c:pt>
                <c:pt idx="21">
                  <c:v>64.080363660000003</c:v>
                </c:pt>
                <c:pt idx="22">
                  <c:v>63.173007629999994</c:v>
                </c:pt>
                <c:pt idx="23">
                  <c:v>62.305745309999999</c:v>
                </c:pt>
                <c:pt idx="24">
                  <c:v>61.512214359999994</c:v>
                </c:pt>
                <c:pt idx="25">
                  <c:v>60.611721309999993</c:v>
                </c:pt>
                <c:pt idx="26">
                  <c:v>59.670646540000014</c:v>
                </c:pt>
                <c:pt idx="27">
                  <c:v>58.781021589999995</c:v>
                </c:pt>
                <c:pt idx="28">
                  <c:v>57.971091320000006</c:v>
                </c:pt>
                <c:pt idx="29">
                  <c:v>57.242723670000004</c:v>
                </c:pt>
                <c:pt idx="30">
                  <c:v>56.442804780000024</c:v>
                </c:pt>
                <c:pt idx="31">
                  <c:v>55.461644740000004</c:v>
                </c:pt>
                <c:pt idx="32">
                  <c:v>54.499868530000008</c:v>
                </c:pt>
                <c:pt idx="33">
                  <c:v>53.611491750000013</c:v>
                </c:pt>
                <c:pt idx="34">
                  <c:v>52.804974669999986</c:v>
                </c:pt>
                <c:pt idx="35">
                  <c:v>51.717254470000015</c:v>
                </c:pt>
                <c:pt idx="36">
                  <c:v>50.519698239999975</c:v>
                </c:pt>
                <c:pt idx="37">
                  <c:v>49.456043210000011</c:v>
                </c:pt>
                <c:pt idx="38">
                  <c:v>48.485783280000007</c:v>
                </c:pt>
                <c:pt idx="39">
                  <c:v>47.608786109999976</c:v>
                </c:pt>
                <c:pt idx="40">
                  <c:v>46.557724430000029</c:v>
                </c:pt>
                <c:pt idx="41">
                  <c:v>45.415215300000007</c:v>
                </c:pt>
                <c:pt idx="42">
                  <c:v>44.323316109999993</c:v>
                </c:pt>
                <c:pt idx="43">
                  <c:v>43.319811469999998</c:v>
                </c:pt>
                <c:pt idx="44">
                  <c:v>42.402369239999985</c:v>
                </c:pt>
                <c:pt idx="45">
                  <c:v>41.249830600000003</c:v>
                </c:pt>
                <c:pt idx="46">
                  <c:v>39.957190929999982</c:v>
                </c:pt>
                <c:pt idx="47">
                  <c:v>38.781909299999995</c:v>
                </c:pt>
                <c:pt idx="48">
                  <c:v>37.704837759999975</c:v>
                </c:pt>
                <c:pt idx="49">
                  <c:v>36.726075730000012</c:v>
                </c:pt>
                <c:pt idx="50">
                  <c:v>35.587955089999994</c:v>
                </c:pt>
                <c:pt idx="51">
                  <c:v>34.46935366000001</c:v>
                </c:pt>
                <c:pt idx="52">
                  <c:v>33.448318809999989</c:v>
                </c:pt>
                <c:pt idx="53">
                  <c:v>32.522530060000001</c:v>
                </c:pt>
                <c:pt idx="54">
                  <c:v>31.690658049999996</c:v>
                </c:pt>
                <c:pt idx="55">
                  <c:v>30.953091600000008</c:v>
                </c:pt>
              </c:numCache>
            </c:numRef>
          </c:val>
          <c:smooth val="0"/>
        </c:ser>
        <c:ser>
          <c:idx val="9"/>
          <c:order val="7"/>
          <c:tx>
            <c:strRef>
              <c:f>ED!$P$66</c:f>
              <c:strCache>
                <c:ptCount val="1"/>
                <c:pt idx="0">
                  <c:v>CPT3a</c:v>
                </c:pt>
              </c:strCache>
            </c:strRef>
          </c:tx>
          <c:spPr>
            <a:ln cmpd="dbl">
              <a:solidFill>
                <a:schemeClr val="tx1"/>
              </a:solidFill>
              <a:prstDash val="dash"/>
            </a:ln>
          </c:spPr>
          <c:marker>
            <c:symbol val="none"/>
          </c:marker>
          <c:cat>
            <c:numRef>
              <c:f>ED!$A$67:$A$122</c:f>
              <c:numCache>
                <c:formatCode>General</c:formatCode>
                <c:ptCount val="56"/>
                <c:pt idx="0">
                  <c:v>1995</c:v>
                </c:pt>
                <c:pt idx="1">
                  <c:v>1996</c:v>
                </c:pt>
                <c:pt idx="2">
                  <c:v>1997</c:v>
                </c:pt>
                <c:pt idx="3">
                  <c:v>1998</c:v>
                </c:pt>
                <c:pt idx="4">
                  <c:v>1999</c:v>
                </c:pt>
                <c:pt idx="5">
                  <c:v>2000</c:v>
                </c:pt>
                <c:pt idx="6">
                  <c:v>2001</c:v>
                </c:pt>
                <c:pt idx="7">
                  <c:v>2002</c:v>
                </c:pt>
                <c:pt idx="8">
                  <c:v>2003</c:v>
                </c:pt>
                <c:pt idx="9">
                  <c:v>2004</c:v>
                </c:pt>
                <c:pt idx="10">
                  <c:v>2005</c:v>
                </c:pt>
                <c:pt idx="11">
                  <c:v>2006</c:v>
                </c:pt>
                <c:pt idx="12">
                  <c:v>2007</c:v>
                </c:pt>
                <c:pt idx="13">
                  <c:v>2008</c:v>
                </c:pt>
                <c:pt idx="14">
                  <c:v>2009</c:v>
                </c:pt>
                <c:pt idx="15">
                  <c:v>2010</c:v>
                </c:pt>
                <c:pt idx="16">
                  <c:v>2011</c:v>
                </c:pt>
                <c:pt idx="17">
                  <c:v>2012</c:v>
                </c:pt>
                <c:pt idx="18">
                  <c:v>2013</c:v>
                </c:pt>
                <c:pt idx="19">
                  <c:v>2014</c:v>
                </c:pt>
                <c:pt idx="20">
                  <c:v>2015</c:v>
                </c:pt>
                <c:pt idx="21">
                  <c:v>2016</c:v>
                </c:pt>
                <c:pt idx="22">
                  <c:v>2017</c:v>
                </c:pt>
                <c:pt idx="23">
                  <c:v>2018</c:v>
                </c:pt>
                <c:pt idx="24">
                  <c:v>2019</c:v>
                </c:pt>
                <c:pt idx="25">
                  <c:v>2020</c:v>
                </c:pt>
                <c:pt idx="26">
                  <c:v>2021</c:v>
                </c:pt>
                <c:pt idx="27">
                  <c:v>2022</c:v>
                </c:pt>
                <c:pt idx="28">
                  <c:v>2023</c:v>
                </c:pt>
                <c:pt idx="29">
                  <c:v>2024</c:v>
                </c:pt>
                <c:pt idx="30">
                  <c:v>2025</c:v>
                </c:pt>
                <c:pt idx="31">
                  <c:v>2026</c:v>
                </c:pt>
                <c:pt idx="32">
                  <c:v>2027</c:v>
                </c:pt>
                <c:pt idx="33">
                  <c:v>2028</c:v>
                </c:pt>
                <c:pt idx="34">
                  <c:v>2029</c:v>
                </c:pt>
                <c:pt idx="35">
                  <c:v>2030</c:v>
                </c:pt>
                <c:pt idx="36">
                  <c:v>2031</c:v>
                </c:pt>
                <c:pt idx="37">
                  <c:v>2032</c:v>
                </c:pt>
                <c:pt idx="38">
                  <c:v>2033</c:v>
                </c:pt>
                <c:pt idx="39">
                  <c:v>2034</c:v>
                </c:pt>
                <c:pt idx="40">
                  <c:v>2035</c:v>
                </c:pt>
                <c:pt idx="41">
                  <c:v>2036</c:v>
                </c:pt>
                <c:pt idx="42">
                  <c:v>2037</c:v>
                </c:pt>
                <c:pt idx="43">
                  <c:v>2038</c:v>
                </c:pt>
                <c:pt idx="44">
                  <c:v>2039</c:v>
                </c:pt>
                <c:pt idx="45">
                  <c:v>2040</c:v>
                </c:pt>
                <c:pt idx="46">
                  <c:v>2041</c:v>
                </c:pt>
                <c:pt idx="47">
                  <c:v>2042</c:v>
                </c:pt>
                <c:pt idx="48">
                  <c:v>2043</c:v>
                </c:pt>
                <c:pt idx="49">
                  <c:v>2044</c:v>
                </c:pt>
                <c:pt idx="50">
                  <c:v>2045</c:v>
                </c:pt>
                <c:pt idx="51">
                  <c:v>2046</c:v>
                </c:pt>
                <c:pt idx="52">
                  <c:v>2047</c:v>
                </c:pt>
                <c:pt idx="53">
                  <c:v>2048</c:v>
                </c:pt>
                <c:pt idx="54">
                  <c:v>2049</c:v>
                </c:pt>
                <c:pt idx="55">
                  <c:v>2050</c:v>
                </c:pt>
              </c:numCache>
            </c:numRef>
          </c:cat>
          <c:val>
            <c:numRef>
              <c:f>ED!$P$67:$P$122</c:f>
              <c:numCache>
                <c:formatCode>0.0</c:formatCode>
                <c:ptCount val="56"/>
                <c:pt idx="0">
                  <c:v>71.958781770000002</c:v>
                </c:pt>
                <c:pt idx="1">
                  <c:v>74.782839189999976</c:v>
                </c:pt>
                <c:pt idx="2">
                  <c:v>75.410338730000007</c:v>
                </c:pt>
                <c:pt idx="3">
                  <c:v>74.86499508</c:v>
                </c:pt>
                <c:pt idx="4">
                  <c:v>76.340601700000008</c:v>
                </c:pt>
                <c:pt idx="5">
                  <c:v>76.172476860000017</c:v>
                </c:pt>
                <c:pt idx="6">
                  <c:v>75.965079860000003</c:v>
                </c:pt>
                <c:pt idx="7">
                  <c:v>77.215048849999988</c:v>
                </c:pt>
                <c:pt idx="8">
                  <c:v>75.878598019999998</c:v>
                </c:pt>
                <c:pt idx="9">
                  <c:v>76.304902039999988</c:v>
                </c:pt>
                <c:pt idx="10">
                  <c:v>75.413214559999986</c:v>
                </c:pt>
                <c:pt idx="11">
                  <c:v>74.958157420000006</c:v>
                </c:pt>
                <c:pt idx="12">
                  <c:v>74.348432209999984</c:v>
                </c:pt>
                <c:pt idx="13">
                  <c:v>71.984716360000007</c:v>
                </c:pt>
                <c:pt idx="14">
                  <c:v>69.777386059999984</c:v>
                </c:pt>
                <c:pt idx="15">
                  <c:v>69.559788400000002</c:v>
                </c:pt>
                <c:pt idx="16">
                  <c:v>68.60759800999999</c:v>
                </c:pt>
                <c:pt idx="17">
                  <c:v>67.463981889999999</c:v>
                </c:pt>
                <c:pt idx="18">
                  <c:v>66.626179689999987</c:v>
                </c:pt>
                <c:pt idx="19">
                  <c:v>65.839290689999999</c:v>
                </c:pt>
                <c:pt idx="20">
                  <c:v>64.993339920000011</c:v>
                </c:pt>
                <c:pt idx="21">
                  <c:v>64.080363660000003</c:v>
                </c:pt>
                <c:pt idx="22">
                  <c:v>63.173007629999994</c:v>
                </c:pt>
                <c:pt idx="23">
                  <c:v>62.305745309999999</c:v>
                </c:pt>
                <c:pt idx="24">
                  <c:v>61.512214359999994</c:v>
                </c:pt>
                <c:pt idx="25">
                  <c:v>60.611721309999993</c:v>
                </c:pt>
                <c:pt idx="26">
                  <c:v>59.73381473000002</c:v>
                </c:pt>
                <c:pt idx="27">
                  <c:v>58.900976189999994</c:v>
                </c:pt>
                <c:pt idx="28">
                  <c:v>58.15588830999998</c:v>
                </c:pt>
                <c:pt idx="29">
                  <c:v>57.492427599999999</c:v>
                </c:pt>
                <c:pt idx="30">
                  <c:v>56.765287339999986</c:v>
                </c:pt>
                <c:pt idx="31">
                  <c:v>55.870119629999991</c:v>
                </c:pt>
                <c:pt idx="32">
                  <c:v>54.987826320000011</c:v>
                </c:pt>
                <c:pt idx="33">
                  <c:v>54.175954050000001</c:v>
                </c:pt>
                <c:pt idx="34">
                  <c:v>53.443288070000008</c:v>
                </c:pt>
                <c:pt idx="35">
                  <c:v>52.443732840000003</c:v>
                </c:pt>
                <c:pt idx="36">
                  <c:v>51.330836349999991</c:v>
                </c:pt>
                <c:pt idx="37">
                  <c:v>50.347153259999992</c:v>
                </c:pt>
                <c:pt idx="38">
                  <c:v>49.449500529999987</c:v>
                </c:pt>
                <c:pt idx="39">
                  <c:v>48.636673009999974</c:v>
                </c:pt>
                <c:pt idx="40">
                  <c:v>47.652877759999981</c:v>
                </c:pt>
                <c:pt idx="41">
                  <c:v>46.553886089999992</c:v>
                </c:pt>
                <c:pt idx="42">
                  <c:v>45.497509420000007</c:v>
                </c:pt>
                <c:pt idx="43">
                  <c:v>44.52263864999999</c:v>
                </c:pt>
                <c:pt idx="44">
                  <c:v>43.62861917999998</c:v>
                </c:pt>
                <c:pt idx="45">
                  <c:v>42.538018160000007</c:v>
                </c:pt>
                <c:pt idx="46">
                  <c:v>41.315152300000015</c:v>
                </c:pt>
                <c:pt idx="47">
                  <c:v>40.20536113</c:v>
                </c:pt>
                <c:pt idx="48">
                  <c:v>39.191280019999994</c:v>
                </c:pt>
                <c:pt idx="49">
                  <c:v>38.273014570000015</c:v>
                </c:pt>
                <c:pt idx="50">
                  <c:v>37.207715959999994</c:v>
                </c:pt>
                <c:pt idx="51">
                  <c:v>36.16105232999999</c:v>
                </c:pt>
                <c:pt idx="52">
                  <c:v>35.209220309999978</c:v>
                </c:pt>
                <c:pt idx="53">
                  <c:v>34.350247469999999</c:v>
                </c:pt>
                <c:pt idx="54">
                  <c:v>33.582630550000005</c:v>
                </c:pt>
                <c:pt idx="55">
                  <c:v>32.906176020000004</c:v>
                </c:pt>
              </c:numCache>
            </c:numRef>
          </c:val>
          <c:smooth val="0"/>
        </c:ser>
        <c:ser>
          <c:idx val="1"/>
          <c:order val="8"/>
          <c:tx>
            <c:strRef>
              <c:f>ED!$K$66</c:f>
              <c:strCache>
                <c:ptCount val="1"/>
                <c:pt idx="0">
                  <c:v>SCR2a</c:v>
                </c:pt>
              </c:strCache>
            </c:strRef>
          </c:tx>
          <c:spPr>
            <a:ln>
              <a:solidFill>
                <a:schemeClr val="tx1"/>
              </a:solidFill>
              <a:prstDash val="dashDot"/>
            </a:ln>
          </c:spPr>
          <c:marker>
            <c:symbol val="none"/>
          </c:marker>
          <c:cat>
            <c:numRef>
              <c:f>ED!$A$67:$A$122</c:f>
              <c:numCache>
                <c:formatCode>General</c:formatCode>
                <c:ptCount val="56"/>
                <c:pt idx="0">
                  <c:v>1995</c:v>
                </c:pt>
                <c:pt idx="1">
                  <c:v>1996</c:v>
                </c:pt>
                <c:pt idx="2">
                  <c:v>1997</c:v>
                </c:pt>
                <c:pt idx="3">
                  <c:v>1998</c:v>
                </c:pt>
                <c:pt idx="4">
                  <c:v>1999</c:v>
                </c:pt>
                <c:pt idx="5">
                  <c:v>2000</c:v>
                </c:pt>
                <c:pt idx="6">
                  <c:v>2001</c:v>
                </c:pt>
                <c:pt idx="7">
                  <c:v>2002</c:v>
                </c:pt>
                <c:pt idx="8">
                  <c:v>2003</c:v>
                </c:pt>
                <c:pt idx="9">
                  <c:v>2004</c:v>
                </c:pt>
                <c:pt idx="10">
                  <c:v>2005</c:v>
                </c:pt>
                <c:pt idx="11">
                  <c:v>2006</c:v>
                </c:pt>
                <c:pt idx="12">
                  <c:v>2007</c:v>
                </c:pt>
                <c:pt idx="13">
                  <c:v>2008</c:v>
                </c:pt>
                <c:pt idx="14">
                  <c:v>2009</c:v>
                </c:pt>
                <c:pt idx="15">
                  <c:v>2010</c:v>
                </c:pt>
                <c:pt idx="16">
                  <c:v>2011</c:v>
                </c:pt>
                <c:pt idx="17">
                  <c:v>2012</c:v>
                </c:pt>
                <c:pt idx="18">
                  <c:v>2013</c:v>
                </c:pt>
                <c:pt idx="19">
                  <c:v>2014</c:v>
                </c:pt>
                <c:pt idx="20">
                  <c:v>2015</c:v>
                </c:pt>
                <c:pt idx="21">
                  <c:v>2016</c:v>
                </c:pt>
                <c:pt idx="22">
                  <c:v>2017</c:v>
                </c:pt>
                <c:pt idx="23">
                  <c:v>2018</c:v>
                </c:pt>
                <c:pt idx="24">
                  <c:v>2019</c:v>
                </c:pt>
                <c:pt idx="25">
                  <c:v>2020</c:v>
                </c:pt>
                <c:pt idx="26">
                  <c:v>2021</c:v>
                </c:pt>
                <c:pt idx="27">
                  <c:v>2022</c:v>
                </c:pt>
                <c:pt idx="28">
                  <c:v>2023</c:v>
                </c:pt>
                <c:pt idx="29">
                  <c:v>2024</c:v>
                </c:pt>
                <c:pt idx="30">
                  <c:v>2025</c:v>
                </c:pt>
                <c:pt idx="31">
                  <c:v>2026</c:v>
                </c:pt>
                <c:pt idx="32">
                  <c:v>2027</c:v>
                </c:pt>
                <c:pt idx="33">
                  <c:v>2028</c:v>
                </c:pt>
                <c:pt idx="34">
                  <c:v>2029</c:v>
                </c:pt>
                <c:pt idx="35">
                  <c:v>2030</c:v>
                </c:pt>
                <c:pt idx="36">
                  <c:v>2031</c:v>
                </c:pt>
                <c:pt idx="37">
                  <c:v>2032</c:v>
                </c:pt>
                <c:pt idx="38">
                  <c:v>2033</c:v>
                </c:pt>
                <c:pt idx="39">
                  <c:v>2034</c:v>
                </c:pt>
                <c:pt idx="40">
                  <c:v>2035</c:v>
                </c:pt>
                <c:pt idx="41">
                  <c:v>2036</c:v>
                </c:pt>
                <c:pt idx="42">
                  <c:v>2037</c:v>
                </c:pt>
                <c:pt idx="43">
                  <c:v>2038</c:v>
                </c:pt>
                <c:pt idx="44">
                  <c:v>2039</c:v>
                </c:pt>
                <c:pt idx="45">
                  <c:v>2040</c:v>
                </c:pt>
                <c:pt idx="46">
                  <c:v>2041</c:v>
                </c:pt>
                <c:pt idx="47">
                  <c:v>2042</c:v>
                </c:pt>
                <c:pt idx="48">
                  <c:v>2043</c:v>
                </c:pt>
                <c:pt idx="49">
                  <c:v>2044</c:v>
                </c:pt>
                <c:pt idx="50">
                  <c:v>2045</c:v>
                </c:pt>
                <c:pt idx="51">
                  <c:v>2046</c:v>
                </c:pt>
                <c:pt idx="52">
                  <c:v>2047</c:v>
                </c:pt>
                <c:pt idx="53">
                  <c:v>2048</c:v>
                </c:pt>
                <c:pt idx="54">
                  <c:v>2049</c:v>
                </c:pt>
                <c:pt idx="55">
                  <c:v>2050</c:v>
                </c:pt>
              </c:numCache>
            </c:numRef>
          </c:cat>
          <c:val>
            <c:numRef>
              <c:f>ED!$K$67:$K$122</c:f>
              <c:numCache>
                <c:formatCode>0.0</c:formatCode>
                <c:ptCount val="56"/>
                <c:pt idx="0">
                  <c:v>71.958781770000002</c:v>
                </c:pt>
                <c:pt idx="1">
                  <c:v>74.782839189999976</c:v>
                </c:pt>
                <c:pt idx="2">
                  <c:v>75.410338730000007</c:v>
                </c:pt>
                <c:pt idx="3">
                  <c:v>74.86499508</c:v>
                </c:pt>
                <c:pt idx="4">
                  <c:v>76.340601700000008</c:v>
                </c:pt>
                <c:pt idx="5">
                  <c:v>76.172476860000017</c:v>
                </c:pt>
                <c:pt idx="6">
                  <c:v>75.965079860000003</c:v>
                </c:pt>
                <c:pt idx="7">
                  <c:v>77.215048849999988</c:v>
                </c:pt>
                <c:pt idx="8">
                  <c:v>75.878598019999998</c:v>
                </c:pt>
                <c:pt idx="9">
                  <c:v>76.304902039999988</c:v>
                </c:pt>
                <c:pt idx="10">
                  <c:v>75.413214559999986</c:v>
                </c:pt>
                <c:pt idx="11">
                  <c:v>74.958157420000006</c:v>
                </c:pt>
                <c:pt idx="12">
                  <c:v>74.348432209999984</c:v>
                </c:pt>
                <c:pt idx="13">
                  <c:v>71.984716360000007</c:v>
                </c:pt>
                <c:pt idx="14">
                  <c:v>69.777386059999984</c:v>
                </c:pt>
                <c:pt idx="15">
                  <c:v>69.559788400000002</c:v>
                </c:pt>
                <c:pt idx="16">
                  <c:v>68.666414160000002</c:v>
                </c:pt>
                <c:pt idx="17">
                  <c:v>68.408734549999977</c:v>
                </c:pt>
                <c:pt idx="18">
                  <c:v>68.02561835000003</c:v>
                </c:pt>
                <c:pt idx="19">
                  <c:v>67.656471080000003</c:v>
                </c:pt>
                <c:pt idx="20">
                  <c:v>67.208673290000021</c:v>
                </c:pt>
                <c:pt idx="21">
                  <c:v>66.66635694</c:v>
                </c:pt>
                <c:pt idx="22">
                  <c:v>66.169091780000002</c:v>
                </c:pt>
                <c:pt idx="23">
                  <c:v>65.812973080000035</c:v>
                </c:pt>
                <c:pt idx="24">
                  <c:v>65.579287640000004</c:v>
                </c:pt>
                <c:pt idx="25">
                  <c:v>65.327934419999977</c:v>
                </c:pt>
                <c:pt idx="26">
                  <c:v>65.070514130000007</c:v>
                </c:pt>
                <c:pt idx="27">
                  <c:v>64.866791340000006</c:v>
                </c:pt>
                <c:pt idx="28">
                  <c:v>64.688711269999999</c:v>
                </c:pt>
                <c:pt idx="29">
                  <c:v>64.533098120000005</c:v>
                </c:pt>
                <c:pt idx="30">
                  <c:v>64.334477700000022</c:v>
                </c:pt>
                <c:pt idx="31">
                  <c:v>64.111278569999996</c:v>
                </c:pt>
                <c:pt idx="32">
                  <c:v>63.932790849999989</c:v>
                </c:pt>
                <c:pt idx="33">
                  <c:v>63.780254180000007</c:v>
                </c:pt>
                <c:pt idx="34">
                  <c:v>63.663864300000007</c:v>
                </c:pt>
                <c:pt idx="35">
                  <c:v>63.409659570000017</c:v>
                </c:pt>
                <c:pt idx="36">
                  <c:v>63.094524369999988</c:v>
                </c:pt>
                <c:pt idx="37">
                  <c:v>62.831924199999996</c:v>
                </c:pt>
                <c:pt idx="38">
                  <c:v>62.615648369999995</c:v>
                </c:pt>
                <c:pt idx="39">
                  <c:v>62.442234999999989</c:v>
                </c:pt>
                <c:pt idx="40">
                  <c:v>62.173504150000014</c:v>
                </c:pt>
                <c:pt idx="41">
                  <c:v>61.865099829999977</c:v>
                </c:pt>
                <c:pt idx="42">
                  <c:v>61.59697017000002</c:v>
                </c:pt>
                <c:pt idx="43">
                  <c:v>61.36219937000002</c:v>
                </c:pt>
                <c:pt idx="44">
                  <c:v>61.164213619999991</c:v>
                </c:pt>
                <c:pt idx="45">
                  <c:v>60.855575639999984</c:v>
                </c:pt>
                <c:pt idx="46">
                  <c:v>60.526505879999981</c:v>
                </c:pt>
                <c:pt idx="47">
                  <c:v>60.263025500000005</c:v>
                </c:pt>
                <c:pt idx="48">
                  <c:v>60.047786140000035</c:v>
                </c:pt>
                <c:pt idx="49">
                  <c:v>59.880269060000003</c:v>
                </c:pt>
                <c:pt idx="50">
                  <c:v>59.566200249999994</c:v>
                </c:pt>
                <c:pt idx="51">
                  <c:v>59.201723820000019</c:v>
                </c:pt>
                <c:pt idx="52">
                  <c:v>58.886765930000024</c:v>
                </c:pt>
                <c:pt idx="53">
                  <c:v>58.61163333999999</c:v>
                </c:pt>
                <c:pt idx="54">
                  <c:v>58.375938949999998</c:v>
                </c:pt>
                <c:pt idx="55">
                  <c:v>58.179276869999988</c:v>
                </c:pt>
              </c:numCache>
            </c:numRef>
          </c:val>
          <c:smooth val="0"/>
        </c:ser>
        <c:ser>
          <c:idx val="3"/>
          <c:order val="9"/>
          <c:tx>
            <c:strRef>
              <c:f>ED!$J$66</c:f>
              <c:strCache>
                <c:ptCount val="1"/>
                <c:pt idx="0">
                  <c:v>SCR3</c:v>
                </c:pt>
              </c:strCache>
            </c:strRef>
          </c:tx>
          <c:spPr>
            <a:ln cmpd="dbl">
              <a:solidFill>
                <a:schemeClr val="tx1"/>
              </a:solidFill>
            </a:ln>
          </c:spPr>
          <c:marker>
            <c:symbol val="none"/>
          </c:marker>
          <c:cat>
            <c:numRef>
              <c:f>ED!$A$67:$A$122</c:f>
              <c:numCache>
                <c:formatCode>General</c:formatCode>
                <c:ptCount val="56"/>
                <c:pt idx="0">
                  <c:v>1995</c:v>
                </c:pt>
                <c:pt idx="1">
                  <c:v>1996</c:v>
                </c:pt>
                <c:pt idx="2">
                  <c:v>1997</c:v>
                </c:pt>
                <c:pt idx="3">
                  <c:v>1998</c:v>
                </c:pt>
                <c:pt idx="4">
                  <c:v>1999</c:v>
                </c:pt>
                <c:pt idx="5">
                  <c:v>2000</c:v>
                </c:pt>
                <c:pt idx="6">
                  <c:v>2001</c:v>
                </c:pt>
                <c:pt idx="7">
                  <c:v>2002</c:v>
                </c:pt>
                <c:pt idx="8">
                  <c:v>2003</c:v>
                </c:pt>
                <c:pt idx="9">
                  <c:v>2004</c:v>
                </c:pt>
                <c:pt idx="10">
                  <c:v>2005</c:v>
                </c:pt>
                <c:pt idx="11">
                  <c:v>2006</c:v>
                </c:pt>
                <c:pt idx="12">
                  <c:v>2007</c:v>
                </c:pt>
                <c:pt idx="13">
                  <c:v>2008</c:v>
                </c:pt>
                <c:pt idx="14">
                  <c:v>2009</c:v>
                </c:pt>
                <c:pt idx="15">
                  <c:v>2010</c:v>
                </c:pt>
                <c:pt idx="16">
                  <c:v>2011</c:v>
                </c:pt>
                <c:pt idx="17">
                  <c:v>2012</c:v>
                </c:pt>
                <c:pt idx="18">
                  <c:v>2013</c:v>
                </c:pt>
                <c:pt idx="19">
                  <c:v>2014</c:v>
                </c:pt>
                <c:pt idx="20">
                  <c:v>2015</c:v>
                </c:pt>
                <c:pt idx="21">
                  <c:v>2016</c:v>
                </c:pt>
                <c:pt idx="22">
                  <c:v>2017</c:v>
                </c:pt>
                <c:pt idx="23">
                  <c:v>2018</c:v>
                </c:pt>
                <c:pt idx="24">
                  <c:v>2019</c:v>
                </c:pt>
                <c:pt idx="25">
                  <c:v>2020</c:v>
                </c:pt>
                <c:pt idx="26">
                  <c:v>2021</c:v>
                </c:pt>
                <c:pt idx="27">
                  <c:v>2022</c:v>
                </c:pt>
                <c:pt idx="28">
                  <c:v>2023</c:v>
                </c:pt>
                <c:pt idx="29">
                  <c:v>2024</c:v>
                </c:pt>
                <c:pt idx="30">
                  <c:v>2025</c:v>
                </c:pt>
                <c:pt idx="31">
                  <c:v>2026</c:v>
                </c:pt>
                <c:pt idx="32">
                  <c:v>2027</c:v>
                </c:pt>
                <c:pt idx="33">
                  <c:v>2028</c:v>
                </c:pt>
                <c:pt idx="34">
                  <c:v>2029</c:v>
                </c:pt>
                <c:pt idx="35">
                  <c:v>2030</c:v>
                </c:pt>
                <c:pt idx="36">
                  <c:v>2031</c:v>
                </c:pt>
                <c:pt idx="37">
                  <c:v>2032</c:v>
                </c:pt>
                <c:pt idx="38">
                  <c:v>2033</c:v>
                </c:pt>
                <c:pt idx="39">
                  <c:v>2034</c:v>
                </c:pt>
                <c:pt idx="40">
                  <c:v>2035</c:v>
                </c:pt>
                <c:pt idx="41">
                  <c:v>2036</c:v>
                </c:pt>
                <c:pt idx="42">
                  <c:v>2037</c:v>
                </c:pt>
                <c:pt idx="43">
                  <c:v>2038</c:v>
                </c:pt>
                <c:pt idx="44">
                  <c:v>2039</c:v>
                </c:pt>
                <c:pt idx="45">
                  <c:v>2040</c:v>
                </c:pt>
                <c:pt idx="46">
                  <c:v>2041</c:v>
                </c:pt>
                <c:pt idx="47">
                  <c:v>2042</c:v>
                </c:pt>
                <c:pt idx="48">
                  <c:v>2043</c:v>
                </c:pt>
                <c:pt idx="49">
                  <c:v>2044</c:v>
                </c:pt>
                <c:pt idx="50">
                  <c:v>2045</c:v>
                </c:pt>
                <c:pt idx="51">
                  <c:v>2046</c:v>
                </c:pt>
                <c:pt idx="52">
                  <c:v>2047</c:v>
                </c:pt>
                <c:pt idx="53">
                  <c:v>2048</c:v>
                </c:pt>
                <c:pt idx="54">
                  <c:v>2049</c:v>
                </c:pt>
                <c:pt idx="55">
                  <c:v>2050</c:v>
                </c:pt>
              </c:numCache>
            </c:numRef>
          </c:cat>
          <c:val>
            <c:numRef>
              <c:f>ED!$J$67:$J$122</c:f>
              <c:numCache>
                <c:formatCode>0.0</c:formatCode>
                <c:ptCount val="56"/>
                <c:pt idx="0">
                  <c:v>71.958781770000002</c:v>
                </c:pt>
                <c:pt idx="1">
                  <c:v>74.782839189999976</c:v>
                </c:pt>
                <c:pt idx="2">
                  <c:v>75.410338730000007</c:v>
                </c:pt>
                <c:pt idx="3">
                  <c:v>74.86499508</c:v>
                </c:pt>
                <c:pt idx="4">
                  <c:v>76.340601700000008</c:v>
                </c:pt>
                <c:pt idx="5">
                  <c:v>76.172476860000017</c:v>
                </c:pt>
                <c:pt idx="6">
                  <c:v>75.965079860000003</c:v>
                </c:pt>
                <c:pt idx="7">
                  <c:v>77.215048849999988</c:v>
                </c:pt>
                <c:pt idx="8">
                  <c:v>75.878598019999998</c:v>
                </c:pt>
                <c:pt idx="9">
                  <c:v>76.304902039999988</c:v>
                </c:pt>
                <c:pt idx="10">
                  <c:v>75.413214559999986</c:v>
                </c:pt>
                <c:pt idx="11">
                  <c:v>74.958157420000006</c:v>
                </c:pt>
                <c:pt idx="12">
                  <c:v>74.348432209999984</c:v>
                </c:pt>
                <c:pt idx="13">
                  <c:v>71.984716360000007</c:v>
                </c:pt>
                <c:pt idx="14">
                  <c:v>69.777386059999984</c:v>
                </c:pt>
                <c:pt idx="15">
                  <c:v>69.559788400000002</c:v>
                </c:pt>
                <c:pt idx="16">
                  <c:v>68.878423319999982</c:v>
                </c:pt>
                <c:pt idx="17">
                  <c:v>68.655641180000018</c:v>
                </c:pt>
                <c:pt idx="18">
                  <c:v>68.409910029999992</c:v>
                </c:pt>
                <c:pt idx="19">
                  <c:v>68.212494710000001</c:v>
                </c:pt>
                <c:pt idx="20">
                  <c:v>67.960812139999987</c:v>
                </c:pt>
                <c:pt idx="21">
                  <c:v>67.671204989999993</c:v>
                </c:pt>
                <c:pt idx="22">
                  <c:v>67.423052599999991</c:v>
                </c:pt>
                <c:pt idx="23">
                  <c:v>67.218830710000006</c:v>
                </c:pt>
                <c:pt idx="24">
                  <c:v>67.070728430000003</c:v>
                </c:pt>
                <c:pt idx="25">
                  <c:v>66.859844129999999</c:v>
                </c:pt>
                <c:pt idx="26">
                  <c:v>66.623220239999981</c:v>
                </c:pt>
                <c:pt idx="27">
                  <c:v>66.41328605999999</c:v>
                </c:pt>
                <c:pt idx="28">
                  <c:v>66.220083629999991</c:v>
                </c:pt>
                <c:pt idx="29">
                  <c:v>66.038091609999995</c:v>
                </c:pt>
                <c:pt idx="30">
                  <c:v>65.75345578000001</c:v>
                </c:pt>
                <c:pt idx="31">
                  <c:v>65.39006547999999</c:v>
                </c:pt>
                <c:pt idx="32">
                  <c:v>65.054465830000012</c:v>
                </c:pt>
                <c:pt idx="33">
                  <c:v>64.738282519999998</c:v>
                </c:pt>
                <c:pt idx="34">
                  <c:v>64.454925369999998</c:v>
                </c:pt>
                <c:pt idx="35">
                  <c:v>64.027806889999994</c:v>
                </c:pt>
                <c:pt idx="36">
                  <c:v>63.54296689000001</c:v>
                </c:pt>
                <c:pt idx="37">
                  <c:v>63.110494279999983</c:v>
                </c:pt>
                <c:pt idx="38">
                  <c:v>62.725547429999992</c:v>
                </c:pt>
                <c:pt idx="39">
                  <c:v>62.387436229999977</c:v>
                </c:pt>
                <c:pt idx="40">
                  <c:v>61.97494901000001</c:v>
                </c:pt>
                <c:pt idx="41">
                  <c:v>61.559144800000006</c:v>
                </c:pt>
                <c:pt idx="42">
                  <c:v>61.200225349999997</c:v>
                </c:pt>
                <c:pt idx="43">
                  <c:v>60.884352079999985</c:v>
                </c:pt>
                <c:pt idx="44">
                  <c:v>60.612146050000014</c:v>
                </c:pt>
                <c:pt idx="45">
                  <c:v>60.22945876</c:v>
                </c:pt>
                <c:pt idx="46">
                  <c:v>59.830772590000009</c:v>
                </c:pt>
                <c:pt idx="47">
                  <c:v>59.491090580000019</c:v>
                </c:pt>
                <c:pt idx="48">
                  <c:v>59.20008811999999</c:v>
                </c:pt>
                <c:pt idx="49">
                  <c:v>58.957438239999959</c:v>
                </c:pt>
                <c:pt idx="50">
                  <c:v>58.556904590000023</c:v>
                </c:pt>
                <c:pt idx="51">
                  <c:v>58.11882142999999</c:v>
                </c:pt>
                <c:pt idx="52">
                  <c:v>57.732621499999993</c:v>
                </c:pt>
                <c:pt idx="53">
                  <c:v>57.385037989999979</c:v>
                </c:pt>
                <c:pt idx="54">
                  <c:v>57.073655450000004</c:v>
                </c:pt>
                <c:pt idx="55">
                  <c:v>56.797699310000006</c:v>
                </c:pt>
              </c:numCache>
            </c:numRef>
          </c:val>
          <c:smooth val="0"/>
        </c:ser>
        <c:ser>
          <c:idx val="4"/>
          <c:order val="10"/>
          <c:tx>
            <c:strRef>
              <c:f>ED!$L$66</c:f>
              <c:strCache>
                <c:ptCount val="1"/>
                <c:pt idx="0">
                  <c:v>VED1</c:v>
                </c:pt>
              </c:strCache>
            </c:strRef>
          </c:tx>
          <c:spPr>
            <a:ln>
              <a:solidFill>
                <a:schemeClr val="tx1"/>
              </a:solidFill>
              <a:prstDash val="lgDash"/>
            </a:ln>
          </c:spPr>
          <c:marker>
            <c:symbol val="none"/>
          </c:marker>
          <c:cat>
            <c:numRef>
              <c:f>ED!$A$67:$A$122</c:f>
              <c:numCache>
                <c:formatCode>General</c:formatCode>
                <c:ptCount val="56"/>
                <c:pt idx="0">
                  <c:v>1995</c:v>
                </c:pt>
                <c:pt idx="1">
                  <c:v>1996</c:v>
                </c:pt>
                <c:pt idx="2">
                  <c:v>1997</c:v>
                </c:pt>
                <c:pt idx="3">
                  <c:v>1998</c:v>
                </c:pt>
                <c:pt idx="4">
                  <c:v>1999</c:v>
                </c:pt>
                <c:pt idx="5">
                  <c:v>2000</c:v>
                </c:pt>
                <c:pt idx="6">
                  <c:v>2001</c:v>
                </c:pt>
                <c:pt idx="7">
                  <c:v>2002</c:v>
                </c:pt>
                <c:pt idx="8">
                  <c:v>2003</c:v>
                </c:pt>
                <c:pt idx="9">
                  <c:v>2004</c:v>
                </c:pt>
                <c:pt idx="10">
                  <c:v>2005</c:v>
                </c:pt>
                <c:pt idx="11">
                  <c:v>2006</c:v>
                </c:pt>
                <c:pt idx="12">
                  <c:v>2007</c:v>
                </c:pt>
                <c:pt idx="13">
                  <c:v>2008</c:v>
                </c:pt>
                <c:pt idx="14">
                  <c:v>2009</c:v>
                </c:pt>
                <c:pt idx="15">
                  <c:v>2010</c:v>
                </c:pt>
                <c:pt idx="16">
                  <c:v>2011</c:v>
                </c:pt>
                <c:pt idx="17">
                  <c:v>2012</c:v>
                </c:pt>
                <c:pt idx="18">
                  <c:v>2013</c:v>
                </c:pt>
                <c:pt idx="19">
                  <c:v>2014</c:v>
                </c:pt>
                <c:pt idx="20">
                  <c:v>2015</c:v>
                </c:pt>
                <c:pt idx="21">
                  <c:v>2016</c:v>
                </c:pt>
                <c:pt idx="22">
                  <c:v>2017</c:v>
                </c:pt>
                <c:pt idx="23">
                  <c:v>2018</c:v>
                </c:pt>
                <c:pt idx="24">
                  <c:v>2019</c:v>
                </c:pt>
                <c:pt idx="25">
                  <c:v>2020</c:v>
                </c:pt>
                <c:pt idx="26">
                  <c:v>2021</c:v>
                </c:pt>
                <c:pt idx="27">
                  <c:v>2022</c:v>
                </c:pt>
                <c:pt idx="28">
                  <c:v>2023</c:v>
                </c:pt>
                <c:pt idx="29">
                  <c:v>2024</c:v>
                </c:pt>
                <c:pt idx="30">
                  <c:v>2025</c:v>
                </c:pt>
                <c:pt idx="31">
                  <c:v>2026</c:v>
                </c:pt>
                <c:pt idx="32">
                  <c:v>2027</c:v>
                </c:pt>
                <c:pt idx="33">
                  <c:v>2028</c:v>
                </c:pt>
                <c:pt idx="34">
                  <c:v>2029</c:v>
                </c:pt>
                <c:pt idx="35">
                  <c:v>2030</c:v>
                </c:pt>
                <c:pt idx="36">
                  <c:v>2031</c:v>
                </c:pt>
                <c:pt idx="37">
                  <c:v>2032</c:v>
                </c:pt>
                <c:pt idx="38">
                  <c:v>2033</c:v>
                </c:pt>
                <c:pt idx="39">
                  <c:v>2034</c:v>
                </c:pt>
                <c:pt idx="40">
                  <c:v>2035</c:v>
                </c:pt>
                <c:pt idx="41">
                  <c:v>2036</c:v>
                </c:pt>
                <c:pt idx="42">
                  <c:v>2037</c:v>
                </c:pt>
                <c:pt idx="43">
                  <c:v>2038</c:v>
                </c:pt>
                <c:pt idx="44">
                  <c:v>2039</c:v>
                </c:pt>
                <c:pt idx="45">
                  <c:v>2040</c:v>
                </c:pt>
                <c:pt idx="46">
                  <c:v>2041</c:v>
                </c:pt>
                <c:pt idx="47">
                  <c:v>2042</c:v>
                </c:pt>
                <c:pt idx="48">
                  <c:v>2043</c:v>
                </c:pt>
                <c:pt idx="49">
                  <c:v>2044</c:v>
                </c:pt>
                <c:pt idx="50">
                  <c:v>2045</c:v>
                </c:pt>
                <c:pt idx="51">
                  <c:v>2046</c:v>
                </c:pt>
                <c:pt idx="52">
                  <c:v>2047</c:v>
                </c:pt>
                <c:pt idx="53">
                  <c:v>2048</c:v>
                </c:pt>
                <c:pt idx="54">
                  <c:v>2049</c:v>
                </c:pt>
                <c:pt idx="55">
                  <c:v>2050</c:v>
                </c:pt>
              </c:numCache>
            </c:numRef>
          </c:cat>
          <c:val>
            <c:numRef>
              <c:f>ED!$L$67:$L$122</c:f>
              <c:numCache>
                <c:formatCode>0.0</c:formatCode>
                <c:ptCount val="56"/>
                <c:pt idx="0">
                  <c:v>71.958781770000002</c:v>
                </c:pt>
                <c:pt idx="1">
                  <c:v>74.782839189999976</c:v>
                </c:pt>
                <c:pt idx="2">
                  <c:v>75.410338730000007</c:v>
                </c:pt>
                <c:pt idx="3">
                  <c:v>74.86499508</c:v>
                </c:pt>
                <c:pt idx="4">
                  <c:v>76.340601700000008</c:v>
                </c:pt>
                <c:pt idx="5">
                  <c:v>76.172476860000017</c:v>
                </c:pt>
                <c:pt idx="6">
                  <c:v>75.965079860000003</c:v>
                </c:pt>
                <c:pt idx="7">
                  <c:v>77.215048849999988</c:v>
                </c:pt>
                <c:pt idx="8">
                  <c:v>75.878598019999998</c:v>
                </c:pt>
                <c:pt idx="9">
                  <c:v>76.304902039999988</c:v>
                </c:pt>
                <c:pt idx="10">
                  <c:v>75.413214559999986</c:v>
                </c:pt>
                <c:pt idx="11">
                  <c:v>74.958157420000006</c:v>
                </c:pt>
                <c:pt idx="12">
                  <c:v>74.348432209999984</c:v>
                </c:pt>
                <c:pt idx="13">
                  <c:v>71.984716360000007</c:v>
                </c:pt>
                <c:pt idx="14">
                  <c:v>69.777386059999984</c:v>
                </c:pt>
                <c:pt idx="15">
                  <c:v>69.510427219999997</c:v>
                </c:pt>
                <c:pt idx="16">
                  <c:v>68.822385860000011</c:v>
                </c:pt>
                <c:pt idx="17">
                  <c:v>68.522148079999994</c:v>
                </c:pt>
                <c:pt idx="18">
                  <c:v>68.257788279999986</c:v>
                </c:pt>
                <c:pt idx="19">
                  <c:v>68.043373960000011</c:v>
                </c:pt>
                <c:pt idx="20">
                  <c:v>67.789376590000003</c:v>
                </c:pt>
                <c:pt idx="21">
                  <c:v>67.514883559999987</c:v>
                </c:pt>
                <c:pt idx="22">
                  <c:v>67.286274369999987</c:v>
                </c:pt>
                <c:pt idx="23">
                  <c:v>67.110198679999982</c:v>
                </c:pt>
                <c:pt idx="24">
                  <c:v>66.996022469999986</c:v>
                </c:pt>
                <c:pt idx="25">
                  <c:v>66.839238640000005</c:v>
                </c:pt>
                <c:pt idx="26">
                  <c:v>66.668244339999987</c:v>
                </c:pt>
                <c:pt idx="27">
                  <c:v>66.530138390000005</c:v>
                </c:pt>
                <c:pt idx="28">
                  <c:v>66.412783499999989</c:v>
                </c:pt>
                <c:pt idx="29">
                  <c:v>66.307783429999986</c:v>
                </c:pt>
                <c:pt idx="30">
                  <c:v>66.107622530000029</c:v>
                </c:pt>
                <c:pt idx="31">
                  <c:v>65.838032959999992</c:v>
                </c:pt>
                <c:pt idx="32">
                  <c:v>65.593244679999984</c:v>
                </c:pt>
                <c:pt idx="33">
                  <c:v>65.364502990000005</c:v>
                </c:pt>
                <c:pt idx="34">
                  <c:v>65.161786039999996</c:v>
                </c:pt>
                <c:pt idx="35">
                  <c:v>64.834906029999999</c:v>
                </c:pt>
                <c:pt idx="36">
                  <c:v>64.446644930000033</c:v>
                </c:pt>
                <c:pt idx="37">
                  <c:v>64.099800119999998</c:v>
                </c:pt>
                <c:pt idx="38">
                  <c:v>63.793202079999986</c:v>
                </c:pt>
                <c:pt idx="39">
                  <c:v>63.526650600000011</c:v>
                </c:pt>
                <c:pt idx="40">
                  <c:v>63.196315690000013</c:v>
                </c:pt>
                <c:pt idx="41">
                  <c:v>62.850712239999979</c:v>
                </c:pt>
                <c:pt idx="42">
                  <c:v>62.551592999999976</c:v>
                </c:pt>
                <c:pt idx="43">
                  <c:v>62.291497380000017</c:v>
                </c:pt>
                <c:pt idx="44">
                  <c:v>62.070918719999995</c:v>
                </c:pt>
                <c:pt idx="45">
                  <c:v>61.768775560000023</c:v>
                </c:pt>
                <c:pt idx="46">
                  <c:v>61.441214009999975</c:v>
                </c:pt>
                <c:pt idx="47">
                  <c:v>61.163477179999994</c:v>
                </c:pt>
                <c:pt idx="48">
                  <c:v>60.929530990000011</c:v>
                </c:pt>
                <c:pt idx="49">
                  <c:v>60.739161659999986</c:v>
                </c:pt>
                <c:pt idx="50">
                  <c:v>60.439391499999992</c:v>
                </c:pt>
                <c:pt idx="51">
                  <c:v>60.101983200000035</c:v>
                </c:pt>
                <c:pt idx="52">
                  <c:v>59.810309840000009</c:v>
                </c:pt>
                <c:pt idx="53">
                  <c:v>59.554455520000012</c:v>
                </c:pt>
                <c:pt idx="54">
                  <c:v>59.332199899999992</c:v>
                </c:pt>
                <c:pt idx="55">
                  <c:v>59.142567679999992</c:v>
                </c:pt>
              </c:numCache>
            </c:numRef>
          </c:val>
          <c:smooth val="0"/>
        </c:ser>
        <c:ser>
          <c:idx val="12"/>
          <c:order val="11"/>
          <c:tx>
            <c:strRef>
              <c:f>ED!$M$66</c:f>
              <c:strCache>
                <c:ptCount val="1"/>
                <c:pt idx="0">
                  <c:v>VED2</c:v>
                </c:pt>
              </c:strCache>
            </c:strRef>
          </c:tx>
          <c:spPr>
            <a:ln>
              <a:solidFill>
                <a:schemeClr val="tx1"/>
              </a:solidFill>
              <a:prstDash val="lgDashDot"/>
            </a:ln>
          </c:spPr>
          <c:marker>
            <c:symbol val="none"/>
          </c:marker>
          <c:cat>
            <c:numRef>
              <c:f>ED!$A$67:$A$122</c:f>
              <c:numCache>
                <c:formatCode>General</c:formatCode>
                <c:ptCount val="56"/>
                <c:pt idx="0">
                  <c:v>1995</c:v>
                </c:pt>
                <c:pt idx="1">
                  <c:v>1996</c:v>
                </c:pt>
                <c:pt idx="2">
                  <c:v>1997</c:v>
                </c:pt>
                <c:pt idx="3">
                  <c:v>1998</c:v>
                </c:pt>
                <c:pt idx="4">
                  <c:v>1999</c:v>
                </c:pt>
                <c:pt idx="5">
                  <c:v>2000</c:v>
                </c:pt>
                <c:pt idx="6">
                  <c:v>2001</c:v>
                </c:pt>
                <c:pt idx="7">
                  <c:v>2002</c:v>
                </c:pt>
                <c:pt idx="8">
                  <c:v>2003</c:v>
                </c:pt>
                <c:pt idx="9">
                  <c:v>2004</c:v>
                </c:pt>
                <c:pt idx="10">
                  <c:v>2005</c:v>
                </c:pt>
                <c:pt idx="11">
                  <c:v>2006</c:v>
                </c:pt>
                <c:pt idx="12">
                  <c:v>2007</c:v>
                </c:pt>
                <c:pt idx="13">
                  <c:v>2008</c:v>
                </c:pt>
                <c:pt idx="14">
                  <c:v>2009</c:v>
                </c:pt>
                <c:pt idx="15">
                  <c:v>2010</c:v>
                </c:pt>
                <c:pt idx="16">
                  <c:v>2011</c:v>
                </c:pt>
                <c:pt idx="17">
                  <c:v>2012</c:v>
                </c:pt>
                <c:pt idx="18">
                  <c:v>2013</c:v>
                </c:pt>
                <c:pt idx="19">
                  <c:v>2014</c:v>
                </c:pt>
                <c:pt idx="20">
                  <c:v>2015</c:v>
                </c:pt>
                <c:pt idx="21">
                  <c:v>2016</c:v>
                </c:pt>
                <c:pt idx="22">
                  <c:v>2017</c:v>
                </c:pt>
                <c:pt idx="23">
                  <c:v>2018</c:v>
                </c:pt>
                <c:pt idx="24">
                  <c:v>2019</c:v>
                </c:pt>
                <c:pt idx="25">
                  <c:v>2020</c:v>
                </c:pt>
                <c:pt idx="26">
                  <c:v>2021</c:v>
                </c:pt>
                <c:pt idx="27">
                  <c:v>2022</c:v>
                </c:pt>
                <c:pt idx="28">
                  <c:v>2023</c:v>
                </c:pt>
                <c:pt idx="29">
                  <c:v>2024</c:v>
                </c:pt>
                <c:pt idx="30">
                  <c:v>2025</c:v>
                </c:pt>
                <c:pt idx="31">
                  <c:v>2026</c:v>
                </c:pt>
                <c:pt idx="32">
                  <c:v>2027</c:v>
                </c:pt>
                <c:pt idx="33">
                  <c:v>2028</c:v>
                </c:pt>
                <c:pt idx="34">
                  <c:v>2029</c:v>
                </c:pt>
                <c:pt idx="35">
                  <c:v>2030</c:v>
                </c:pt>
                <c:pt idx="36">
                  <c:v>2031</c:v>
                </c:pt>
                <c:pt idx="37">
                  <c:v>2032</c:v>
                </c:pt>
                <c:pt idx="38">
                  <c:v>2033</c:v>
                </c:pt>
                <c:pt idx="39">
                  <c:v>2034</c:v>
                </c:pt>
                <c:pt idx="40">
                  <c:v>2035</c:v>
                </c:pt>
                <c:pt idx="41">
                  <c:v>2036</c:v>
                </c:pt>
                <c:pt idx="42">
                  <c:v>2037</c:v>
                </c:pt>
                <c:pt idx="43">
                  <c:v>2038</c:v>
                </c:pt>
                <c:pt idx="44">
                  <c:v>2039</c:v>
                </c:pt>
                <c:pt idx="45">
                  <c:v>2040</c:v>
                </c:pt>
                <c:pt idx="46">
                  <c:v>2041</c:v>
                </c:pt>
                <c:pt idx="47">
                  <c:v>2042</c:v>
                </c:pt>
                <c:pt idx="48">
                  <c:v>2043</c:v>
                </c:pt>
                <c:pt idx="49">
                  <c:v>2044</c:v>
                </c:pt>
                <c:pt idx="50">
                  <c:v>2045</c:v>
                </c:pt>
                <c:pt idx="51">
                  <c:v>2046</c:v>
                </c:pt>
                <c:pt idx="52">
                  <c:v>2047</c:v>
                </c:pt>
                <c:pt idx="53">
                  <c:v>2048</c:v>
                </c:pt>
                <c:pt idx="54">
                  <c:v>2049</c:v>
                </c:pt>
                <c:pt idx="55">
                  <c:v>2050</c:v>
                </c:pt>
              </c:numCache>
            </c:numRef>
          </c:cat>
          <c:val>
            <c:numRef>
              <c:f>ED!$M$67:$M$122</c:f>
              <c:numCache>
                <c:formatCode>0.0</c:formatCode>
                <c:ptCount val="56"/>
                <c:pt idx="0">
                  <c:v>71.958781770000002</c:v>
                </c:pt>
                <c:pt idx="1">
                  <c:v>74.782839189999976</c:v>
                </c:pt>
                <c:pt idx="2">
                  <c:v>75.410338730000007</c:v>
                </c:pt>
                <c:pt idx="3">
                  <c:v>74.86499508</c:v>
                </c:pt>
                <c:pt idx="4">
                  <c:v>76.340601700000008</c:v>
                </c:pt>
                <c:pt idx="5">
                  <c:v>76.172476860000017</c:v>
                </c:pt>
                <c:pt idx="6">
                  <c:v>75.965079860000003</c:v>
                </c:pt>
                <c:pt idx="7">
                  <c:v>77.215048849999988</c:v>
                </c:pt>
                <c:pt idx="8">
                  <c:v>75.878598019999998</c:v>
                </c:pt>
                <c:pt idx="9">
                  <c:v>76.304902039999988</c:v>
                </c:pt>
                <c:pt idx="10">
                  <c:v>75.413214559999986</c:v>
                </c:pt>
                <c:pt idx="11">
                  <c:v>74.958157420000006</c:v>
                </c:pt>
                <c:pt idx="12">
                  <c:v>74.348432209999984</c:v>
                </c:pt>
                <c:pt idx="13">
                  <c:v>71.984716360000007</c:v>
                </c:pt>
                <c:pt idx="14">
                  <c:v>69.777386059999984</c:v>
                </c:pt>
                <c:pt idx="15">
                  <c:v>69.505986700000022</c:v>
                </c:pt>
                <c:pt idx="16">
                  <c:v>68.820607259999989</c:v>
                </c:pt>
                <c:pt idx="17">
                  <c:v>68.518251469999996</c:v>
                </c:pt>
                <c:pt idx="18">
                  <c:v>68.25179030000001</c:v>
                </c:pt>
                <c:pt idx="19">
                  <c:v>68.035276060000001</c:v>
                </c:pt>
                <c:pt idx="20">
                  <c:v>67.768909740000012</c:v>
                </c:pt>
                <c:pt idx="21">
                  <c:v>67.456578679999993</c:v>
                </c:pt>
                <c:pt idx="22">
                  <c:v>67.181326060000018</c:v>
                </c:pt>
                <c:pt idx="23">
                  <c:v>66.958289000000022</c:v>
                </c:pt>
                <c:pt idx="24">
                  <c:v>66.797439869999991</c:v>
                </c:pt>
                <c:pt idx="25">
                  <c:v>66.595119310000015</c:v>
                </c:pt>
                <c:pt idx="26">
                  <c:v>66.366398679999989</c:v>
                </c:pt>
                <c:pt idx="27">
                  <c:v>66.163920369999985</c:v>
                </c:pt>
                <c:pt idx="28">
                  <c:v>65.983641200000008</c:v>
                </c:pt>
                <c:pt idx="29">
                  <c:v>65.817867309999997</c:v>
                </c:pt>
                <c:pt idx="30">
                  <c:v>65.557001839999998</c:v>
                </c:pt>
                <c:pt idx="31">
                  <c:v>65.217938449999963</c:v>
                </c:pt>
                <c:pt idx="32">
                  <c:v>64.903414370000007</c:v>
                </c:pt>
                <c:pt idx="33">
                  <c:v>64.609524919999984</c:v>
                </c:pt>
                <c:pt idx="34">
                  <c:v>64.347381239999976</c:v>
                </c:pt>
                <c:pt idx="35">
                  <c:v>63.918200760000012</c:v>
                </c:pt>
                <c:pt idx="36">
                  <c:v>63.380110010000003</c:v>
                </c:pt>
                <c:pt idx="37">
                  <c:v>62.883037730000005</c:v>
                </c:pt>
                <c:pt idx="38">
                  <c:v>62.432936339999969</c:v>
                </c:pt>
                <c:pt idx="39">
                  <c:v>62.029130629999997</c:v>
                </c:pt>
                <c:pt idx="40">
                  <c:v>61.552005800000003</c:v>
                </c:pt>
                <c:pt idx="41">
                  <c:v>61.047006050000022</c:v>
                </c:pt>
                <c:pt idx="42">
                  <c:v>60.589933620000011</c:v>
                </c:pt>
                <c:pt idx="43">
                  <c:v>60.178478299999988</c:v>
                </c:pt>
                <c:pt idx="44">
                  <c:v>59.813986350000008</c:v>
                </c:pt>
                <c:pt idx="45">
                  <c:v>59.345723820000011</c:v>
                </c:pt>
                <c:pt idx="46">
                  <c:v>58.83763502</c:v>
                </c:pt>
                <c:pt idx="47">
                  <c:v>58.387727850000012</c:v>
                </c:pt>
                <c:pt idx="48">
                  <c:v>57.99559246000004</c:v>
                </c:pt>
                <c:pt idx="49">
                  <c:v>57.662054869999992</c:v>
                </c:pt>
                <c:pt idx="50">
                  <c:v>57.178678139999988</c:v>
                </c:pt>
                <c:pt idx="51">
                  <c:v>56.63674282999996</c:v>
                </c:pt>
                <c:pt idx="52">
                  <c:v>56.151790989999988</c:v>
                </c:pt>
                <c:pt idx="53">
                  <c:v>55.714966149999995</c:v>
                </c:pt>
                <c:pt idx="54">
                  <c:v>55.322626789999994</c:v>
                </c:pt>
                <c:pt idx="55">
                  <c:v>54.973086560000027</c:v>
                </c:pt>
              </c:numCache>
            </c:numRef>
          </c:val>
          <c:smooth val="0"/>
        </c:ser>
        <c:ser>
          <c:idx val="5"/>
          <c:order val="12"/>
          <c:tx>
            <c:strRef>
              <c:f>ED!$N$66</c:f>
              <c:strCache>
                <c:ptCount val="1"/>
                <c:pt idx="0">
                  <c:v>VED3</c:v>
                </c:pt>
              </c:strCache>
            </c:strRef>
          </c:tx>
          <c:spPr>
            <a:ln cmpd="dbl">
              <a:solidFill>
                <a:schemeClr val="tx1"/>
              </a:solidFill>
              <a:prstDash val="lgDashDotDot"/>
            </a:ln>
          </c:spPr>
          <c:marker>
            <c:symbol val="none"/>
          </c:marker>
          <c:cat>
            <c:numRef>
              <c:f>ED!$A$67:$A$122</c:f>
              <c:numCache>
                <c:formatCode>General</c:formatCode>
                <c:ptCount val="56"/>
                <c:pt idx="0">
                  <c:v>1995</c:v>
                </c:pt>
                <c:pt idx="1">
                  <c:v>1996</c:v>
                </c:pt>
                <c:pt idx="2">
                  <c:v>1997</c:v>
                </c:pt>
                <c:pt idx="3">
                  <c:v>1998</c:v>
                </c:pt>
                <c:pt idx="4">
                  <c:v>1999</c:v>
                </c:pt>
                <c:pt idx="5">
                  <c:v>2000</c:v>
                </c:pt>
                <c:pt idx="6">
                  <c:v>2001</c:v>
                </c:pt>
                <c:pt idx="7">
                  <c:v>2002</c:v>
                </c:pt>
                <c:pt idx="8">
                  <c:v>2003</c:v>
                </c:pt>
                <c:pt idx="9">
                  <c:v>2004</c:v>
                </c:pt>
                <c:pt idx="10">
                  <c:v>2005</c:v>
                </c:pt>
                <c:pt idx="11">
                  <c:v>2006</c:v>
                </c:pt>
                <c:pt idx="12">
                  <c:v>2007</c:v>
                </c:pt>
                <c:pt idx="13">
                  <c:v>2008</c:v>
                </c:pt>
                <c:pt idx="14">
                  <c:v>2009</c:v>
                </c:pt>
                <c:pt idx="15">
                  <c:v>2010</c:v>
                </c:pt>
                <c:pt idx="16">
                  <c:v>2011</c:v>
                </c:pt>
                <c:pt idx="17">
                  <c:v>2012</c:v>
                </c:pt>
                <c:pt idx="18">
                  <c:v>2013</c:v>
                </c:pt>
                <c:pt idx="19">
                  <c:v>2014</c:v>
                </c:pt>
                <c:pt idx="20">
                  <c:v>2015</c:v>
                </c:pt>
                <c:pt idx="21">
                  <c:v>2016</c:v>
                </c:pt>
                <c:pt idx="22">
                  <c:v>2017</c:v>
                </c:pt>
                <c:pt idx="23">
                  <c:v>2018</c:v>
                </c:pt>
                <c:pt idx="24">
                  <c:v>2019</c:v>
                </c:pt>
                <c:pt idx="25">
                  <c:v>2020</c:v>
                </c:pt>
                <c:pt idx="26">
                  <c:v>2021</c:v>
                </c:pt>
                <c:pt idx="27">
                  <c:v>2022</c:v>
                </c:pt>
                <c:pt idx="28">
                  <c:v>2023</c:v>
                </c:pt>
                <c:pt idx="29">
                  <c:v>2024</c:v>
                </c:pt>
                <c:pt idx="30">
                  <c:v>2025</c:v>
                </c:pt>
                <c:pt idx="31">
                  <c:v>2026</c:v>
                </c:pt>
                <c:pt idx="32">
                  <c:v>2027</c:v>
                </c:pt>
                <c:pt idx="33">
                  <c:v>2028</c:v>
                </c:pt>
                <c:pt idx="34">
                  <c:v>2029</c:v>
                </c:pt>
                <c:pt idx="35">
                  <c:v>2030</c:v>
                </c:pt>
                <c:pt idx="36">
                  <c:v>2031</c:v>
                </c:pt>
                <c:pt idx="37">
                  <c:v>2032</c:v>
                </c:pt>
                <c:pt idx="38">
                  <c:v>2033</c:v>
                </c:pt>
                <c:pt idx="39">
                  <c:v>2034</c:v>
                </c:pt>
                <c:pt idx="40">
                  <c:v>2035</c:v>
                </c:pt>
                <c:pt idx="41">
                  <c:v>2036</c:v>
                </c:pt>
                <c:pt idx="42">
                  <c:v>2037</c:v>
                </c:pt>
                <c:pt idx="43">
                  <c:v>2038</c:v>
                </c:pt>
                <c:pt idx="44">
                  <c:v>2039</c:v>
                </c:pt>
                <c:pt idx="45">
                  <c:v>2040</c:v>
                </c:pt>
                <c:pt idx="46">
                  <c:v>2041</c:v>
                </c:pt>
                <c:pt idx="47">
                  <c:v>2042</c:v>
                </c:pt>
                <c:pt idx="48">
                  <c:v>2043</c:v>
                </c:pt>
                <c:pt idx="49">
                  <c:v>2044</c:v>
                </c:pt>
                <c:pt idx="50">
                  <c:v>2045</c:v>
                </c:pt>
                <c:pt idx="51">
                  <c:v>2046</c:v>
                </c:pt>
                <c:pt idx="52">
                  <c:v>2047</c:v>
                </c:pt>
                <c:pt idx="53">
                  <c:v>2048</c:v>
                </c:pt>
                <c:pt idx="54">
                  <c:v>2049</c:v>
                </c:pt>
                <c:pt idx="55">
                  <c:v>2050</c:v>
                </c:pt>
              </c:numCache>
            </c:numRef>
          </c:cat>
          <c:val>
            <c:numRef>
              <c:f>ED!$N$67:$N$122</c:f>
              <c:numCache>
                <c:formatCode>0.0</c:formatCode>
                <c:ptCount val="56"/>
                <c:pt idx="0">
                  <c:v>71.958781770000002</c:v>
                </c:pt>
                <c:pt idx="1">
                  <c:v>74.782839189999976</c:v>
                </c:pt>
                <c:pt idx="2">
                  <c:v>75.410338730000007</c:v>
                </c:pt>
                <c:pt idx="3">
                  <c:v>74.86499508</c:v>
                </c:pt>
                <c:pt idx="4">
                  <c:v>76.340601700000008</c:v>
                </c:pt>
                <c:pt idx="5">
                  <c:v>76.172476860000017</c:v>
                </c:pt>
                <c:pt idx="6">
                  <c:v>75.965079860000003</c:v>
                </c:pt>
                <c:pt idx="7">
                  <c:v>77.215048849999988</c:v>
                </c:pt>
                <c:pt idx="8">
                  <c:v>75.878598019999998</c:v>
                </c:pt>
                <c:pt idx="9">
                  <c:v>76.304902039999988</c:v>
                </c:pt>
                <c:pt idx="10">
                  <c:v>75.413214559999986</c:v>
                </c:pt>
                <c:pt idx="11">
                  <c:v>74.958157420000006</c:v>
                </c:pt>
                <c:pt idx="12">
                  <c:v>74.348432209999984</c:v>
                </c:pt>
                <c:pt idx="13">
                  <c:v>71.984716360000007</c:v>
                </c:pt>
                <c:pt idx="14">
                  <c:v>69.777386059999984</c:v>
                </c:pt>
                <c:pt idx="15">
                  <c:v>69.431074409999994</c:v>
                </c:pt>
                <c:pt idx="16">
                  <c:v>68.377738579999999</c:v>
                </c:pt>
                <c:pt idx="17">
                  <c:v>67.952152889999979</c:v>
                </c:pt>
                <c:pt idx="18">
                  <c:v>67.563900000000004</c:v>
                </c:pt>
                <c:pt idx="19">
                  <c:v>67.22771723999999</c:v>
                </c:pt>
                <c:pt idx="20">
                  <c:v>66.83298812000001</c:v>
                </c:pt>
                <c:pt idx="21">
                  <c:v>66.378006440000007</c:v>
                </c:pt>
                <c:pt idx="22">
                  <c:v>65.956969820000012</c:v>
                </c:pt>
                <c:pt idx="23">
                  <c:v>65.593285260000002</c:v>
                </c:pt>
                <c:pt idx="24">
                  <c:v>65.300269740000005</c:v>
                </c:pt>
                <c:pt idx="25">
                  <c:v>64.96368360999999</c:v>
                </c:pt>
                <c:pt idx="26">
                  <c:v>64.598053240000013</c:v>
                </c:pt>
                <c:pt idx="27">
                  <c:v>64.265671949999998</c:v>
                </c:pt>
                <c:pt idx="28">
                  <c:v>63.967049580000023</c:v>
                </c:pt>
                <c:pt idx="29">
                  <c:v>63.695186389999996</c:v>
                </c:pt>
                <c:pt idx="30">
                  <c:v>63.339130639999986</c:v>
                </c:pt>
                <c:pt idx="31">
                  <c:v>62.905422550000004</c:v>
                </c:pt>
                <c:pt idx="32">
                  <c:v>62.500973369999997</c:v>
                </c:pt>
                <c:pt idx="33">
                  <c:v>62.12450179999999</c:v>
                </c:pt>
                <c:pt idx="34">
                  <c:v>61.787633190000008</c:v>
                </c:pt>
                <c:pt idx="35">
                  <c:v>61.243589100000015</c:v>
                </c:pt>
                <c:pt idx="36">
                  <c:v>60.556762949999964</c:v>
                </c:pt>
                <c:pt idx="37">
                  <c:v>59.916421440000001</c:v>
                </c:pt>
                <c:pt idx="38">
                  <c:v>59.331082329999994</c:v>
                </c:pt>
                <c:pt idx="39">
                  <c:v>58.799656340000006</c:v>
                </c:pt>
                <c:pt idx="40">
                  <c:v>58.184163440000013</c:v>
                </c:pt>
                <c:pt idx="41">
                  <c:v>57.535850209999985</c:v>
                </c:pt>
                <c:pt idx="42">
                  <c:v>56.940060989999992</c:v>
                </c:pt>
                <c:pt idx="43">
                  <c:v>56.396378950000013</c:v>
                </c:pt>
                <c:pt idx="44">
                  <c:v>55.906501330000005</c:v>
                </c:pt>
                <c:pt idx="45">
                  <c:v>55.284295120000003</c:v>
                </c:pt>
                <c:pt idx="46">
                  <c:v>54.612179650000016</c:v>
                </c:pt>
                <c:pt idx="47">
                  <c:v>54.007447480000032</c:v>
                </c:pt>
                <c:pt idx="48">
                  <c:v>53.472604910000001</c:v>
                </c:pt>
                <c:pt idx="49">
                  <c:v>53.009379649999993</c:v>
                </c:pt>
                <c:pt idx="50">
                  <c:v>52.366144640000002</c:v>
                </c:pt>
                <c:pt idx="51">
                  <c:v>51.655378309999996</c:v>
                </c:pt>
                <c:pt idx="52">
                  <c:v>51.011358309999991</c:v>
                </c:pt>
                <c:pt idx="53">
                  <c:v>50.425832859999986</c:v>
                </c:pt>
                <c:pt idx="54">
                  <c:v>49.894031579999982</c:v>
                </c:pt>
                <c:pt idx="55">
                  <c:v>49.413813459999993</c:v>
                </c:pt>
              </c:numCache>
            </c:numRef>
          </c:val>
          <c:smooth val="0"/>
        </c:ser>
        <c:dLbls>
          <c:showLegendKey val="0"/>
          <c:showVal val="0"/>
          <c:showCatName val="0"/>
          <c:showSerName val="0"/>
          <c:showPercent val="0"/>
          <c:showBubbleSize val="0"/>
        </c:dLbls>
        <c:marker val="1"/>
        <c:smooth val="0"/>
        <c:axId val="129431808"/>
        <c:axId val="131495424"/>
      </c:lineChart>
      <c:catAx>
        <c:axId val="129431808"/>
        <c:scaling>
          <c:orientation val="minMax"/>
        </c:scaling>
        <c:delete val="0"/>
        <c:axPos val="b"/>
        <c:numFmt formatCode="General" sourceLinked="1"/>
        <c:majorTickMark val="out"/>
        <c:minorTickMark val="none"/>
        <c:tickLblPos val="nextTo"/>
        <c:txPr>
          <a:bodyPr/>
          <a:lstStyle/>
          <a:p>
            <a:pPr>
              <a:defRPr sz="1000"/>
            </a:pPr>
            <a:endParaRPr lang="en-US"/>
          </a:p>
        </c:txPr>
        <c:crossAx val="131495424"/>
        <c:crosses val="autoZero"/>
        <c:auto val="1"/>
        <c:lblAlgn val="ctr"/>
        <c:lblOffset val="100"/>
        <c:tickLblSkip val="5"/>
        <c:noMultiLvlLbl val="0"/>
      </c:catAx>
      <c:valAx>
        <c:axId val="131495424"/>
        <c:scaling>
          <c:orientation val="minMax"/>
        </c:scaling>
        <c:delete val="0"/>
        <c:axPos val="l"/>
        <c:title>
          <c:tx>
            <c:rich>
              <a:bodyPr rot="-5400000" vert="horz"/>
              <a:lstStyle/>
              <a:p>
                <a:pPr>
                  <a:defRPr/>
                </a:pPr>
                <a:r>
                  <a:rPr lang="en-GB"/>
                  <a:t>direct CO2 emissions [Mt p.a.]</a:t>
                </a:r>
              </a:p>
            </c:rich>
          </c:tx>
          <c:layout>
            <c:manualLayout>
              <c:xMode val="edge"/>
              <c:yMode val="edge"/>
              <c:x val="2.8837673611111111E-2"/>
              <c:y val="0.17181666666666667"/>
            </c:manualLayout>
          </c:layout>
          <c:overlay val="0"/>
        </c:title>
        <c:numFmt formatCode="#,##0" sourceLinked="0"/>
        <c:majorTickMark val="out"/>
        <c:minorTickMark val="none"/>
        <c:tickLblPos val="nextTo"/>
        <c:crossAx val="129431808"/>
        <c:crosses val="autoZero"/>
        <c:crossBetween val="between"/>
      </c:valAx>
    </c:plotArea>
    <c:legend>
      <c:legendPos val="r"/>
      <c:layout>
        <c:manualLayout>
          <c:xMode val="edge"/>
          <c:yMode val="edge"/>
          <c:x val="0.82799843750000002"/>
          <c:y val="3.6022777777777772E-2"/>
          <c:w val="0.16538697916666667"/>
          <c:h val="0.92089861111111115"/>
        </c:manualLayout>
      </c:layout>
      <c:overlay val="0"/>
      <c:txPr>
        <a:bodyPr/>
        <a:lstStyle/>
        <a:p>
          <a:pPr>
            <a:defRPr sz="1000"/>
          </a:pPr>
          <a:endParaRPr lang="en-US"/>
        </a:p>
      </c:txPr>
    </c:legend>
    <c:plotVisOnly val="1"/>
    <c:dispBlanksAs val="gap"/>
    <c:showDLblsOverMax val="0"/>
  </c:chart>
  <c:spPr>
    <a:ln>
      <a:noFill/>
    </a:ln>
  </c:spPr>
  <c:txPr>
    <a:bodyPr/>
    <a:lstStyle/>
    <a:p>
      <a:pPr>
        <a:defRPr sz="1200">
          <a:latin typeface="Times New Roman" pitchFamily="18" charset="0"/>
          <a:cs typeface="Times New Roman" pitchFamily="18" charset="0"/>
        </a:defRPr>
      </a:pPr>
      <a:endParaRPr lang="en-US"/>
    </a:p>
  </c:txPr>
  <c:externalData r:id="rId1">
    <c:autoUpdate val="0"/>
  </c:externalData>
  <c:userShapes r:id="rId2"/>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31400173611111"/>
          <c:y val="4.6103413151384803E-2"/>
          <c:w val="0.65771121461558102"/>
          <c:h val="0.83988620429295702"/>
        </c:manualLayout>
      </c:layout>
      <c:lineChart>
        <c:grouping val="standard"/>
        <c:varyColors val="0"/>
        <c:ser>
          <c:idx val="0"/>
          <c:order val="0"/>
          <c:tx>
            <c:strRef>
              <c:f>'GWP100'!$B$66</c:f>
              <c:strCache>
                <c:ptCount val="1"/>
                <c:pt idx="0">
                  <c:v>REF</c:v>
                </c:pt>
              </c:strCache>
            </c:strRef>
          </c:tx>
          <c:spPr>
            <a:ln w="28575">
              <a:solidFill>
                <a:schemeClr val="tx1"/>
              </a:solidFill>
            </a:ln>
          </c:spPr>
          <c:marker>
            <c:symbol val="none"/>
          </c:marker>
          <c:cat>
            <c:numRef>
              <c:f>'GWP100'!$A$67:$A$122</c:f>
              <c:numCache>
                <c:formatCode>General</c:formatCode>
                <c:ptCount val="56"/>
                <c:pt idx="0">
                  <c:v>1995</c:v>
                </c:pt>
                <c:pt idx="1">
                  <c:v>1996</c:v>
                </c:pt>
                <c:pt idx="2">
                  <c:v>1997</c:v>
                </c:pt>
                <c:pt idx="3">
                  <c:v>1998</c:v>
                </c:pt>
                <c:pt idx="4">
                  <c:v>1999</c:v>
                </c:pt>
                <c:pt idx="5">
                  <c:v>2000</c:v>
                </c:pt>
                <c:pt idx="6">
                  <c:v>2001</c:v>
                </c:pt>
                <c:pt idx="7">
                  <c:v>2002</c:v>
                </c:pt>
                <c:pt idx="8">
                  <c:v>2003</c:v>
                </c:pt>
                <c:pt idx="9">
                  <c:v>2004</c:v>
                </c:pt>
                <c:pt idx="10">
                  <c:v>2005</c:v>
                </c:pt>
                <c:pt idx="11">
                  <c:v>2006</c:v>
                </c:pt>
                <c:pt idx="12">
                  <c:v>2007</c:v>
                </c:pt>
                <c:pt idx="13">
                  <c:v>2008</c:v>
                </c:pt>
                <c:pt idx="14">
                  <c:v>2009</c:v>
                </c:pt>
                <c:pt idx="15">
                  <c:v>2010</c:v>
                </c:pt>
                <c:pt idx="16">
                  <c:v>2011</c:v>
                </c:pt>
                <c:pt idx="17">
                  <c:v>2012</c:v>
                </c:pt>
                <c:pt idx="18">
                  <c:v>2013</c:v>
                </c:pt>
                <c:pt idx="19">
                  <c:v>2014</c:v>
                </c:pt>
                <c:pt idx="20">
                  <c:v>2015</c:v>
                </c:pt>
                <c:pt idx="21">
                  <c:v>2016</c:v>
                </c:pt>
                <c:pt idx="22">
                  <c:v>2017</c:v>
                </c:pt>
                <c:pt idx="23">
                  <c:v>2018</c:v>
                </c:pt>
                <c:pt idx="24">
                  <c:v>2019</c:v>
                </c:pt>
                <c:pt idx="25">
                  <c:v>2020</c:v>
                </c:pt>
                <c:pt idx="26">
                  <c:v>2021</c:v>
                </c:pt>
                <c:pt idx="27">
                  <c:v>2022</c:v>
                </c:pt>
                <c:pt idx="28">
                  <c:v>2023</c:v>
                </c:pt>
                <c:pt idx="29">
                  <c:v>2024</c:v>
                </c:pt>
                <c:pt idx="30">
                  <c:v>2025</c:v>
                </c:pt>
                <c:pt idx="31">
                  <c:v>2026</c:v>
                </c:pt>
                <c:pt idx="32">
                  <c:v>2027</c:v>
                </c:pt>
                <c:pt idx="33">
                  <c:v>2028</c:v>
                </c:pt>
                <c:pt idx="34">
                  <c:v>2029</c:v>
                </c:pt>
                <c:pt idx="35">
                  <c:v>2030</c:v>
                </c:pt>
                <c:pt idx="36">
                  <c:v>2031</c:v>
                </c:pt>
                <c:pt idx="37">
                  <c:v>2032</c:v>
                </c:pt>
                <c:pt idx="38">
                  <c:v>2033</c:v>
                </c:pt>
                <c:pt idx="39">
                  <c:v>2034</c:v>
                </c:pt>
                <c:pt idx="40">
                  <c:v>2035</c:v>
                </c:pt>
                <c:pt idx="41">
                  <c:v>2036</c:v>
                </c:pt>
                <c:pt idx="42">
                  <c:v>2037</c:v>
                </c:pt>
                <c:pt idx="43">
                  <c:v>2038</c:v>
                </c:pt>
                <c:pt idx="44">
                  <c:v>2039</c:v>
                </c:pt>
                <c:pt idx="45">
                  <c:v>2040</c:v>
                </c:pt>
                <c:pt idx="46">
                  <c:v>2041</c:v>
                </c:pt>
                <c:pt idx="47">
                  <c:v>2042</c:v>
                </c:pt>
                <c:pt idx="48">
                  <c:v>2043</c:v>
                </c:pt>
                <c:pt idx="49">
                  <c:v>2044</c:v>
                </c:pt>
                <c:pt idx="50">
                  <c:v>2045</c:v>
                </c:pt>
                <c:pt idx="51">
                  <c:v>2046</c:v>
                </c:pt>
                <c:pt idx="52">
                  <c:v>2047</c:v>
                </c:pt>
                <c:pt idx="53">
                  <c:v>2048</c:v>
                </c:pt>
                <c:pt idx="54">
                  <c:v>2049</c:v>
                </c:pt>
                <c:pt idx="55">
                  <c:v>2050</c:v>
                </c:pt>
              </c:numCache>
            </c:numRef>
          </c:cat>
          <c:val>
            <c:numRef>
              <c:f>'GWP100'!$B$67:$B$122</c:f>
              <c:numCache>
                <c:formatCode>0.0</c:formatCode>
                <c:ptCount val="56"/>
                <c:pt idx="0">
                  <c:v>107.8294593</c:v>
                </c:pt>
                <c:pt idx="1">
                  <c:v>111.5401494</c:v>
                </c:pt>
                <c:pt idx="2">
                  <c:v>111.0913128</c:v>
                </c:pt>
                <c:pt idx="3">
                  <c:v>110.4030865</c:v>
                </c:pt>
                <c:pt idx="4">
                  <c:v>112.4293859</c:v>
                </c:pt>
                <c:pt idx="5">
                  <c:v>112.0123905</c:v>
                </c:pt>
                <c:pt idx="6">
                  <c:v>112.4440881</c:v>
                </c:pt>
                <c:pt idx="7">
                  <c:v>113.1595917999999</c:v>
                </c:pt>
                <c:pt idx="8">
                  <c:v>110.5116647000002</c:v>
                </c:pt>
                <c:pt idx="9">
                  <c:v>111.2505008</c:v>
                </c:pt>
                <c:pt idx="10">
                  <c:v>109.2658672000001</c:v>
                </c:pt>
                <c:pt idx="11">
                  <c:v>107.5648107</c:v>
                </c:pt>
                <c:pt idx="12">
                  <c:v>107.0590005</c:v>
                </c:pt>
                <c:pt idx="13">
                  <c:v>104.97017270000001</c:v>
                </c:pt>
                <c:pt idx="14">
                  <c:v>102.2489131</c:v>
                </c:pt>
                <c:pt idx="15">
                  <c:v>101.66795380000001</c:v>
                </c:pt>
                <c:pt idx="16">
                  <c:v>101.7479295000002</c:v>
                </c:pt>
                <c:pt idx="17">
                  <c:v>101.7209668</c:v>
                </c:pt>
                <c:pt idx="18">
                  <c:v>101.7796801999999</c:v>
                </c:pt>
                <c:pt idx="19">
                  <c:v>101.88582390000001</c:v>
                </c:pt>
                <c:pt idx="20">
                  <c:v>101.9118373</c:v>
                </c:pt>
                <c:pt idx="21">
                  <c:v>101.85175030000001</c:v>
                </c:pt>
                <c:pt idx="22">
                  <c:v>101.79524790000001</c:v>
                </c:pt>
                <c:pt idx="23">
                  <c:v>101.7813075</c:v>
                </c:pt>
                <c:pt idx="24">
                  <c:v>101.81714340000001</c:v>
                </c:pt>
                <c:pt idx="25">
                  <c:v>101.76407589999999</c:v>
                </c:pt>
                <c:pt idx="26">
                  <c:v>101.7795528</c:v>
                </c:pt>
                <c:pt idx="27">
                  <c:v>101.86250130000001</c:v>
                </c:pt>
                <c:pt idx="28">
                  <c:v>102.0478500000001</c:v>
                </c:pt>
                <c:pt idx="29">
                  <c:v>102.26966160000011</c:v>
                </c:pt>
                <c:pt idx="30">
                  <c:v>102.425785</c:v>
                </c:pt>
                <c:pt idx="31">
                  <c:v>102.5721309999999</c:v>
                </c:pt>
                <c:pt idx="32">
                  <c:v>102.5675032000001</c:v>
                </c:pt>
                <c:pt idx="33">
                  <c:v>102.5700620999999</c:v>
                </c:pt>
                <c:pt idx="34">
                  <c:v>102.55692189999991</c:v>
                </c:pt>
                <c:pt idx="35">
                  <c:v>102.5132588</c:v>
                </c:pt>
                <c:pt idx="36">
                  <c:v>102.3530404</c:v>
                </c:pt>
                <c:pt idx="37">
                  <c:v>102.29272640000001</c:v>
                </c:pt>
                <c:pt idx="38">
                  <c:v>102.17407</c:v>
                </c:pt>
                <c:pt idx="39">
                  <c:v>102.10293590000001</c:v>
                </c:pt>
                <c:pt idx="40">
                  <c:v>102.02385049999999</c:v>
                </c:pt>
                <c:pt idx="41">
                  <c:v>101.82328099999999</c:v>
                </c:pt>
                <c:pt idx="42">
                  <c:v>101.7788170999999</c:v>
                </c:pt>
                <c:pt idx="43">
                  <c:v>101.776492</c:v>
                </c:pt>
                <c:pt idx="44">
                  <c:v>101.8264211999999</c:v>
                </c:pt>
                <c:pt idx="45">
                  <c:v>101.84840079999999</c:v>
                </c:pt>
                <c:pt idx="46">
                  <c:v>101.7526491</c:v>
                </c:pt>
                <c:pt idx="47">
                  <c:v>101.8134913</c:v>
                </c:pt>
                <c:pt idx="48">
                  <c:v>101.8897284</c:v>
                </c:pt>
                <c:pt idx="49">
                  <c:v>101.9983592000001</c:v>
                </c:pt>
                <c:pt idx="50">
                  <c:v>102.05355520000001</c:v>
                </c:pt>
                <c:pt idx="51">
                  <c:v>101.9455751</c:v>
                </c:pt>
                <c:pt idx="52">
                  <c:v>101.9871725</c:v>
                </c:pt>
                <c:pt idx="53">
                  <c:v>102.0454835</c:v>
                </c:pt>
                <c:pt idx="54">
                  <c:v>102.139861</c:v>
                </c:pt>
                <c:pt idx="55">
                  <c:v>102.26964960000021</c:v>
                </c:pt>
              </c:numCache>
            </c:numRef>
          </c:val>
          <c:smooth val="0"/>
        </c:ser>
        <c:ser>
          <c:idx val="1"/>
          <c:order val="1"/>
          <c:tx>
            <c:strRef>
              <c:f>'GWP100'!$C$66</c:f>
              <c:strCache>
                <c:ptCount val="1"/>
                <c:pt idx="0">
                  <c:v>CPT1</c:v>
                </c:pt>
              </c:strCache>
            </c:strRef>
          </c:tx>
          <c:spPr>
            <a:ln w="28575">
              <a:solidFill>
                <a:schemeClr val="tx1"/>
              </a:solidFill>
              <a:prstDash val="sysDot"/>
            </a:ln>
          </c:spPr>
          <c:marker>
            <c:symbol val="none"/>
          </c:marker>
          <c:cat>
            <c:numRef>
              <c:f>'GWP100'!$A$67:$A$122</c:f>
              <c:numCache>
                <c:formatCode>General</c:formatCode>
                <c:ptCount val="56"/>
                <c:pt idx="0">
                  <c:v>1995</c:v>
                </c:pt>
                <c:pt idx="1">
                  <c:v>1996</c:v>
                </c:pt>
                <c:pt idx="2">
                  <c:v>1997</c:v>
                </c:pt>
                <c:pt idx="3">
                  <c:v>1998</c:v>
                </c:pt>
                <c:pt idx="4">
                  <c:v>1999</c:v>
                </c:pt>
                <c:pt idx="5">
                  <c:v>2000</c:v>
                </c:pt>
                <c:pt idx="6">
                  <c:v>2001</c:v>
                </c:pt>
                <c:pt idx="7">
                  <c:v>2002</c:v>
                </c:pt>
                <c:pt idx="8">
                  <c:v>2003</c:v>
                </c:pt>
                <c:pt idx="9">
                  <c:v>2004</c:v>
                </c:pt>
                <c:pt idx="10">
                  <c:v>2005</c:v>
                </c:pt>
                <c:pt idx="11">
                  <c:v>2006</c:v>
                </c:pt>
                <c:pt idx="12">
                  <c:v>2007</c:v>
                </c:pt>
                <c:pt idx="13">
                  <c:v>2008</c:v>
                </c:pt>
                <c:pt idx="14">
                  <c:v>2009</c:v>
                </c:pt>
                <c:pt idx="15">
                  <c:v>2010</c:v>
                </c:pt>
                <c:pt idx="16">
                  <c:v>2011</c:v>
                </c:pt>
                <c:pt idx="17">
                  <c:v>2012</c:v>
                </c:pt>
                <c:pt idx="18">
                  <c:v>2013</c:v>
                </c:pt>
                <c:pt idx="19">
                  <c:v>2014</c:v>
                </c:pt>
                <c:pt idx="20">
                  <c:v>2015</c:v>
                </c:pt>
                <c:pt idx="21">
                  <c:v>2016</c:v>
                </c:pt>
                <c:pt idx="22">
                  <c:v>2017</c:v>
                </c:pt>
                <c:pt idx="23">
                  <c:v>2018</c:v>
                </c:pt>
                <c:pt idx="24">
                  <c:v>2019</c:v>
                </c:pt>
                <c:pt idx="25">
                  <c:v>2020</c:v>
                </c:pt>
                <c:pt idx="26">
                  <c:v>2021</c:v>
                </c:pt>
                <c:pt idx="27">
                  <c:v>2022</c:v>
                </c:pt>
                <c:pt idx="28">
                  <c:v>2023</c:v>
                </c:pt>
                <c:pt idx="29">
                  <c:v>2024</c:v>
                </c:pt>
                <c:pt idx="30">
                  <c:v>2025</c:v>
                </c:pt>
                <c:pt idx="31">
                  <c:v>2026</c:v>
                </c:pt>
                <c:pt idx="32">
                  <c:v>2027</c:v>
                </c:pt>
                <c:pt idx="33">
                  <c:v>2028</c:v>
                </c:pt>
                <c:pt idx="34">
                  <c:v>2029</c:v>
                </c:pt>
                <c:pt idx="35">
                  <c:v>2030</c:v>
                </c:pt>
                <c:pt idx="36">
                  <c:v>2031</c:v>
                </c:pt>
                <c:pt idx="37">
                  <c:v>2032</c:v>
                </c:pt>
                <c:pt idx="38">
                  <c:v>2033</c:v>
                </c:pt>
                <c:pt idx="39">
                  <c:v>2034</c:v>
                </c:pt>
                <c:pt idx="40">
                  <c:v>2035</c:v>
                </c:pt>
                <c:pt idx="41">
                  <c:v>2036</c:v>
                </c:pt>
                <c:pt idx="42">
                  <c:v>2037</c:v>
                </c:pt>
                <c:pt idx="43">
                  <c:v>2038</c:v>
                </c:pt>
                <c:pt idx="44">
                  <c:v>2039</c:v>
                </c:pt>
                <c:pt idx="45">
                  <c:v>2040</c:v>
                </c:pt>
                <c:pt idx="46">
                  <c:v>2041</c:v>
                </c:pt>
                <c:pt idx="47">
                  <c:v>2042</c:v>
                </c:pt>
                <c:pt idx="48">
                  <c:v>2043</c:v>
                </c:pt>
                <c:pt idx="49">
                  <c:v>2044</c:v>
                </c:pt>
                <c:pt idx="50">
                  <c:v>2045</c:v>
                </c:pt>
                <c:pt idx="51">
                  <c:v>2046</c:v>
                </c:pt>
                <c:pt idx="52">
                  <c:v>2047</c:v>
                </c:pt>
                <c:pt idx="53">
                  <c:v>2048</c:v>
                </c:pt>
                <c:pt idx="54">
                  <c:v>2049</c:v>
                </c:pt>
                <c:pt idx="55">
                  <c:v>2050</c:v>
                </c:pt>
              </c:numCache>
            </c:numRef>
          </c:cat>
          <c:val>
            <c:numRef>
              <c:f>'GWP100'!$C$67:$C$122</c:f>
              <c:numCache>
                <c:formatCode>0.0</c:formatCode>
                <c:ptCount val="56"/>
                <c:pt idx="0">
                  <c:v>107.8294593</c:v>
                </c:pt>
                <c:pt idx="1">
                  <c:v>111.5401494</c:v>
                </c:pt>
                <c:pt idx="2">
                  <c:v>111.0913128</c:v>
                </c:pt>
                <c:pt idx="3">
                  <c:v>110.4030865</c:v>
                </c:pt>
                <c:pt idx="4">
                  <c:v>112.4293859</c:v>
                </c:pt>
                <c:pt idx="5">
                  <c:v>112.0123905</c:v>
                </c:pt>
                <c:pt idx="6">
                  <c:v>112.4440881</c:v>
                </c:pt>
                <c:pt idx="7">
                  <c:v>113.1595917999999</c:v>
                </c:pt>
                <c:pt idx="8">
                  <c:v>110.5116647000002</c:v>
                </c:pt>
                <c:pt idx="9">
                  <c:v>111.2505008</c:v>
                </c:pt>
                <c:pt idx="10">
                  <c:v>109.2658672000001</c:v>
                </c:pt>
                <c:pt idx="11">
                  <c:v>107.5648107</c:v>
                </c:pt>
                <c:pt idx="12">
                  <c:v>107.0590005</c:v>
                </c:pt>
                <c:pt idx="13">
                  <c:v>104.97017270000001</c:v>
                </c:pt>
                <c:pt idx="14">
                  <c:v>102.2489131</c:v>
                </c:pt>
                <c:pt idx="15">
                  <c:v>101.66795380000001</c:v>
                </c:pt>
                <c:pt idx="16">
                  <c:v>101.3432267</c:v>
                </c:pt>
                <c:pt idx="17">
                  <c:v>101.6012053</c:v>
                </c:pt>
                <c:pt idx="18">
                  <c:v>101.60409919999999</c:v>
                </c:pt>
                <c:pt idx="19">
                  <c:v>101.6531931</c:v>
                </c:pt>
                <c:pt idx="20">
                  <c:v>101.6251397999999</c:v>
                </c:pt>
                <c:pt idx="21">
                  <c:v>101.51522199999999</c:v>
                </c:pt>
                <c:pt idx="22">
                  <c:v>101.3987238</c:v>
                </c:pt>
                <c:pt idx="23">
                  <c:v>101.331177</c:v>
                </c:pt>
                <c:pt idx="24">
                  <c:v>101.3147749</c:v>
                </c:pt>
                <c:pt idx="25">
                  <c:v>101.21734070000009</c:v>
                </c:pt>
                <c:pt idx="26">
                  <c:v>101.1925535</c:v>
                </c:pt>
                <c:pt idx="27">
                  <c:v>101.22544600000001</c:v>
                </c:pt>
                <c:pt idx="28">
                  <c:v>101.3740344000001</c:v>
                </c:pt>
                <c:pt idx="29">
                  <c:v>101.5659382999999</c:v>
                </c:pt>
                <c:pt idx="30">
                  <c:v>101.7098668</c:v>
                </c:pt>
                <c:pt idx="31">
                  <c:v>101.84844889999989</c:v>
                </c:pt>
                <c:pt idx="32">
                  <c:v>101.8369111999999</c:v>
                </c:pt>
                <c:pt idx="33">
                  <c:v>101.8440169</c:v>
                </c:pt>
                <c:pt idx="34">
                  <c:v>101.8367316999999</c:v>
                </c:pt>
                <c:pt idx="35">
                  <c:v>101.47308870000001</c:v>
                </c:pt>
                <c:pt idx="36">
                  <c:v>101.18656540000001</c:v>
                </c:pt>
                <c:pt idx="37">
                  <c:v>101.1532472000001</c:v>
                </c:pt>
                <c:pt idx="38">
                  <c:v>100.8033421999998</c:v>
                </c:pt>
                <c:pt idx="39">
                  <c:v>100.50337449999989</c:v>
                </c:pt>
                <c:pt idx="40">
                  <c:v>99.986709000000062</c:v>
                </c:pt>
                <c:pt idx="41">
                  <c:v>99.622648999999782</c:v>
                </c:pt>
                <c:pt idx="42">
                  <c:v>99.590108599999951</c:v>
                </c:pt>
                <c:pt idx="43">
                  <c:v>99.382565499999913</c:v>
                </c:pt>
                <c:pt idx="44">
                  <c:v>99.236096199999949</c:v>
                </c:pt>
                <c:pt idx="45">
                  <c:v>99.059064499999906</c:v>
                </c:pt>
                <c:pt idx="46">
                  <c:v>98.808507099999844</c:v>
                </c:pt>
                <c:pt idx="47">
                  <c:v>98.693950099999981</c:v>
                </c:pt>
                <c:pt idx="48">
                  <c:v>98.629701699999842</c:v>
                </c:pt>
                <c:pt idx="49">
                  <c:v>98.624337099999806</c:v>
                </c:pt>
                <c:pt idx="50">
                  <c:v>98.179572899999656</c:v>
                </c:pt>
                <c:pt idx="51">
                  <c:v>97.923142999999982</c:v>
                </c:pt>
                <c:pt idx="52">
                  <c:v>98.12172529999998</c:v>
                </c:pt>
                <c:pt idx="53">
                  <c:v>98.026407899999754</c:v>
                </c:pt>
                <c:pt idx="54">
                  <c:v>97.975201799999951</c:v>
                </c:pt>
                <c:pt idx="55">
                  <c:v>97.963391099999981</c:v>
                </c:pt>
              </c:numCache>
            </c:numRef>
          </c:val>
          <c:smooth val="0"/>
        </c:ser>
        <c:ser>
          <c:idx val="6"/>
          <c:order val="2"/>
          <c:tx>
            <c:strRef>
              <c:f>'GWP100'!$O$66</c:f>
              <c:strCache>
                <c:ptCount val="1"/>
                <c:pt idx="0">
                  <c:v>CPT2b</c:v>
                </c:pt>
              </c:strCache>
            </c:strRef>
          </c:tx>
          <c:spPr>
            <a:ln w="28575">
              <a:solidFill>
                <a:schemeClr val="tx1"/>
              </a:solidFill>
              <a:prstDash val="sysDash"/>
            </a:ln>
          </c:spPr>
          <c:marker>
            <c:symbol val="none"/>
          </c:marker>
          <c:cat>
            <c:numRef>
              <c:f>'GWP100'!$A$67:$A$122</c:f>
              <c:numCache>
                <c:formatCode>General</c:formatCode>
                <c:ptCount val="56"/>
                <c:pt idx="0">
                  <c:v>1995</c:v>
                </c:pt>
                <c:pt idx="1">
                  <c:v>1996</c:v>
                </c:pt>
                <c:pt idx="2">
                  <c:v>1997</c:v>
                </c:pt>
                <c:pt idx="3">
                  <c:v>1998</c:v>
                </c:pt>
                <c:pt idx="4">
                  <c:v>1999</c:v>
                </c:pt>
                <c:pt idx="5">
                  <c:v>2000</c:v>
                </c:pt>
                <c:pt idx="6">
                  <c:v>2001</c:v>
                </c:pt>
                <c:pt idx="7">
                  <c:v>2002</c:v>
                </c:pt>
                <c:pt idx="8">
                  <c:v>2003</c:v>
                </c:pt>
                <c:pt idx="9">
                  <c:v>2004</c:v>
                </c:pt>
                <c:pt idx="10">
                  <c:v>2005</c:v>
                </c:pt>
                <c:pt idx="11">
                  <c:v>2006</c:v>
                </c:pt>
                <c:pt idx="12">
                  <c:v>2007</c:v>
                </c:pt>
                <c:pt idx="13">
                  <c:v>2008</c:v>
                </c:pt>
                <c:pt idx="14">
                  <c:v>2009</c:v>
                </c:pt>
                <c:pt idx="15">
                  <c:v>2010</c:v>
                </c:pt>
                <c:pt idx="16">
                  <c:v>2011</c:v>
                </c:pt>
                <c:pt idx="17">
                  <c:v>2012</c:v>
                </c:pt>
                <c:pt idx="18">
                  <c:v>2013</c:v>
                </c:pt>
                <c:pt idx="19">
                  <c:v>2014</c:v>
                </c:pt>
                <c:pt idx="20">
                  <c:v>2015</c:v>
                </c:pt>
                <c:pt idx="21">
                  <c:v>2016</c:v>
                </c:pt>
                <c:pt idx="22">
                  <c:v>2017</c:v>
                </c:pt>
                <c:pt idx="23">
                  <c:v>2018</c:v>
                </c:pt>
                <c:pt idx="24">
                  <c:v>2019</c:v>
                </c:pt>
                <c:pt idx="25">
                  <c:v>2020</c:v>
                </c:pt>
                <c:pt idx="26">
                  <c:v>2021</c:v>
                </c:pt>
                <c:pt idx="27">
                  <c:v>2022</c:v>
                </c:pt>
                <c:pt idx="28">
                  <c:v>2023</c:v>
                </c:pt>
                <c:pt idx="29">
                  <c:v>2024</c:v>
                </c:pt>
                <c:pt idx="30">
                  <c:v>2025</c:v>
                </c:pt>
                <c:pt idx="31">
                  <c:v>2026</c:v>
                </c:pt>
                <c:pt idx="32">
                  <c:v>2027</c:v>
                </c:pt>
                <c:pt idx="33">
                  <c:v>2028</c:v>
                </c:pt>
                <c:pt idx="34">
                  <c:v>2029</c:v>
                </c:pt>
                <c:pt idx="35">
                  <c:v>2030</c:v>
                </c:pt>
                <c:pt idx="36">
                  <c:v>2031</c:v>
                </c:pt>
                <c:pt idx="37">
                  <c:v>2032</c:v>
                </c:pt>
                <c:pt idx="38">
                  <c:v>2033</c:v>
                </c:pt>
                <c:pt idx="39">
                  <c:v>2034</c:v>
                </c:pt>
                <c:pt idx="40">
                  <c:v>2035</c:v>
                </c:pt>
                <c:pt idx="41">
                  <c:v>2036</c:v>
                </c:pt>
                <c:pt idx="42">
                  <c:v>2037</c:v>
                </c:pt>
                <c:pt idx="43">
                  <c:v>2038</c:v>
                </c:pt>
                <c:pt idx="44">
                  <c:v>2039</c:v>
                </c:pt>
                <c:pt idx="45">
                  <c:v>2040</c:v>
                </c:pt>
                <c:pt idx="46">
                  <c:v>2041</c:v>
                </c:pt>
                <c:pt idx="47">
                  <c:v>2042</c:v>
                </c:pt>
                <c:pt idx="48">
                  <c:v>2043</c:v>
                </c:pt>
                <c:pt idx="49">
                  <c:v>2044</c:v>
                </c:pt>
                <c:pt idx="50">
                  <c:v>2045</c:v>
                </c:pt>
                <c:pt idx="51">
                  <c:v>2046</c:v>
                </c:pt>
                <c:pt idx="52">
                  <c:v>2047</c:v>
                </c:pt>
                <c:pt idx="53">
                  <c:v>2048</c:v>
                </c:pt>
                <c:pt idx="54">
                  <c:v>2049</c:v>
                </c:pt>
                <c:pt idx="55">
                  <c:v>2050</c:v>
                </c:pt>
              </c:numCache>
            </c:numRef>
          </c:cat>
          <c:val>
            <c:numRef>
              <c:f>'GWP100'!$O$67:$O$122</c:f>
              <c:numCache>
                <c:formatCode>0.0</c:formatCode>
                <c:ptCount val="56"/>
                <c:pt idx="0">
                  <c:v>107.8294593</c:v>
                </c:pt>
                <c:pt idx="1">
                  <c:v>111.5401494</c:v>
                </c:pt>
                <c:pt idx="2">
                  <c:v>111.0913128</c:v>
                </c:pt>
                <c:pt idx="3">
                  <c:v>110.4030865</c:v>
                </c:pt>
                <c:pt idx="4">
                  <c:v>112.4293859</c:v>
                </c:pt>
                <c:pt idx="5">
                  <c:v>112.0123905</c:v>
                </c:pt>
                <c:pt idx="6">
                  <c:v>112.4440881</c:v>
                </c:pt>
                <c:pt idx="7">
                  <c:v>113.1595917999999</c:v>
                </c:pt>
                <c:pt idx="8">
                  <c:v>110.5116647000002</c:v>
                </c:pt>
                <c:pt idx="9">
                  <c:v>111.2505008</c:v>
                </c:pt>
                <c:pt idx="10">
                  <c:v>109.2658672000001</c:v>
                </c:pt>
                <c:pt idx="11">
                  <c:v>107.5648107</c:v>
                </c:pt>
                <c:pt idx="12">
                  <c:v>107.0590005</c:v>
                </c:pt>
                <c:pt idx="13">
                  <c:v>104.97017270000001</c:v>
                </c:pt>
                <c:pt idx="14">
                  <c:v>102.2489131</c:v>
                </c:pt>
                <c:pt idx="15">
                  <c:v>101.66795380000001</c:v>
                </c:pt>
                <c:pt idx="16">
                  <c:v>101.0384351999999</c:v>
                </c:pt>
                <c:pt idx="17">
                  <c:v>101.20312269999999</c:v>
                </c:pt>
                <c:pt idx="18">
                  <c:v>100.99638109999999</c:v>
                </c:pt>
                <c:pt idx="19">
                  <c:v>100.8334671999999</c:v>
                </c:pt>
                <c:pt idx="20">
                  <c:v>100.6032568</c:v>
                </c:pt>
                <c:pt idx="21">
                  <c:v>100.2943971</c:v>
                </c:pt>
                <c:pt idx="22">
                  <c:v>99.943506600000106</c:v>
                </c:pt>
                <c:pt idx="23">
                  <c:v>99.627378599999673</c:v>
                </c:pt>
                <c:pt idx="24">
                  <c:v>99.359817700000008</c:v>
                </c:pt>
                <c:pt idx="25">
                  <c:v>98.780731699999876</c:v>
                </c:pt>
                <c:pt idx="26">
                  <c:v>98.446277399999957</c:v>
                </c:pt>
                <c:pt idx="27">
                  <c:v>98.308853200000016</c:v>
                </c:pt>
                <c:pt idx="28">
                  <c:v>98.149721400000033</c:v>
                </c:pt>
                <c:pt idx="29">
                  <c:v>98.053208899999916</c:v>
                </c:pt>
                <c:pt idx="30">
                  <c:v>97.928937099999857</c:v>
                </c:pt>
                <c:pt idx="31">
                  <c:v>97.871225699999997</c:v>
                </c:pt>
                <c:pt idx="32">
                  <c:v>97.694500700000006</c:v>
                </c:pt>
                <c:pt idx="33">
                  <c:v>97.473218400000036</c:v>
                </c:pt>
                <c:pt idx="34">
                  <c:v>97.239224100000101</c:v>
                </c:pt>
                <c:pt idx="35">
                  <c:v>97.024036299999949</c:v>
                </c:pt>
                <c:pt idx="36">
                  <c:v>96.715497699999986</c:v>
                </c:pt>
                <c:pt idx="37">
                  <c:v>96.461861900000102</c:v>
                </c:pt>
                <c:pt idx="38">
                  <c:v>96.131009899999952</c:v>
                </c:pt>
                <c:pt idx="39">
                  <c:v>95.870723199999915</c:v>
                </c:pt>
                <c:pt idx="40">
                  <c:v>95.166540699999985</c:v>
                </c:pt>
                <c:pt idx="41">
                  <c:v>94.689854299999979</c:v>
                </c:pt>
                <c:pt idx="42">
                  <c:v>94.726794699999957</c:v>
                </c:pt>
                <c:pt idx="43">
                  <c:v>94.489994499999995</c:v>
                </c:pt>
                <c:pt idx="44">
                  <c:v>94.317988700000043</c:v>
                </c:pt>
                <c:pt idx="45">
                  <c:v>93.933666800000097</c:v>
                </c:pt>
                <c:pt idx="46">
                  <c:v>93.555560599999978</c:v>
                </c:pt>
                <c:pt idx="47">
                  <c:v>93.438383899999948</c:v>
                </c:pt>
                <c:pt idx="48">
                  <c:v>93.270210499999962</c:v>
                </c:pt>
                <c:pt idx="49">
                  <c:v>93.148084199999801</c:v>
                </c:pt>
                <c:pt idx="50">
                  <c:v>92.774858999999978</c:v>
                </c:pt>
                <c:pt idx="51">
                  <c:v>92.396753200000006</c:v>
                </c:pt>
                <c:pt idx="52">
                  <c:v>92.280305999999953</c:v>
                </c:pt>
                <c:pt idx="53">
                  <c:v>92.114428299999986</c:v>
                </c:pt>
                <c:pt idx="54">
                  <c:v>92.007646899999983</c:v>
                </c:pt>
                <c:pt idx="55">
                  <c:v>91.962173200000024</c:v>
                </c:pt>
              </c:numCache>
            </c:numRef>
          </c:val>
          <c:smooth val="0"/>
        </c:ser>
        <c:ser>
          <c:idx val="7"/>
          <c:order val="3"/>
          <c:tx>
            <c:strRef>
              <c:f>'GWP100'!$P$66</c:f>
              <c:strCache>
                <c:ptCount val="1"/>
                <c:pt idx="0">
                  <c:v>CPT3a</c:v>
                </c:pt>
              </c:strCache>
            </c:strRef>
          </c:tx>
          <c:spPr>
            <a:ln w="28575">
              <a:solidFill>
                <a:schemeClr val="tx1"/>
              </a:solidFill>
              <a:prstDash val="dash"/>
            </a:ln>
          </c:spPr>
          <c:marker>
            <c:symbol val="none"/>
          </c:marker>
          <c:cat>
            <c:numRef>
              <c:f>'GWP100'!$A$67:$A$122</c:f>
              <c:numCache>
                <c:formatCode>General</c:formatCode>
                <c:ptCount val="56"/>
                <c:pt idx="0">
                  <c:v>1995</c:v>
                </c:pt>
                <c:pt idx="1">
                  <c:v>1996</c:v>
                </c:pt>
                <c:pt idx="2">
                  <c:v>1997</c:v>
                </c:pt>
                <c:pt idx="3">
                  <c:v>1998</c:v>
                </c:pt>
                <c:pt idx="4">
                  <c:v>1999</c:v>
                </c:pt>
                <c:pt idx="5">
                  <c:v>2000</c:v>
                </c:pt>
                <c:pt idx="6">
                  <c:v>2001</c:v>
                </c:pt>
                <c:pt idx="7">
                  <c:v>2002</c:v>
                </c:pt>
                <c:pt idx="8">
                  <c:v>2003</c:v>
                </c:pt>
                <c:pt idx="9">
                  <c:v>2004</c:v>
                </c:pt>
                <c:pt idx="10">
                  <c:v>2005</c:v>
                </c:pt>
                <c:pt idx="11">
                  <c:v>2006</c:v>
                </c:pt>
                <c:pt idx="12">
                  <c:v>2007</c:v>
                </c:pt>
                <c:pt idx="13">
                  <c:v>2008</c:v>
                </c:pt>
                <c:pt idx="14">
                  <c:v>2009</c:v>
                </c:pt>
                <c:pt idx="15">
                  <c:v>2010</c:v>
                </c:pt>
                <c:pt idx="16">
                  <c:v>2011</c:v>
                </c:pt>
                <c:pt idx="17">
                  <c:v>2012</c:v>
                </c:pt>
                <c:pt idx="18">
                  <c:v>2013</c:v>
                </c:pt>
                <c:pt idx="19">
                  <c:v>2014</c:v>
                </c:pt>
                <c:pt idx="20">
                  <c:v>2015</c:v>
                </c:pt>
                <c:pt idx="21">
                  <c:v>2016</c:v>
                </c:pt>
                <c:pt idx="22">
                  <c:v>2017</c:v>
                </c:pt>
                <c:pt idx="23">
                  <c:v>2018</c:v>
                </c:pt>
                <c:pt idx="24">
                  <c:v>2019</c:v>
                </c:pt>
                <c:pt idx="25">
                  <c:v>2020</c:v>
                </c:pt>
                <c:pt idx="26">
                  <c:v>2021</c:v>
                </c:pt>
                <c:pt idx="27">
                  <c:v>2022</c:v>
                </c:pt>
                <c:pt idx="28">
                  <c:v>2023</c:v>
                </c:pt>
                <c:pt idx="29">
                  <c:v>2024</c:v>
                </c:pt>
                <c:pt idx="30">
                  <c:v>2025</c:v>
                </c:pt>
                <c:pt idx="31">
                  <c:v>2026</c:v>
                </c:pt>
                <c:pt idx="32">
                  <c:v>2027</c:v>
                </c:pt>
                <c:pt idx="33">
                  <c:v>2028</c:v>
                </c:pt>
                <c:pt idx="34">
                  <c:v>2029</c:v>
                </c:pt>
                <c:pt idx="35">
                  <c:v>2030</c:v>
                </c:pt>
                <c:pt idx="36">
                  <c:v>2031</c:v>
                </c:pt>
                <c:pt idx="37">
                  <c:v>2032</c:v>
                </c:pt>
                <c:pt idx="38">
                  <c:v>2033</c:v>
                </c:pt>
                <c:pt idx="39">
                  <c:v>2034</c:v>
                </c:pt>
                <c:pt idx="40">
                  <c:v>2035</c:v>
                </c:pt>
                <c:pt idx="41">
                  <c:v>2036</c:v>
                </c:pt>
                <c:pt idx="42">
                  <c:v>2037</c:v>
                </c:pt>
                <c:pt idx="43">
                  <c:v>2038</c:v>
                </c:pt>
                <c:pt idx="44">
                  <c:v>2039</c:v>
                </c:pt>
                <c:pt idx="45">
                  <c:v>2040</c:v>
                </c:pt>
                <c:pt idx="46">
                  <c:v>2041</c:v>
                </c:pt>
                <c:pt idx="47">
                  <c:v>2042</c:v>
                </c:pt>
                <c:pt idx="48">
                  <c:v>2043</c:v>
                </c:pt>
                <c:pt idx="49">
                  <c:v>2044</c:v>
                </c:pt>
                <c:pt idx="50">
                  <c:v>2045</c:v>
                </c:pt>
                <c:pt idx="51">
                  <c:v>2046</c:v>
                </c:pt>
                <c:pt idx="52">
                  <c:v>2047</c:v>
                </c:pt>
                <c:pt idx="53">
                  <c:v>2048</c:v>
                </c:pt>
                <c:pt idx="54">
                  <c:v>2049</c:v>
                </c:pt>
                <c:pt idx="55">
                  <c:v>2050</c:v>
                </c:pt>
              </c:numCache>
            </c:numRef>
          </c:cat>
          <c:val>
            <c:numRef>
              <c:f>'GWP100'!$P$67:$P$122</c:f>
              <c:numCache>
                <c:formatCode>0.0</c:formatCode>
                <c:ptCount val="56"/>
                <c:pt idx="0">
                  <c:v>107.8294593</c:v>
                </c:pt>
                <c:pt idx="1">
                  <c:v>111.5401494</c:v>
                </c:pt>
                <c:pt idx="2">
                  <c:v>111.0913128</c:v>
                </c:pt>
                <c:pt idx="3">
                  <c:v>110.4030865</c:v>
                </c:pt>
                <c:pt idx="4">
                  <c:v>112.4293859</c:v>
                </c:pt>
                <c:pt idx="5">
                  <c:v>112.0123905</c:v>
                </c:pt>
                <c:pt idx="6">
                  <c:v>112.4440881</c:v>
                </c:pt>
                <c:pt idx="7">
                  <c:v>113.1595917999999</c:v>
                </c:pt>
                <c:pt idx="8">
                  <c:v>110.5116647000002</c:v>
                </c:pt>
                <c:pt idx="9">
                  <c:v>111.2505008</c:v>
                </c:pt>
                <c:pt idx="10">
                  <c:v>109.2658672000001</c:v>
                </c:pt>
                <c:pt idx="11">
                  <c:v>107.5648107</c:v>
                </c:pt>
                <c:pt idx="12">
                  <c:v>107.0590005</c:v>
                </c:pt>
                <c:pt idx="13">
                  <c:v>104.97017270000001</c:v>
                </c:pt>
                <c:pt idx="14">
                  <c:v>102.2489131</c:v>
                </c:pt>
                <c:pt idx="15">
                  <c:v>101.66795380000001</c:v>
                </c:pt>
                <c:pt idx="16">
                  <c:v>98.705605100000042</c:v>
                </c:pt>
                <c:pt idx="17">
                  <c:v>100.2660412</c:v>
                </c:pt>
                <c:pt idx="18">
                  <c:v>99.634739400000001</c:v>
                </c:pt>
                <c:pt idx="19">
                  <c:v>99.035125899999983</c:v>
                </c:pt>
                <c:pt idx="20">
                  <c:v>98.309653999999995</c:v>
                </c:pt>
                <c:pt idx="21">
                  <c:v>97.630485499999949</c:v>
                </c:pt>
                <c:pt idx="22">
                  <c:v>96.907741300000012</c:v>
                </c:pt>
                <c:pt idx="23">
                  <c:v>96.137879199999915</c:v>
                </c:pt>
                <c:pt idx="24">
                  <c:v>95.423752099999916</c:v>
                </c:pt>
                <c:pt idx="25">
                  <c:v>93.923509300000006</c:v>
                </c:pt>
                <c:pt idx="26">
                  <c:v>93.276863100000014</c:v>
                </c:pt>
                <c:pt idx="27">
                  <c:v>93.248390599999979</c:v>
                </c:pt>
                <c:pt idx="28">
                  <c:v>92.791824500000104</c:v>
                </c:pt>
                <c:pt idx="29">
                  <c:v>92.449419800000101</c:v>
                </c:pt>
                <c:pt idx="30">
                  <c:v>92.106423500000005</c:v>
                </c:pt>
                <c:pt idx="31">
                  <c:v>92.005156099999979</c:v>
                </c:pt>
                <c:pt idx="32">
                  <c:v>91.660774299999886</c:v>
                </c:pt>
                <c:pt idx="33">
                  <c:v>91.176715099999782</c:v>
                </c:pt>
                <c:pt idx="34">
                  <c:v>90.687632799999875</c:v>
                </c:pt>
                <c:pt idx="35">
                  <c:v>90.230477799999946</c:v>
                </c:pt>
                <c:pt idx="36">
                  <c:v>89.849553200000102</c:v>
                </c:pt>
                <c:pt idx="37">
                  <c:v>89.566205900000099</c:v>
                </c:pt>
                <c:pt idx="38">
                  <c:v>89.018486899999814</c:v>
                </c:pt>
                <c:pt idx="39">
                  <c:v>88.554166600000116</c:v>
                </c:pt>
                <c:pt idx="40">
                  <c:v>86.875507399999961</c:v>
                </c:pt>
                <c:pt idx="41">
                  <c:v>86.265470000000008</c:v>
                </c:pt>
                <c:pt idx="42">
                  <c:v>86.757329700000099</c:v>
                </c:pt>
                <c:pt idx="43">
                  <c:v>86.368527699999945</c:v>
                </c:pt>
                <c:pt idx="44">
                  <c:v>86.070912600000028</c:v>
                </c:pt>
                <c:pt idx="45">
                  <c:v>85.317209900000194</c:v>
                </c:pt>
                <c:pt idx="46">
                  <c:v>84.831110599999974</c:v>
                </c:pt>
                <c:pt idx="47">
                  <c:v>84.731117199999986</c:v>
                </c:pt>
                <c:pt idx="48">
                  <c:v>84.414223900000195</c:v>
                </c:pt>
                <c:pt idx="49">
                  <c:v>84.143613099999996</c:v>
                </c:pt>
                <c:pt idx="50">
                  <c:v>83.271389499999955</c:v>
                </c:pt>
                <c:pt idx="51">
                  <c:v>82.822592099999753</c:v>
                </c:pt>
                <c:pt idx="52">
                  <c:v>82.816003499999994</c:v>
                </c:pt>
                <c:pt idx="53">
                  <c:v>82.584385799999978</c:v>
                </c:pt>
                <c:pt idx="54">
                  <c:v>82.424281700000066</c:v>
                </c:pt>
                <c:pt idx="55">
                  <c:v>82.344808200000003</c:v>
                </c:pt>
              </c:numCache>
            </c:numRef>
          </c:val>
          <c:smooth val="0"/>
        </c:ser>
        <c:ser>
          <c:idx val="2"/>
          <c:order val="4"/>
          <c:tx>
            <c:strRef>
              <c:f>'GWP100'!$K$66</c:f>
              <c:strCache>
                <c:ptCount val="1"/>
                <c:pt idx="0">
                  <c:v>SCR2a</c:v>
                </c:pt>
              </c:strCache>
            </c:strRef>
          </c:tx>
          <c:spPr>
            <a:ln w="28575">
              <a:solidFill>
                <a:schemeClr val="tx1"/>
              </a:solidFill>
              <a:prstDash val="dashDot"/>
            </a:ln>
          </c:spPr>
          <c:marker>
            <c:symbol val="none"/>
          </c:marker>
          <c:cat>
            <c:numRef>
              <c:f>'GWP100'!$A$67:$A$122</c:f>
              <c:numCache>
                <c:formatCode>General</c:formatCode>
                <c:ptCount val="56"/>
                <c:pt idx="0">
                  <c:v>1995</c:v>
                </c:pt>
                <c:pt idx="1">
                  <c:v>1996</c:v>
                </c:pt>
                <c:pt idx="2">
                  <c:v>1997</c:v>
                </c:pt>
                <c:pt idx="3">
                  <c:v>1998</c:v>
                </c:pt>
                <c:pt idx="4">
                  <c:v>1999</c:v>
                </c:pt>
                <c:pt idx="5">
                  <c:v>2000</c:v>
                </c:pt>
                <c:pt idx="6">
                  <c:v>2001</c:v>
                </c:pt>
                <c:pt idx="7">
                  <c:v>2002</c:v>
                </c:pt>
                <c:pt idx="8">
                  <c:v>2003</c:v>
                </c:pt>
                <c:pt idx="9">
                  <c:v>2004</c:v>
                </c:pt>
                <c:pt idx="10">
                  <c:v>2005</c:v>
                </c:pt>
                <c:pt idx="11">
                  <c:v>2006</c:v>
                </c:pt>
                <c:pt idx="12">
                  <c:v>2007</c:v>
                </c:pt>
                <c:pt idx="13">
                  <c:v>2008</c:v>
                </c:pt>
                <c:pt idx="14">
                  <c:v>2009</c:v>
                </c:pt>
                <c:pt idx="15">
                  <c:v>2010</c:v>
                </c:pt>
                <c:pt idx="16">
                  <c:v>2011</c:v>
                </c:pt>
                <c:pt idx="17">
                  <c:v>2012</c:v>
                </c:pt>
                <c:pt idx="18">
                  <c:v>2013</c:v>
                </c:pt>
                <c:pt idx="19">
                  <c:v>2014</c:v>
                </c:pt>
                <c:pt idx="20">
                  <c:v>2015</c:v>
                </c:pt>
                <c:pt idx="21">
                  <c:v>2016</c:v>
                </c:pt>
                <c:pt idx="22">
                  <c:v>2017</c:v>
                </c:pt>
                <c:pt idx="23">
                  <c:v>2018</c:v>
                </c:pt>
                <c:pt idx="24">
                  <c:v>2019</c:v>
                </c:pt>
                <c:pt idx="25">
                  <c:v>2020</c:v>
                </c:pt>
                <c:pt idx="26">
                  <c:v>2021</c:v>
                </c:pt>
                <c:pt idx="27">
                  <c:v>2022</c:v>
                </c:pt>
                <c:pt idx="28">
                  <c:v>2023</c:v>
                </c:pt>
                <c:pt idx="29">
                  <c:v>2024</c:v>
                </c:pt>
                <c:pt idx="30">
                  <c:v>2025</c:v>
                </c:pt>
                <c:pt idx="31">
                  <c:v>2026</c:v>
                </c:pt>
                <c:pt idx="32">
                  <c:v>2027</c:v>
                </c:pt>
                <c:pt idx="33">
                  <c:v>2028</c:v>
                </c:pt>
                <c:pt idx="34">
                  <c:v>2029</c:v>
                </c:pt>
                <c:pt idx="35">
                  <c:v>2030</c:v>
                </c:pt>
                <c:pt idx="36">
                  <c:v>2031</c:v>
                </c:pt>
                <c:pt idx="37">
                  <c:v>2032</c:v>
                </c:pt>
                <c:pt idx="38">
                  <c:v>2033</c:v>
                </c:pt>
                <c:pt idx="39">
                  <c:v>2034</c:v>
                </c:pt>
                <c:pt idx="40">
                  <c:v>2035</c:v>
                </c:pt>
                <c:pt idx="41">
                  <c:v>2036</c:v>
                </c:pt>
                <c:pt idx="42">
                  <c:v>2037</c:v>
                </c:pt>
                <c:pt idx="43">
                  <c:v>2038</c:v>
                </c:pt>
                <c:pt idx="44">
                  <c:v>2039</c:v>
                </c:pt>
                <c:pt idx="45">
                  <c:v>2040</c:v>
                </c:pt>
                <c:pt idx="46">
                  <c:v>2041</c:v>
                </c:pt>
                <c:pt idx="47">
                  <c:v>2042</c:v>
                </c:pt>
                <c:pt idx="48">
                  <c:v>2043</c:v>
                </c:pt>
                <c:pt idx="49">
                  <c:v>2044</c:v>
                </c:pt>
                <c:pt idx="50">
                  <c:v>2045</c:v>
                </c:pt>
                <c:pt idx="51">
                  <c:v>2046</c:v>
                </c:pt>
                <c:pt idx="52">
                  <c:v>2047</c:v>
                </c:pt>
                <c:pt idx="53">
                  <c:v>2048</c:v>
                </c:pt>
                <c:pt idx="54">
                  <c:v>2049</c:v>
                </c:pt>
                <c:pt idx="55">
                  <c:v>2050</c:v>
                </c:pt>
              </c:numCache>
            </c:numRef>
          </c:cat>
          <c:val>
            <c:numRef>
              <c:f>'GWP100'!$K$67:$K$122</c:f>
              <c:numCache>
                <c:formatCode>0.0</c:formatCode>
                <c:ptCount val="56"/>
                <c:pt idx="0">
                  <c:v>107.8294593</c:v>
                </c:pt>
                <c:pt idx="1">
                  <c:v>111.5401494</c:v>
                </c:pt>
                <c:pt idx="2">
                  <c:v>111.0913128</c:v>
                </c:pt>
                <c:pt idx="3">
                  <c:v>110.4030865</c:v>
                </c:pt>
                <c:pt idx="4">
                  <c:v>112.4293859</c:v>
                </c:pt>
                <c:pt idx="5">
                  <c:v>112.0123905</c:v>
                </c:pt>
                <c:pt idx="6">
                  <c:v>112.4440881</c:v>
                </c:pt>
                <c:pt idx="7">
                  <c:v>113.1595917999999</c:v>
                </c:pt>
                <c:pt idx="8">
                  <c:v>110.5116647000002</c:v>
                </c:pt>
                <c:pt idx="9">
                  <c:v>111.2505008</c:v>
                </c:pt>
                <c:pt idx="10">
                  <c:v>109.2658672000001</c:v>
                </c:pt>
                <c:pt idx="11">
                  <c:v>107.5648107</c:v>
                </c:pt>
                <c:pt idx="12">
                  <c:v>107.0590005</c:v>
                </c:pt>
                <c:pt idx="13">
                  <c:v>104.97017270000001</c:v>
                </c:pt>
                <c:pt idx="14">
                  <c:v>102.2489131</c:v>
                </c:pt>
                <c:pt idx="15">
                  <c:v>101.66795380000001</c:v>
                </c:pt>
                <c:pt idx="16">
                  <c:v>102.52457080000001</c:v>
                </c:pt>
                <c:pt idx="17">
                  <c:v>101.7458895</c:v>
                </c:pt>
                <c:pt idx="18">
                  <c:v>101.85839559999999</c:v>
                </c:pt>
                <c:pt idx="19">
                  <c:v>102.2727402999999</c:v>
                </c:pt>
                <c:pt idx="20">
                  <c:v>102.4919204000002</c:v>
                </c:pt>
                <c:pt idx="21">
                  <c:v>103.21660060000011</c:v>
                </c:pt>
                <c:pt idx="22">
                  <c:v>103.6214300999999</c:v>
                </c:pt>
                <c:pt idx="23">
                  <c:v>103.0886820999999</c:v>
                </c:pt>
                <c:pt idx="24">
                  <c:v>102.84690689999999</c:v>
                </c:pt>
                <c:pt idx="25">
                  <c:v>102.3366517</c:v>
                </c:pt>
                <c:pt idx="26">
                  <c:v>102.20206709999999</c:v>
                </c:pt>
                <c:pt idx="27">
                  <c:v>101.8508081999999</c:v>
                </c:pt>
                <c:pt idx="28">
                  <c:v>101.8551544</c:v>
                </c:pt>
                <c:pt idx="29">
                  <c:v>102.0369117</c:v>
                </c:pt>
                <c:pt idx="30">
                  <c:v>102.6995634000001</c:v>
                </c:pt>
                <c:pt idx="31">
                  <c:v>103.08994130000001</c:v>
                </c:pt>
                <c:pt idx="32">
                  <c:v>102.99839539999989</c:v>
                </c:pt>
                <c:pt idx="33">
                  <c:v>103.2728102999999</c:v>
                </c:pt>
                <c:pt idx="34">
                  <c:v>103.49760879999999</c:v>
                </c:pt>
                <c:pt idx="35">
                  <c:v>103.6819601</c:v>
                </c:pt>
                <c:pt idx="36">
                  <c:v>103.6438891</c:v>
                </c:pt>
                <c:pt idx="37">
                  <c:v>103.5843394</c:v>
                </c:pt>
                <c:pt idx="38">
                  <c:v>103.47165560000001</c:v>
                </c:pt>
                <c:pt idx="39">
                  <c:v>103.4259961999999</c:v>
                </c:pt>
                <c:pt idx="40">
                  <c:v>103.3875395</c:v>
                </c:pt>
                <c:pt idx="41">
                  <c:v>103.2721118999999</c:v>
                </c:pt>
                <c:pt idx="42">
                  <c:v>103.33177599999991</c:v>
                </c:pt>
                <c:pt idx="43">
                  <c:v>103.4507847</c:v>
                </c:pt>
                <c:pt idx="44">
                  <c:v>103.6164229</c:v>
                </c:pt>
                <c:pt idx="45">
                  <c:v>103.926407</c:v>
                </c:pt>
                <c:pt idx="46">
                  <c:v>103.8429119</c:v>
                </c:pt>
                <c:pt idx="47">
                  <c:v>103.64368930000001</c:v>
                </c:pt>
                <c:pt idx="48">
                  <c:v>103.7363421999999</c:v>
                </c:pt>
                <c:pt idx="49">
                  <c:v>103.8599358999999</c:v>
                </c:pt>
                <c:pt idx="50">
                  <c:v>103.8915665</c:v>
                </c:pt>
                <c:pt idx="51">
                  <c:v>103.7472219000002</c:v>
                </c:pt>
                <c:pt idx="52">
                  <c:v>103.7743026</c:v>
                </c:pt>
                <c:pt idx="53">
                  <c:v>103.83776640000001</c:v>
                </c:pt>
                <c:pt idx="54">
                  <c:v>103.9568139</c:v>
                </c:pt>
                <c:pt idx="55">
                  <c:v>104.1257678999998</c:v>
                </c:pt>
              </c:numCache>
            </c:numRef>
          </c:val>
          <c:smooth val="0"/>
        </c:ser>
        <c:ser>
          <c:idx val="10"/>
          <c:order val="5"/>
          <c:tx>
            <c:strRef>
              <c:f>'GWP100'!$J$66</c:f>
              <c:strCache>
                <c:ptCount val="1"/>
                <c:pt idx="0">
                  <c:v>SCR3</c:v>
                </c:pt>
              </c:strCache>
            </c:strRef>
          </c:tx>
          <c:spPr>
            <a:ln w="28575">
              <a:solidFill>
                <a:schemeClr val="tx1"/>
              </a:solidFill>
              <a:prstDash val="lgDash"/>
            </a:ln>
          </c:spPr>
          <c:marker>
            <c:symbol val="none"/>
          </c:marker>
          <c:cat>
            <c:numRef>
              <c:f>'GWP100'!$A$67:$A$122</c:f>
              <c:numCache>
                <c:formatCode>General</c:formatCode>
                <c:ptCount val="56"/>
                <c:pt idx="0">
                  <c:v>1995</c:v>
                </c:pt>
                <c:pt idx="1">
                  <c:v>1996</c:v>
                </c:pt>
                <c:pt idx="2">
                  <c:v>1997</c:v>
                </c:pt>
                <c:pt idx="3">
                  <c:v>1998</c:v>
                </c:pt>
                <c:pt idx="4">
                  <c:v>1999</c:v>
                </c:pt>
                <c:pt idx="5">
                  <c:v>2000</c:v>
                </c:pt>
                <c:pt idx="6">
                  <c:v>2001</c:v>
                </c:pt>
                <c:pt idx="7">
                  <c:v>2002</c:v>
                </c:pt>
                <c:pt idx="8">
                  <c:v>2003</c:v>
                </c:pt>
                <c:pt idx="9">
                  <c:v>2004</c:v>
                </c:pt>
                <c:pt idx="10">
                  <c:v>2005</c:v>
                </c:pt>
                <c:pt idx="11">
                  <c:v>2006</c:v>
                </c:pt>
                <c:pt idx="12">
                  <c:v>2007</c:v>
                </c:pt>
                <c:pt idx="13">
                  <c:v>2008</c:v>
                </c:pt>
                <c:pt idx="14">
                  <c:v>2009</c:v>
                </c:pt>
                <c:pt idx="15">
                  <c:v>2010</c:v>
                </c:pt>
                <c:pt idx="16">
                  <c:v>2011</c:v>
                </c:pt>
                <c:pt idx="17">
                  <c:v>2012</c:v>
                </c:pt>
                <c:pt idx="18">
                  <c:v>2013</c:v>
                </c:pt>
                <c:pt idx="19">
                  <c:v>2014</c:v>
                </c:pt>
                <c:pt idx="20">
                  <c:v>2015</c:v>
                </c:pt>
                <c:pt idx="21">
                  <c:v>2016</c:v>
                </c:pt>
                <c:pt idx="22">
                  <c:v>2017</c:v>
                </c:pt>
                <c:pt idx="23">
                  <c:v>2018</c:v>
                </c:pt>
                <c:pt idx="24">
                  <c:v>2019</c:v>
                </c:pt>
                <c:pt idx="25">
                  <c:v>2020</c:v>
                </c:pt>
                <c:pt idx="26">
                  <c:v>2021</c:v>
                </c:pt>
                <c:pt idx="27">
                  <c:v>2022</c:v>
                </c:pt>
                <c:pt idx="28">
                  <c:v>2023</c:v>
                </c:pt>
                <c:pt idx="29">
                  <c:v>2024</c:v>
                </c:pt>
                <c:pt idx="30">
                  <c:v>2025</c:v>
                </c:pt>
                <c:pt idx="31">
                  <c:v>2026</c:v>
                </c:pt>
                <c:pt idx="32">
                  <c:v>2027</c:v>
                </c:pt>
                <c:pt idx="33">
                  <c:v>2028</c:v>
                </c:pt>
                <c:pt idx="34">
                  <c:v>2029</c:v>
                </c:pt>
                <c:pt idx="35">
                  <c:v>2030</c:v>
                </c:pt>
                <c:pt idx="36">
                  <c:v>2031</c:v>
                </c:pt>
                <c:pt idx="37">
                  <c:v>2032</c:v>
                </c:pt>
                <c:pt idx="38">
                  <c:v>2033</c:v>
                </c:pt>
                <c:pt idx="39">
                  <c:v>2034</c:v>
                </c:pt>
                <c:pt idx="40">
                  <c:v>2035</c:v>
                </c:pt>
                <c:pt idx="41">
                  <c:v>2036</c:v>
                </c:pt>
                <c:pt idx="42">
                  <c:v>2037</c:v>
                </c:pt>
                <c:pt idx="43">
                  <c:v>2038</c:v>
                </c:pt>
                <c:pt idx="44">
                  <c:v>2039</c:v>
                </c:pt>
                <c:pt idx="45">
                  <c:v>2040</c:v>
                </c:pt>
                <c:pt idx="46">
                  <c:v>2041</c:v>
                </c:pt>
                <c:pt idx="47">
                  <c:v>2042</c:v>
                </c:pt>
                <c:pt idx="48">
                  <c:v>2043</c:v>
                </c:pt>
                <c:pt idx="49">
                  <c:v>2044</c:v>
                </c:pt>
                <c:pt idx="50">
                  <c:v>2045</c:v>
                </c:pt>
                <c:pt idx="51">
                  <c:v>2046</c:v>
                </c:pt>
                <c:pt idx="52">
                  <c:v>2047</c:v>
                </c:pt>
                <c:pt idx="53">
                  <c:v>2048</c:v>
                </c:pt>
                <c:pt idx="54">
                  <c:v>2049</c:v>
                </c:pt>
                <c:pt idx="55">
                  <c:v>2050</c:v>
                </c:pt>
              </c:numCache>
            </c:numRef>
          </c:cat>
          <c:val>
            <c:numRef>
              <c:f>'GWP100'!$J$67:$J$122</c:f>
              <c:numCache>
                <c:formatCode>0.0</c:formatCode>
                <c:ptCount val="56"/>
                <c:pt idx="0">
                  <c:v>107.8294593</c:v>
                </c:pt>
                <c:pt idx="1">
                  <c:v>111.5401494</c:v>
                </c:pt>
                <c:pt idx="2">
                  <c:v>111.0913128</c:v>
                </c:pt>
                <c:pt idx="3">
                  <c:v>110.4030865</c:v>
                </c:pt>
                <c:pt idx="4">
                  <c:v>112.4293859</c:v>
                </c:pt>
                <c:pt idx="5">
                  <c:v>112.0123905</c:v>
                </c:pt>
                <c:pt idx="6">
                  <c:v>112.4440881</c:v>
                </c:pt>
                <c:pt idx="7">
                  <c:v>113.1595917999999</c:v>
                </c:pt>
                <c:pt idx="8">
                  <c:v>110.5116647000002</c:v>
                </c:pt>
                <c:pt idx="9">
                  <c:v>111.2505008</c:v>
                </c:pt>
                <c:pt idx="10">
                  <c:v>109.2658672000001</c:v>
                </c:pt>
                <c:pt idx="11">
                  <c:v>107.5648107</c:v>
                </c:pt>
                <c:pt idx="12">
                  <c:v>107.0590005</c:v>
                </c:pt>
                <c:pt idx="13">
                  <c:v>104.97017270000001</c:v>
                </c:pt>
                <c:pt idx="14">
                  <c:v>102.2489131</c:v>
                </c:pt>
                <c:pt idx="15">
                  <c:v>101.66795380000001</c:v>
                </c:pt>
                <c:pt idx="16">
                  <c:v>102.2333434</c:v>
                </c:pt>
                <c:pt idx="17">
                  <c:v>101.6777485999999</c:v>
                </c:pt>
                <c:pt idx="18">
                  <c:v>101.694639</c:v>
                </c:pt>
                <c:pt idx="19">
                  <c:v>101.7606512000001</c:v>
                </c:pt>
                <c:pt idx="20">
                  <c:v>101.7735363999998</c:v>
                </c:pt>
                <c:pt idx="21">
                  <c:v>101.6826070999999</c:v>
                </c:pt>
                <c:pt idx="22">
                  <c:v>101.5642260000001</c:v>
                </c:pt>
                <c:pt idx="23">
                  <c:v>101.50342759999999</c:v>
                </c:pt>
                <c:pt idx="24">
                  <c:v>101.4910165000001</c:v>
                </c:pt>
                <c:pt idx="25">
                  <c:v>101.3890543</c:v>
                </c:pt>
                <c:pt idx="26">
                  <c:v>101.352639</c:v>
                </c:pt>
                <c:pt idx="27">
                  <c:v>101.38448959999999</c:v>
                </c:pt>
                <c:pt idx="28">
                  <c:v>101.5168498</c:v>
                </c:pt>
                <c:pt idx="29">
                  <c:v>101.68536039999989</c:v>
                </c:pt>
                <c:pt idx="30">
                  <c:v>101.80911879999989</c:v>
                </c:pt>
                <c:pt idx="31">
                  <c:v>101.88807919999979</c:v>
                </c:pt>
                <c:pt idx="32">
                  <c:v>101.7912934000001</c:v>
                </c:pt>
                <c:pt idx="33">
                  <c:v>101.7266661</c:v>
                </c:pt>
                <c:pt idx="34">
                  <c:v>101.6452767</c:v>
                </c:pt>
                <c:pt idx="35">
                  <c:v>101.55914249999999</c:v>
                </c:pt>
                <c:pt idx="36">
                  <c:v>101.3311193000001</c:v>
                </c:pt>
                <c:pt idx="37">
                  <c:v>101.1830900999999</c:v>
                </c:pt>
                <c:pt idx="38">
                  <c:v>100.9997499000001</c:v>
                </c:pt>
                <c:pt idx="39">
                  <c:v>100.8703533</c:v>
                </c:pt>
                <c:pt idx="40">
                  <c:v>100.7950167000001</c:v>
                </c:pt>
                <c:pt idx="41">
                  <c:v>100.55074020000001</c:v>
                </c:pt>
                <c:pt idx="42">
                  <c:v>100.4148447000001</c:v>
                </c:pt>
                <c:pt idx="43">
                  <c:v>100.4005081999999</c:v>
                </c:pt>
                <c:pt idx="44">
                  <c:v>100.4400962000001</c:v>
                </c:pt>
                <c:pt idx="45">
                  <c:v>100.40933800000001</c:v>
                </c:pt>
                <c:pt idx="46">
                  <c:v>100.2460344</c:v>
                </c:pt>
                <c:pt idx="47">
                  <c:v>100.2585179000001</c:v>
                </c:pt>
                <c:pt idx="48">
                  <c:v>100.2887374999999</c:v>
                </c:pt>
                <c:pt idx="49">
                  <c:v>100.3560709999999</c:v>
                </c:pt>
                <c:pt idx="50">
                  <c:v>100.3060893</c:v>
                </c:pt>
                <c:pt idx="51">
                  <c:v>100.0987736</c:v>
                </c:pt>
                <c:pt idx="52">
                  <c:v>100.0774582</c:v>
                </c:pt>
                <c:pt idx="53">
                  <c:v>100.06437409999999</c:v>
                </c:pt>
                <c:pt idx="54">
                  <c:v>100.0870218</c:v>
                </c:pt>
                <c:pt idx="55">
                  <c:v>100.1438416000001</c:v>
                </c:pt>
              </c:numCache>
            </c:numRef>
          </c:val>
          <c:smooth val="0"/>
        </c:ser>
        <c:ser>
          <c:idx val="12"/>
          <c:order val="6"/>
          <c:tx>
            <c:strRef>
              <c:f>'GWP100'!$L$66</c:f>
              <c:strCache>
                <c:ptCount val="1"/>
                <c:pt idx="0">
                  <c:v>VED1</c:v>
                </c:pt>
              </c:strCache>
            </c:strRef>
          </c:tx>
          <c:spPr>
            <a:ln w="28575">
              <a:solidFill>
                <a:schemeClr val="tx1"/>
              </a:solidFill>
              <a:prstDash val="lgDashDot"/>
            </a:ln>
          </c:spPr>
          <c:marker>
            <c:symbol val="none"/>
          </c:marker>
          <c:cat>
            <c:numRef>
              <c:f>'GWP100'!$A$67:$A$122</c:f>
              <c:numCache>
                <c:formatCode>General</c:formatCode>
                <c:ptCount val="56"/>
                <c:pt idx="0">
                  <c:v>1995</c:v>
                </c:pt>
                <c:pt idx="1">
                  <c:v>1996</c:v>
                </c:pt>
                <c:pt idx="2">
                  <c:v>1997</c:v>
                </c:pt>
                <c:pt idx="3">
                  <c:v>1998</c:v>
                </c:pt>
                <c:pt idx="4">
                  <c:v>1999</c:v>
                </c:pt>
                <c:pt idx="5">
                  <c:v>2000</c:v>
                </c:pt>
                <c:pt idx="6">
                  <c:v>2001</c:v>
                </c:pt>
                <c:pt idx="7">
                  <c:v>2002</c:v>
                </c:pt>
                <c:pt idx="8">
                  <c:v>2003</c:v>
                </c:pt>
                <c:pt idx="9">
                  <c:v>2004</c:v>
                </c:pt>
                <c:pt idx="10">
                  <c:v>2005</c:v>
                </c:pt>
                <c:pt idx="11">
                  <c:v>2006</c:v>
                </c:pt>
                <c:pt idx="12">
                  <c:v>2007</c:v>
                </c:pt>
                <c:pt idx="13">
                  <c:v>2008</c:v>
                </c:pt>
                <c:pt idx="14">
                  <c:v>2009</c:v>
                </c:pt>
                <c:pt idx="15">
                  <c:v>2010</c:v>
                </c:pt>
                <c:pt idx="16">
                  <c:v>2011</c:v>
                </c:pt>
                <c:pt idx="17">
                  <c:v>2012</c:v>
                </c:pt>
                <c:pt idx="18">
                  <c:v>2013</c:v>
                </c:pt>
                <c:pt idx="19">
                  <c:v>2014</c:v>
                </c:pt>
                <c:pt idx="20">
                  <c:v>2015</c:v>
                </c:pt>
                <c:pt idx="21">
                  <c:v>2016</c:v>
                </c:pt>
                <c:pt idx="22">
                  <c:v>2017</c:v>
                </c:pt>
                <c:pt idx="23">
                  <c:v>2018</c:v>
                </c:pt>
                <c:pt idx="24">
                  <c:v>2019</c:v>
                </c:pt>
                <c:pt idx="25">
                  <c:v>2020</c:v>
                </c:pt>
                <c:pt idx="26">
                  <c:v>2021</c:v>
                </c:pt>
                <c:pt idx="27">
                  <c:v>2022</c:v>
                </c:pt>
                <c:pt idx="28">
                  <c:v>2023</c:v>
                </c:pt>
                <c:pt idx="29">
                  <c:v>2024</c:v>
                </c:pt>
                <c:pt idx="30">
                  <c:v>2025</c:v>
                </c:pt>
                <c:pt idx="31">
                  <c:v>2026</c:v>
                </c:pt>
                <c:pt idx="32">
                  <c:v>2027</c:v>
                </c:pt>
                <c:pt idx="33">
                  <c:v>2028</c:v>
                </c:pt>
                <c:pt idx="34">
                  <c:v>2029</c:v>
                </c:pt>
                <c:pt idx="35">
                  <c:v>2030</c:v>
                </c:pt>
                <c:pt idx="36">
                  <c:v>2031</c:v>
                </c:pt>
                <c:pt idx="37">
                  <c:v>2032</c:v>
                </c:pt>
                <c:pt idx="38">
                  <c:v>2033</c:v>
                </c:pt>
                <c:pt idx="39">
                  <c:v>2034</c:v>
                </c:pt>
                <c:pt idx="40">
                  <c:v>2035</c:v>
                </c:pt>
                <c:pt idx="41">
                  <c:v>2036</c:v>
                </c:pt>
                <c:pt idx="42">
                  <c:v>2037</c:v>
                </c:pt>
                <c:pt idx="43">
                  <c:v>2038</c:v>
                </c:pt>
                <c:pt idx="44">
                  <c:v>2039</c:v>
                </c:pt>
                <c:pt idx="45">
                  <c:v>2040</c:v>
                </c:pt>
                <c:pt idx="46">
                  <c:v>2041</c:v>
                </c:pt>
                <c:pt idx="47">
                  <c:v>2042</c:v>
                </c:pt>
                <c:pt idx="48">
                  <c:v>2043</c:v>
                </c:pt>
                <c:pt idx="49">
                  <c:v>2044</c:v>
                </c:pt>
                <c:pt idx="50">
                  <c:v>2045</c:v>
                </c:pt>
                <c:pt idx="51">
                  <c:v>2046</c:v>
                </c:pt>
                <c:pt idx="52">
                  <c:v>2047</c:v>
                </c:pt>
                <c:pt idx="53">
                  <c:v>2048</c:v>
                </c:pt>
                <c:pt idx="54">
                  <c:v>2049</c:v>
                </c:pt>
                <c:pt idx="55">
                  <c:v>2050</c:v>
                </c:pt>
              </c:numCache>
            </c:numRef>
          </c:cat>
          <c:val>
            <c:numRef>
              <c:f>'GWP100'!$L$67:$L$122</c:f>
              <c:numCache>
                <c:formatCode>0.0</c:formatCode>
                <c:ptCount val="56"/>
                <c:pt idx="0">
                  <c:v>107.8294593</c:v>
                </c:pt>
                <c:pt idx="1">
                  <c:v>111.5401494</c:v>
                </c:pt>
                <c:pt idx="2">
                  <c:v>111.0913128</c:v>
                </c:pt>
                <c:pt idx="3">
                  <c:v>110.4030865</c:v>
                </c:pt>
                <c:pt idx="4">
                  <c:v>112.4293859</c:v>
                </c:pt>
                <c:pt idx="5">
                  <c:v>112.0123905</c:v>
                </c:pt>
                <c:pt idx="6">
                  <c:v>112.4440881</c:v>
                </c:pt>
                <c:pt idx="7">
                  <c:v>113.1595917999999</c:v>
                </c:pt>
                <c:pt idx="8">
                  <c:v>110.5116647000002</c:v>
                </c:pt>
                <c:pt idx="9">
                  <c:v>111.2505008</c:v>
                </c:pt>
                <c:pt idx="10">
                  <c:v>109.2658672000001</c:v>
                </c:pt>
                <c:pt idx="11">
                  <c:v>107.5648107</c:v>
                </c:pt>
                <c:pt idx="12">
                  <c:v>107.0590005</c:v>
                </c:pt>
                <c:pt idx="13">
                  <c:v>104.97017270000001</c:v>
                </c:pt>
                <c:pt idx="14">
                  <c:v>102.2489131</c:v>
                </c:pt>
                <c:pt idx="15">
                  <c:v>101.6154737</c:v>
                </c:pt>
                <c:pt idx="16">
                  <c:v>101.5693649</c:v>
                </c:pt>
                <c:pt idx="17">
                  <c:v>101.48295160000001</c:v>
                </c:pt>
                <c:pt idx="18">
                  <c:v>101.4802969000001</c:v>
                </c:pt>
                <c:pt idx="19">
                  <c:v>101.5254833</c:v>
                </c:pt>
                <c:pt idx="20">
                  <c:v>101.4558557</c:v>
                </c:pt>
                <c:pt idx="21">
                  <c:v>101.3573847</c:v>
                </c:pt>
                <c:pt idx="22">
                  <c:v>101.3069417999999</c:v>
                </c:pt>
                <c:pt idx="23">
                  <c:v>101.2548299000001</c:v>
                </c:pt>
                <c:pt idx="24">
                  <c:v>101.25505099999999</c:v>
                </c:pt>
                <c:pt idx="25">
                  <c:v>101.19382330000001</c:v>
                </c:pt>
                <c:pt idx="26">
                  <c:v>101.1839407999999</c:v>
                </c:pt>
                <c:pt idx="27">
                  <c:v>101.2209034000001</c:v>
                </c:pt>
                <c:pt idx="28">
                  <c:v>101.3876095</c:v>
                </c:pt>
                <c:pt idx="29">
                  <c:v>101.5964982</c:v>
                </c:pt>
                <c:pt idx="30">
                  <c:v>101.7634669000001</c:v>
                </c:pt>
                <c:pt idx="31">
                  <c:v>101.91378229999999</c:v>
                </c:pt>
                <c:pt idx="32">
                  <c:v>101.9000759999999</c:v>
                </c:pt>
                <c:pt idx="33">
                  <c:v>101.8995027</c:v>
                </c:pt>
                <c:pt idx="34">
                  <c:v>101.88220149999989</c:v>
                </c:pt>
                <c:pt idx="35">
                  <c:v>101.82599860000001</c:v>
                </c:pt>
                <c:pt idx="36">
                  <c:v>101.64294169999989</c:v>
                </c:pt>
                <c:pt idx="37">
                  <c:v>101.55352600000001</c:v>
                </c:pt>
                <c:pt idx="38">
                  <c:v>101.4058483999999</c:v>
                </c:pt>
                <c:pt idx="39">
                  <c:v>101.3054139</c:v>
                </c:pt>
                <c:pt idx="40">
                  <c:v>101.1967816999999</c:v>
                </c:pt>
                <c:pt idx="41">
                  <c:v>100.9782769000001</c:v>
                </c:pt>
                <c:pt idx="42">
                  <c:v>100.919248</c:v>
                </c:pt>
                <c:pt idx="43">
                  <c:v>100.9052928</c:v>
                </c:pt>
                <c:pt idx="44">
                  <c:v>100.9454381</c:v>
                </c:pt>
                <c:pt idx="45">
                  <c:v>100.9698439000001</c:v>
                </c:pt>
                <c:pt idx="46">
                  <c:v>100.8408216000001</c:v>
                </c:pt>
                <c:pt idx="47">
                  <c:v>100.8397643000001</c:v>
                </c:pt>
                <c:pt idx="48">
                  <c:v>100.87202790000001</c:v>
                </c:pt>
                <c:pt idx="49">
                  <c:v>100.9398735000001</c:v>
                </c:pt>
                <c:pt idx="50">
                  <c:v>100.94610300000021</c:v>
                </c:pt>
                <c:pt idx="51">
                  <c:v>100.7871122</c:v>
                </c:pt>
                <c:pt idx="52">
                  <c:v>100.77933879999981</c:v>
                </c:pt>
                <c:pt idx="53">
                  <c:v>100.78986999999999</c:v>
                </c:pt>
                <c:pt idx="54">
                  <c:v>100.83719910000001</c:v>
                </c:pt>
                <c:pt idx="55">
                  <c:v>100.9206071</c:v>
                </c:pt>
              </c:numCache>
            </c:numRef>
          </c:val>
          <c:smooth val="0"/>
        </c:ser>
        <c:ser>
          <c:idx val="14"/>
          <c:order val="7"/>
          <c:tx>
            <c:strRef>
              <c:f>'GWP100'!$N$66</c:f>
              <c:strCache>
                <c:ptCount val="1"/>
                <c:pt idx="0">
                  <c:v>VED3</c:v>
                </c:pt>
              </c:strCache>
            </c:strRef>
          </c:tx>
          <c:spPr>
            <a:ln w="28575">
              <a:solidFill>
                <a:schemeClr val="tx1"/>
              </a:solidFill>
              <a:prstDash val="lgDashDotDot"/>
            </a:ln>
          </c:spPr>
          <c:marker>
            <c:symbol val="none"/>
          </c:marker>
          <c:cat>
            <c:numRef>
              <c:f>'GWP100'!$A$67:$A$122</c:f>
              <c:numCache>
                <c:formatCode>General</c:formatCode>
                <c:ptCount val="56"/>
                <c:pt idx="0">
                  <c:v>1995</c:v>
                </c:pt>
                <c:pt idx="1">
                  <c:v>1996</c:v>
                </c:pt>
                <c:pt idx="2">
                  <c:v>1997</c:v>
                </c:pt>
                <c:pt idx="3">
                  <c:v>1998</c:v>
                </c:pt>
                <c:pt idx="4">
                  <c:v>1999</c:v>
                </c:pt>
                <c:pt idx="5">
                  <c:v>2000</c:v>
                </c:pt>
                <c:pt idx="6">
                  <c:v>2001</c:v>
                </c:pt>
                <c:pt idx="7">
                  <c:v>2002</c:v>
                </c:pt>
                <c:pt idx="8">
                  <c:v>2003</c:v>
                </c:pt>
                <c:pt idx="9">
                  <c:v>2004</c:v>
                </c:pt>
                <c:pt idx="10">
                  <c:v>2005</c:v>
                </c:pt>
                <c:pt idx="11">
                  <c:v>2006</c:v>
                </c:pt>
                <c:pt idx="12">
                  <c:v>2007</c:v>
                </c:pt>
                <c:pt idx="13">
                  <c:v>2008</c:v>
                </c:pt>
                <c:pt idx="14">
                  <c:v>2009</c:v>
                </c:pt>
                <c:pt idx="15">
                  <c:v>2010</c:v>
                </c:pt>
                <c:pt idx="16">
                  <c:v>2011</c:v>
                </c:pt>
                <c:pt idx="17">
                  <c:v>2012</c:v>
                </c:pt>
                <c:pt idx="18">
                  <c:v>2013</c:v>
                </c:pt>
                <c:pt idx="19">
                  <c:v>2014</c:v>
                </c:pt>
                <c:pt idx="20">
                  <c:v>2015</c:v>
                </c:pt>
                <c:pt idx="21">
                  <c:v>2016</c:v>
                </c:pt>
                <c:pt idx="22">
                  <c:v>2017</c:v>
                </c:pt>
                <c:pt idx="23">
                  <c:v>2018</c:v>
                </c:pt>
                <c:pt idx="24">
                  <c:v>2019</c:v>
                </c:pt>
                <c:pt idx="25">
                  <c:v>2020</c:v>
                </c:pt>
                <c:pt idx="26">
                  <c:v>2021</c:v>
                </c:pt>
                <c:pt idx="27">
                  <c:v>2022</c:v>
                </c:pt>
                <c:pt idx="28">
                  <c:v>2023</c:v>
                </c:pt>
                <c:pt idx="29">
                  <c:v>2024</c:v>
                </c:pt>
                <c:pt idx="30">
                  <c:v>2025</c:v>
                </c:pt>
                <c:pt idx="31">
                  <c:v>2026</c:v>
                </c:pt>
                <c:pt idx="32">
                  <c:v>2027</c:v>
                </c:pt>
                <c:pt idx="33">
                  <c:v>2028</c:v>
                </c:pt>
                <c:pt idx="34">
                  <c:v>2029</c:v>
                </c:pt>
                <c:pt idx="35">
                  <c:v>2030</c:v>
                </c:pt>
                <c:pt idx="36">
                  <c:v>2031</c:v>
                </c:pt>
                <c:pt idx="37">
                  <c:v>2032</c:v>
                </c:pt>
                <c:pt idx="38">
                  <c:v>2033</c:v>
                </c:pt>
                <c:pt idx="39">
                  <c:v>2034</c:v>
                </c:pt>
                <c:pt idx="40">
                  <c:v>2035</c:v>
                </c:pt>
                <c:pt idx="41">
                  <c:v>2036</c:v>
                </c:pt>
                <c:pt idx="42">
                  <c:v>2037</c:v>
                </c:pt>
                <c:pt idx="43">
                  <c:v>2038</c:v>
                </c:pt>
                <c:pt idx="44">
                  <c:v>2039</c:v>
                </c:pt>
                <c:pt idx="45">
                  <c:v>2040</c:v>
                </c:pt>
                <c:pt idx="46">
                  <c:v>2041</c:v>
                </c:pt>
                <c:pt idx="47">
                  <c:v>2042</c:v>
                </c:pt>
                <c:pt idx="48">
                  <c:v>2043</c:v>
                </c:pt>
                <c:pt idx="49">
                  <c:v>2044</c:v>
                </c:pt>
                <c:pt idx="50">
                  <c:v>2045</c:v>
                </c:pt>
                <c:pt idx="51">
                  <c:v>2046</c:v>
                </c:pt>
                <c:pt idx="52">
                  <c:v>2047</c:v>
                </c:pt>
                <c:pt idx="53">
                  <c:v>2048</c:v>
                </c:pt>
                <c:pt idx="54">
                  <c:v>2049</c:v>
                </c:pt>
                <c:pt idx="55">
                  <c:v>2050</c:v>
                </c:pt>
              </c:numCache>
            </c:numRef>
          </c:cat>
          <c:val>
            <c:numRef>
              <c:f>'GWP100'!$N$67:$N$122</c:f>
              <c:numCache>
                <c:formatCode>0.0</c:formatCode>
                <c:ptCount val="56"/>
                <c:pt idx="0">
                  <c:v>107.8294593</c:v>
                </c:pt>
                <c:pt idx="1">
                  <c:v>111.5401494</c:v>
                </c:pt>
                <c:pt idx="2">
                  <c:v>111.0913128</c:v>
                </c:pt>
                <c:pt idx="3">
                  <c:v>110.4030865</c:v>
                </c:pt>
                <c:pt idx="4">
                  <c:v>112.4293859</c:v>
                </c:pt>
                <c:pt idx="5">
                  <c:v>112.0123905</c:v>
                </c:pt>
                <c:pt idx="6">
                  <c:v>112.4440881</c:v>
                </c:pt>
                <c:pt idx="7">
                  <c:v>113.1595917999999</c:v>
                </c:pt>
                <c:pt idx="8">
                  <c:v>110.5116647000002</c:v>
                </c:pt>
                <c:pt idx="9">
                  <c:v>111.2505008</c:v>
                </c:pt>
                <c:pt idx="10">
                  <c:v>109.2658672000001</c:v>
                </c:pt>
                <c:pt idx="11">
                  <c:v>107.5648107</c:v>
                </c:pt>
                <c:pt idx="12">
                  <c:v>107.0590005</c:v>
                </c:pt>
                <c:pt idx="13">
                  <c:v>104.97017270000001</c:v>
                </c:pt>
                <c:pt idx="14">
                  <c:v>102.2489131</c:v>
                </c:pt>
                <c:pt idx="15">
                  <c:v>101.5580654</c:v>
                </c:pt>
                <c:pt idx="16">
                  <c:v>101.0150348</c:v>
                </c:pt>
                <c:pt idx="17">
                  <c:v>100.7929317</c:v>
                </c:pt>
                <c:pt idx="18">
                  <c:v>100.64234999999999</c:v>
                </c:pt>
                <c:pt idx="19">
                  <c:v>100.541794</c:v>
                </c:pt>
                <c:pt idx="20">
                  <c:v>100.2207307</c:v>
                </c:pt>
                <c:pt idx="21">
                  <c:v>99.925407799999945</c:v>
                </c:pt>
                <c:pt idx="22">
                  <c:v>99.7470840000001</c:v>
                </c:pt>
                <c:pt idx="23">
                  <c:v>99.481640499999997</c:v>
                </c:pt>
                <c:pt idx="24">
                  <c:v>99.279047599999842</c:v>
                </c:pt>
                <c:pt idx="25">
                  <c:v>98.904775600000022</c:v>
                </c:pt>
                <c:pt idx="26">
                  <c:v>98.69932860000003</c:v>
                </c:pt>
                <c:pt idx="27">
                  <c:v>98.648930499999949</c:v>
                </c:pt>
                <c:pt idx="28">
                  <c:v>98.624301799999856</c:v>
                </c:pt>
                <c:pt idx="29">
                  <c:v>98.654948799999858</c:v>
                </c:pt>
                <c:pt idx="30">
                  <c:v>98.667140100000054</c:v>
                </c:pt>
                <c:pt idx="31">
                  <c:v>98.682121600000031</c:v>
                </c:pt>
                <c:pt idx="32">
                  <c:v>98.534672399999849</c:v>
                </c:pt>
                <c:pt idx="33">
                  <c:v>98.392206099999953</c:v>
                </c:pt>
                <c:pt idx="34">
                  <c:v>98.243326199999942</c:v>
                </c:pt>
                <c:pt idx="35">
                  <c:v>97.987861400000199</c:v>
                </c:pt>
                <c:pt idx="36">
                  <c:v>97.611959500000097</c:v>
                </c:pt>
                <c:pt idx="37">
                  <c:v>97.308170899999752</c:v>
                </c:pt>
                <c:pt idx="38">
                  <c:v>96.892417799999876</c:v>
                </c:pt>
                <c:pt idx="39">
                  <c:v>96.538346699999948</c:v>
                </c:pt>
                <c:pt idx="40">
                  <c:v>96.139795999999876</c:v>
                </c:pt>
                <c:pt idx="41">
                  <c:v>95.672388699999672</c:v>
                </c:pt>
                <c:pt idx="42">
                  <c:v>95.383641799999978</c:v>
                </c:pt>
                <c:pt idx="43">
                  <c:v>95.114661299999923</c:v>
                </c:pt>
                <c:pt idx="44">
                  <c:v>94.911403899999996</c:v>
                </c:pt>
                <c:pt idx="45">
                  <c:v>94.561100399999972</c:v>
                </c:pt>
                <c:pt idx="46">
                  <c:v>94.151587099999915</c:v>
                </c:pt>
                <c:pt idx="47">
                  <c:v>93.964284900000195</c:v>
                </c:pt>
                <c:pt idx="48">
                  <c:v>93.734745899999979</c:v>
                </c:pt>
                <c:pt idx="49">
                  <c:v>93.568181499999952</c:v>
                </c:pt>
                <c:pt idx="50">
                  <c:v>93.191413599999976</c:v>
                </c:pt>
                <c:pt idx="51">
                  <c:v>92.756394500000013</c:v>
                </c:pt>
                <c:pt idx="52">
                  <c:v>92.579798499999725</c:v>
                </c:pt>
                <c:pt idx="53">
                  <c:v>92.347337400000015</c:v>
                </c:pt>
                <c:pt idx="54">
                  <c:v>92.168016599999916</c:v>
                </c:pt>
                <c:pt idx="55">
                  <c:v>92.038981699999951</c:v>
                </c:pt>
              </c:numCache>
            </c:numRef>
          </c:val>
          <c:smooth val="0"/>
        </c:ser>
        <c:dLbls>
          <c:showLegendKey val="0"/>
          <c:showVal val="0"/>
          <c:showCatName val="0"/>
          <c:showSerName val="0"/>
          <c:showPercent val="0"/>
          <c:showBubbleSize val="0"/>
        </c:dLbls>
        <c:marker val="1"/>
        <c:smooth val="0"/>
        <c:axId val="134835584"/>
        <c:axId val="134846336"/>
      </c:lineChart>
      <c:catAx>
        <c:axId val="134835584"/>
        <c:scaling>
          <c:orientation val="minMax"/>
        </c:scaling>
        <c:delete val="0"/>
        <c:axPos val="b"/>
        <c:numFmt formatCode="General" sourceLinked="1"/>
        <c:majorTickMark val="out"/>
        <c:minorTickMark val="none"/>
        <c:tickLblPos val="nextTo"/>
        <c:txPr>
          <a:bodyPr/>
          <a:lstStyle/>
          <a:p>
            <a:pPr>
              <a:defRPr sz="1000"/>
            </a:pPr>
            <a:endParaRPr lang="en-US"/>
          </a:p>
        </c:txPr>
        <c:crossAx val="134846336"/>
        <c:crosses val="autoZero"/>
        <c:auto val="1"/>
        <c:lblAlgn val="ctr"/>
        <c:lblOffset val="100"/>
        <c:tickLblSkip val="5"/>
        <c:noMultiLvlLbl val="0"/>
      </c:catAx>
      <c:valAx>
        <c:axId val="134846336"/>
        <c:scaling>
          <c:orientation val="minMax"/>
          <c:max val="120"/>
          <c:min val="60"/>
        </c:scaling>
        <c:delete val="0"/>
        <c:axPos val="l"/>
        <c:title>
          <c:tx>
            <c:rich>
              <a:bodyPr rot="-5400000" vert="horz"/>
              <a:lstStyle/>
              <a:p>
                <a:pPr>
                  <a:defRPr/>
                </a:pPr>
                <a:r>
                  <a:rPr lang="en-GB"/>
                  <a:t>carbon dioxide equivalent [Mt]</a:t>
                </a:r>
              </a:p>
            </c:rich>
          </c:tx>
          <c:layout>
            <c:manualLayout>
              <c:xMode val="edge"/>
              <c:yMode val="edge"/>
              <c:x val="1.46418402777778E-2"/>
              <c:y val="0.1064325"/>
            </c:manualLayout>
          </c:layout>
          <c:overlay val="0"/>
        </c:title>
        <c:numFmt formatCode="#,##0" sourceLinked="0"/>
        <c:majorTickMark val="out"/>
        <c:minorTickMark val="none"/>
        <c:tickLblPos val="nextTo"/>
        <c:txPr>
          <a:bodyPr/>
          <a:lstStyle/>
          <a:p>
            <a:pPr>
              <a:defRPr sz="1000"/>
            </a:pPr>
            <a:endParaRPr lang="en-US"/>
          </a:p>
        </c:txPr>
        <c:crossAx val="134835584"/>
        <c:crosses val="autoZero"/>
        <c:crossBetween val="between"/>
        <c:majorUnit val="10"/>
      </c:valAx>
    </c:plotArea>
    <c:legend>
      <c:legendPos val="r"/>
      <c:layout>
        <c:manualLayout>
          <c:xMode val="edge"/>
          <c:yMode val="edge"/>
          <c:x val="0.79318927895761804"/>
          <c:y val="0.170967533167944"/>
          <c:w val="0.20667087567155401"/>
          <c:h val="0.53711242973478401"/>
        </c:manualLayout>
      </c:layout>
      <c:overlay val="0"/>
      <c:txPr>
        <a:bodyPr/>
        <a:lstStyle/>
        <a:p>
          <a:pPr>
            <a:defRPr sz="1000"/>
          </a:pPr>
          <a:endParaRPr lang="en-US"/>
        </a:p>
      </c:txPr>
    </c:legend>
    <c:plotVisOnly val="1"/>
    <c:dispBlanksAs val="gap"/>
    <c:showDLblsOverMax val="0"/>
  </c:chart>
  <c:spPr>
    <a:ln>
      <a:noFill/>
    </a:ln>
  </c:spPr>
  <c:txPr>
    <a:bodyPr/>
    <a:lstStyle/>
    <a:p>
      <a:pPr>
        <a:defRPr sz="1200">
          <a:latin typeface="Times New Roman" pitchFamily="18" charset="0"/>
          <a:cs typeface="Times New Roman" pitchFamily="18" charset="0"/>
        </a:defRPr>
      </a:pPr>
      <a:endParaRPr lang="en-US"/>
    </a:p>
  </c:txPr>
  <c:externalData r:id="rId1">
    <c:autoUpdate val="0"/>
  </c:externalData>
  <c:userShapes r:id="rId2"/>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10"/>
    </mc:Choice>
    <mc:Fallback>
      <c:style val="10"/>
    </mc:Fallback>
  </mc:AlternateContent>
  <c:chart>
    <c:autoTitleDeleted val="0"/>
    <c:plotArea>
      <c:layout>
        <c:manualLayout>
          <c:layoutTarget val="inner"/>
          <c:xMode val="edge"/>
          <c:yMode val="edge"/>
          <c:x val="0.12893333333333901"/>
          <c:y val="8.1846626984126994E-2"/>
          <c:w val="0.70503293744862805"/>
          <c:h val="0.87253789682539695"/>
        </c:manualLayout>
      </c:layout>
      <c:barChart>
        <c:barDir val="col"/>
        <c:grouping val="clustered"/>
        <c:varyColors val="0"/>
        <c:ser>
          <c:idx val="1"/>
          <c:order val="0"/>
          <c:tx>
            <c:strRef>
              <c:f>'GWP100'!$C$518</c:f>
              <c:strCache>
                <c:ptCount val="1"/>
                <c:pt idx="0">
                  <c:v>CPT1</c:v>
                </c:pt>
              </c:strCache>
            </c:strRef>
          </c:tx>
          <c:spPr>
            <a:pattFill prst="pct5">
              <a:fgClr>
                <a:schemeClr val="tx1"/>
              </a:fgClr>
              <a:bgClr>
                <a:schemeClr val="bg1"/>
              </a:bgClr>
            </a:pattFill>
          </c:spPr>
          <c:invertIfNegative val="0"/>
          <c:dPt>
            <c:idx val="2"/>
            <c:invertIfNegative val="0"/>
            <c:bubble3D val="0"/>
            <c:spPr>
              <a:pattFill prst="pct5">
                <a:fgClr>
                  <a:schemeClr val="tx1"/>
                </a:fgClr>
                <a:bgClr>
                  <a:schemeClr val="bg1"/>
                </a:bgClr>
              </a:pattFill>
              <a:ln w="3175">
                <a:solidFill>
                  <a:schemeClr val="bg1">
                    <a:lumMod val="50000"/>
                  </a:schemeClr>
                </a:solidFill>
              </a:ln>
            </c:spPr>
          </c:dPt>
          <c:cat>
            <c:strRef>
              <c:f>'GWP100'!$A$523:$A$525</c:f>
              <c:strCache>
                <c:ptCount val="3"/>
                <c:pt idx="0">
                  <c:v>2010-2020</c:v>
                </c:pt>
                <c:pt idx="1">
                  <c:v>2010-2030</c:v>
                </c:pt>
                <c:pt idx="2">
                  <c:v>2010-2050</c:v>
                </c:pt>
              </c:strCache>
            </c:strRef>
          </c:cat>
          <c:val>
            <c:numRef>
              <c:f>'GWP100'!$C$523:$C$525</c:f>
              <c:numCache>
                <c:formatCode>#,##0.00</c:formatCode>
                <c:ptCount val="3"/>
                <c:pt idx="0">
                  <c:v>-3.4307647000005099</c:v>
                </c:pt>
                <c:pt idx="1">
                  <c:v>-10.651030900000929</c:v>
                </c:pt>
                <c:pt idx="2">
                  <c:v>-66.869646199998883</c:v>
                </c:pt>
              </c:numCache>
            </c:numRef>
          </c:val>
        </c:ser>
        <c:ser>
          <c:idx val="0"/>
          <c:order val="1"/>
          <c:tx>
            <c:strRef>
              <c:f>'GWP100'!$D$518</c:f>
              <c:strCache>
                <c:ptCount val="1"/>
                <c:pt idx="0">
                  <c:v>CPT1a</c:v>
                </c:pt>
              </c:strCache>
            </c:strRef>
          </c:tx>
          <c:spPr>
            <a:pattFill prst="pct50">
              <a:fgClr>
                <a:schemeClr val="tx1"/>
              </a:fgClr>
              <a:bgClr>
                <a:schemeClr val="bg1"/>
              </a:bgClr>
            </a:pattFill>
            <a:ln w="3175">
              <a:solidFill>
                <a:schemeClr val="bg1">
                  <a:lumMod val="50000"/>
                </a:schemeClr>
              </a:solidFill>
            </a:ln>
          </c:spPr>
          <c:invertIfNegative val="0"/>
          <c:cat>
            <c:strRef>
              <c:f>'GWP100'!$A$523:$A$525</c:f>
              <c:strCache>
                <c:ptCount val="3"/>
                <c:pt idx="0">
                  <c:v>2010-2020</c:v>
                </c:pt>
                <c:pt idx="1">
                  <c:v>2010-2030</c:v>
                </c:pt>
                <c:pt idx="2">
                  <c:v>2010-2050</c:v>
                </c:pt>
              </c:strCache>
            </c:strRef>
          </c:cat>
          <c:val>
            <c:numRef>
              <c:f>'GWP100'!$D$523:$D$525</c:f>
              <c:numCache>
                <c:formatCode>#,##0.00</c:formatCode>
                <c:ptCount val="3"/>
                <c:pt idx="0">
                  <c:v>-16.817843600000831</c:v>
                </c:pt>
                <c:pt idx="1">
                  <c:v>-55.583160400001347</c:v>
                </c:pt>
                <c:pt idx="2">
                  <c:v>-154.86625330000149</c:v>
                </c:pt>
              </c:numCache>
            </c:numRef>
          </c:val>
        </c:ser>
        <c:ser>
          <c:idx val="2"/>
          <c:order val="2"/>
          <c:tx>
            <c:strRef>
              <c:f>'GWP100'!$E$518</c:f>
              <c:strCache>
                <c:ptCount val="1"/>
                <c:pt idx="0">
                  <c:v>CPT2</c:v>
                </c:pt>
              </c:strCache>
            </c:strRef>
          </c:tx>
          <c:spPr>
            <a:pattFill prst="ltDnDiag">
              <a:fgClr>
                <a:schemeClr val="tx1"/>
              </a:fgClr>
              <a:bgClr>
                <a:schemeClr val="bg1"/>
              </a:bgClr>
            </a:pattFill>
            <a:ln w="3175">
              <a:solidFill>
                <a:schemeClr val="bg1">
                  <a:lumMod val="50000"/>
                </a:schemeClr>
              </a:solidFill>
            </a:ln>
          </c:spPr>
          <c:invertIfNegative val="0"/>
          <c:cat>
            <c:strRef>
              <c:f>'GWP100'!$A$523:$A$525</c:f>
              <c:strCache>
                <c:ptCount val="3"/>
                <c:pt idx="0">
                  <c:v>2010-2020</c:v>
                </c:pt>
                <c:pt idx="1">
                  <c:v>2010-2030</c:v>
                </c:pt>
                <c:pt idx="2">
                  <c:v>2010-2050</c:v>
                </c:pt>
              </c:strCache>
            </c:strRef>
          </c:cat>
          <c:val>
            <c:numRef>
              <c:f>'GWP100'!$E$523:$E$525</c:f>
              <c:numCache>
                <c:formatCode>#,##0.00</c:formatCode>
                <c:ptCount val="3"/>
                <c:pt idx="0">
                  <c:v>-24.824204700000639</c:v>
                </c:pt>
                <c:pt idx="1">
                  <c:v>-89.425364600001572</c:v>
                </c:pt>
                <c:pt idx="2">
                  <c:v>-307.18796200000008</c:v>
                </c:pt>
              </c:numCache>
            </c:numRef>
          </c:val>
        </c:ser>
        <c:ser>
          <c:idx val="3"/>
          <c:order val="3"/>
          <c:tx>
            <c:strRef>
              <c:f>'GWP100'!$F$518</c:f>
              <c:strCache>
                <c:ptCount val="1"/>
                <c:pt idx="0">
                  <c:v>CPT2a</c:v>
                </c:pt>
              </c:strCache>
            </c:strRef>
          </c:tx>
          <c:spPr>
            <a:pattFill prst="ltVert">
              <a:fgClr>
                <a:schemeClr val="tx1"/>
              </a:fgClr>
              <a:bgClr>
                <a:schemeClr val="bg1"/>
              </a:bgClr>
            </a:pattFill>
            <a:ln w="3175">
              <a:solidFill>
                <a:schemeClr val="bg1">
                  <a:lumMod val="50000"/>
                </a:schemeClr>
              </a:solidFill>
            </a:ln>
          </c:spPr>
          <c:invertIfNegative val="0"/>
          <c:cat>
            <c:strRef>
              <c:f>'GWP100'!$A$523:$A$525</c:f>
              <c:strCache>
                <c:ptCount val="3"/>
                <c:pt idx="0">
                  <c:v>2010-2020</c:v>
                </c:pt>
                <c:pt idx="1">
                  <c:v>2010-2030</c:v>
                </c:pt>
                <c:pt idx="2">
                  <c:v>2010-2050</c:v>
                </c:pt>
              </c:strCache>
            </c:strRef>
          </c:cat>
          <c:val>
            <c:numRef>
              <c:f>'GWP100'!$F$523:$F$525</c:f>
              <c:numCache>
                <c:formatCode>#,##0.00</c:formatCode>
                <c:ptCount val="3"/>
                <c:pt idx="0">
                  <c:v>-10.827915600001001</c:v>
                </c:pt>
                <c:pt idx="1">
                  <c:v>-55.547277300001042</c:v>
                </c:pt>
                <c:pt idx="2">
                  <c:v>-248.6173639999972</c:v>
                </c:pt>
              </c:numCache>
            </c:numRef>
          </c:val>
        </c:ser>
        <c:ser>
          <c:idx val="12"/>
          <c:order val="4"/>
          <c:tx>
            <c:strRef>
              <c:f>'GWP100'!$O$518</c:f>
              <c:strCache>
                <c:ptCount val="1"/>
                <c:pt idx="0">
                  <c:v>CPT2b</c:v>
                </c:pt>
              </c:strCache>
            </c:strRef>
          </c:tx>
          <c:spPr>
            <a:pattFill prst="dashDnDiag">
              <a:fgClr>
                <a:schemeClr val="tx1"/>
              </a:fgClr>
              <a:bgClr>
                <a:schemeClr val="bg1"/>
              </a:bgClr>
            </a:pattFill>
            <a:ln w="3175">
              <a:solidFill>
                <a:schemeClr val="bg1">
                  <a:lumMod val="50000"/>
                </a:schemeClr>
              </a:solidFill>
            </a:ln>
          </c:spPr>
          <c:invertIfNegative val="0"/>
          <c:cat>
            <c:strRef>
              <c:f>'GWP100'!$A$523:$A$525</c:f>
              <c:strCache>
                <c:ptCount val="3"/>
                <c:pt idx="0">
                  <c:v>2010-2020</c:v>
                </c:pt>
                <c:pt idx="1">
                  <c:v>2010-2030</c:v>
                </c:pt>
                <c:pt idx="2">
                  <c:v>2010-2050</c:v>
                </c:pt>
              </c:strCache>
            </c:strRef>
          </c:cat>
          <c:val>
            <c:numRef>
              <c:f>'GWP100'!$O$523:$O$525</c:f>
              <c:numCache>
                <c:formatCode>#,##0.00</c:formatCode>
                <c:ptCount val="3"/>
                <c:pt idx="0">
                  <c:v>-15.34778130000063</c:v>
                </c:pt>
                <c:pt idx="1">
                  <c:v>-59.941585400000797</c:v>
                </c:pt>
                <c:pt idx="2">
                  <c:v>-216.07990150000219</c:v>
                </c:pt>
              </c:numCache>
            </c:numRef>
          </c:val>
        </c:ser>
        <c:ser>
          <c:idx val="4"/>
          <c:order val="5"/>
          <c:tx>
            <c:strRef>
              <c:f>'GWP100'!$G$518</c:f>
              <c:strCache>
                <c:ptCount val="1"/>
                <c:pt idx="0">
                  <c:v>CPT3</c:v>
                </c:pt>
              </c:strCache>
            </c:strRef>
          </c:tx>
          <c:spPr>
            <a:pattFill prst="zigZag">
              <a:fgClr>
                <a:schemeClr val="tx1"/>
              </a:fgClr>
              <a:bgClr>
                <a:schemeClr val="bg1"/>
              </a:bgClr>
            </a:pattFill>
            <a:ln w="3175">
              <a:solidFill>
                <a:schemeClr val="bg1">
                  <a:lumMod val="50000"/>
                </a:schemeClr>
              </a:solidFill>
            </a:ln>
          </c:spPr>
          <c:invertIfNegative val="0"/>
          <c:cat>
            <c:strRef>
              <c:f>'GWP100'!$A$523:$A$525</c:f>
              <c:strCache>
                <c:ptCount val="3"/>
                <c:pt idx="0">
                  <c:v>2010-2020</c:v>
                </c:pt>
                <c:pt idx="1">
                  <c:v>2010-2030</c:v>
                </c:pt>
                <c:pt idx="2">
                  <c:v>2010-2050</c:v>
                </c:pt>
              </c:strCache>
            </c:strRef>
          </c:cat>
          <c:val>
            <c:numRef>
              <c:f>'GWP100'!$G$523:$G$525</c:f>
              <c:numCache>
                <c:formatCode>#,##0.00</c:formatCode>
                <c:ptCount val="3"/>
                <c:pt idx="0">
                  <c:v>-42.001855300000223</c:v>
                </c:pt>
                <c:pt idx="1">
                  <c:v>-147.866433800001</c:v>
                </c:pt>
                <c:pt idx="2">
                  <c:v>-492.65412809999731</c:v>
                </c:pt>
              </c:numCache>
            </c:numRef>
          </c:val>
        </c:ser>
        <c:ser>
          <c:idx val="13"/>
          <c:order val="6"/>
          <c:tx>
            <c:strRef>
              <c:f>'GWP100'!$P$518</c:f>
              <c:strCache>
                <c:ptCount val="1"/>
                <c:pt idx="0">
                  <c:v>CPT3a</c:v>
                </c:pt>
              </c:strCache>
            </c:strRef>
          </c:tx>
          <c:spPr>
            <a:pattFill prst="divot">
              <a:fgClr>
                <a:schemeClr val="tx1"/>
              </a:fgClr>
              <a:bgClr>
                <a:schemeClr val="bg1"/>
              </a:bgClr>
            </a:pattFill>
            <a:ln w="3175">
              <a:solidFill>
                <a:schemeClr val="bg1">
                  <a:lumMod val="50000"/>
                </a:schemeClr>
              </a:solidFill>
            </a:ln>
          </c:spPr>
          <c:invertIfNegative val="0"/>
          <c:cat>
            <c:strRef>
              <c:f>'GWP100'!$A$523:$A$525</c:f>
              <c:strCache>
                <c:ptCount val="3"/>
                <c:pt idx="0">
                  <c:v>2010-2020</c:v>
                </c:pt>
                <c:pt idx="1">
                  <c:v>2010-2030</c:v>
                </c:pt>
                <c:pt idx="2">
                  <c:v>2010-2050</c:v>
                </c:pt>
              </c:strCache>
            </c:strRef>
          </c:cat>
          <c:val>
            <c:numRef>
              <c:f>'GWP100'!$P$523:$P$525</c:f>
              <c:numCache>
                <c:formatCode>#,##0.00</c:formatCode>
                <c:ptCount val="3"/>
                <c:pt idx="0">
                  <c:v>-42.001855300000223</c:v>
                </c:pt>
                <c:pt idx="1">
                  <c:v>-145.15089440000071</c:v>
                </c:pt>
                <c:pt idx="2">
                  <c:v>-471.91838530000132</c:v>
                </c:pt>
              </c:numCache>
            </c:numRef>
          </c:val>
        </c:ser>
        <c:ser>
          <c:idx val="7"/>
          <c:order val="7"/>
          <c:tx>
            <c:strRef>
              <c:f>'GWP100'!$K$518</c:f>
              <c:strCache>
                <c:ptCount val="1"/>
                <c:pt idx="0">
                  <c:v>SCR2a</c:v>
                </c:pt>
              </c:strCache>
            </c:strRef>
          </c:tx>
          <c:spPr>
            <a:pattFill prst="smGrid">
              <a:fgClr>
                <a:schemeClr val="tx1"/>
              </a:fgClr>
              <a:bgClr>
                <a:schemeClr val="bg1"/>
              </a:bgClr>
            </a:pattFill>
            <a:ln w="3175">
              <a:solidFill>
                <a:schemeClr val="bg1">
                  <a:lumMod val="50000"/>
                </a:schemeClr>
              </a:solidFill>
            </a:ln>
          </c:spPr>
          <c:invertIfNegative val="0"/>
          <c:cat>
            <c:strRef>
              <c:f>'GWP100'!$A$523:$A$525</c:f>
              <c:strCache>
                <c:ptCount val="3"/>
                <c:pt idx="0">
                  <c:v>2010-2020</c:v>
                </c:pt>
                <c:pt idx="1">
                  <c:v>2010-2030</c:v>
                </c:pt>
                <c:pt idx="2">
                  <c:v>2010-2050</c:v>
                </c:pt>
              </c:strCache>
            </c:strRef>
          </c:cat>
          <c:val>
            <c:numRef>
              <c:f>'GWP100'!$K$523:$K$525</c:f>
              <c:numCache>
                <c:formatCode>#,##0.00</c:formatCode>
                <c:ptCount val="3"/>
                <c:pt idx="0">
                  <c:v>7.7758421999999534</c:v>
                </c:pt>
                <c:pt idx="1">
                  <c:v>11.42290539999977</c:v>
                </c:pt>
                <c:pt idx="2">
                  <c:v>44.08453549999922</c:v>
                </c:pt>
              </c:numCache>
            </c:numRef>
          </c:val>
        </c:ser>
        <c:ser>
          <c:idx val="5"/>
          <c:order val="8"/>
          <c:tx>
            <c:strRef>
              <c:f>'GWP100'!$H$518</c:f>
              <c:strCache>
                <c:ptCount val="1"/>
                <c:pt idx="0">
                  <c:v>SCR1</c:v>
                </c:pt>
              </c:strCache>
            </c:strRef>
          </c:tx>
          <c:spPr>
            <a:pattFill prst="pct10">
              <a:fgClr>
                <a:schemeClr val="tx1"/>
              </a:fgClr>
              <a:bgClr>
                <a:schemeClr val="bg1"/>
              </a:bgClr>
            </a:pattFill>
            <a:ln w="3175">
              <a:solidFill>
                <a:schemeClr val="bg1">
                  <a:lumMod val="50000"/>
                </a:schemeClr>
              </a:solidFill>
            </a:ln>
          </c:spPr>
          <c:invertIfNegative val="0"/>
          <c:cat>
            <c:strRef>
              <c:f>'GWP100'!$A$523:$A$525</c:f>
              <c:strCache>
                <c:ptCount val="3"/>
                <c:pt idx="0">
                  <c:v>2010-2020</c:v>
                </c:pt>
                <c:pt idx="1">
                  <c:v>2010-2030</c:v>
                </c:pt>
                <c:pt idx="2">
                  <c:v>2010-2050</c:v>
                </c:pt>
              </c:strCache>
            </c:strRef>
          </c:cat>
          <c:val>
            <c:numRef>
              <c:f>'GWP100'!$H$523:$H$525</c:f>
              <c:numCache>
                <c:formatCode>#,##0.00</c:formatCode>
                <c:ptCount val="3"/>
                <c:pt idx="0">
                  <c:v>-1.1591823000003401</c:v>
                </c:pt>
                <c:pt idx="1">
                  <c:v>-1.341075600000295</c:v>
                </c:pt>
                <c:pt idx="2">
                  <c:v>-1.1549900999998499</c:v>
                </c:pt>
              </c:numCache>
            </c:numRef>
          </c:val>
        </c:ser>
        <c:ser>
          <c:idx val="9"/>
          <c:order val="9"/>
          <c:tx>
            <c:strRef>
              <c:f>'GWP100'!$I$518</c:f>
              <c:strCache>
                <c:ptCount val="1"/>
                <c:pt idx="0">
                  <c:v>SCR2</c:v>
                </c:pt>
              </c:strCache>
            </c:strRef>
          </c:tx>
          <c:spPr>
            <a:pattFill prst="pct60">
              <a:fgClr>
                <a:schemeClr val="tx1"/>
              </a:fgClr>
              <a:bgClr>
                <a:schemeClr val="bg1"/>
              </a:bgClr>
            </a:pattFill>
            <a:ln w="3175">
              <a:solidFill>
                <a:schemeClr val="bg1">
                  <a:lumMod val="50000"/>
                </a:schemeClr>
              </a:solidFill>
            </a:ln>
          </c:spPr>
          <c:invertIfNegative val="0"/>
          <c:cat>
            <c:strRef>
              <c:f>'GWP100'!$A$523:$A$525</c:f>
              <c:strCache>
                <c:ptCount val="3"/>
                <c:pt idx="0">
                  <c:v>2010-2020</c:v>
                </c:pt>
                <c:pt idx="1">
                  <c:v>2010-2030</c:v>
                </c:pt>
                <c:pt idx="2">
                  <c:v>2010-2050</c:v>
                </c:pt>
              </c:strCache>
            </c:strRef>
          </c:cat>
          <c:val>
            <c:numRef>
              <c:f>'GWP100'!$I$523:$I$525</c:f>
              <c:numCache>
                <c:formatCode>#,##0.00</c:formatCode>
                <c:ptCount val="3"/>
                <c:pt idx="0">
                  <c:v>-6.1354304000001321</c:v>
                </c:pt>
                <c:pt idx="1">
                  <c:v>-19.714052499999639</c:v>
                </c:pt>
                <c:pt idx="2">
                  <c:v>-35.835515299998413</c:v>
                </c:pt>
              </c:numCache>
            </c:numRef>
          </c:val>
        </c:ser>
        <c:ser>
          <c:idx val="6"/>
          <c:order val="10"/>
          <c:tx>
            <c:strRef>
              <c:f>'GWP100'!$J$518</c:f>
              <c:strCache>
                <c:ptCount val="1"/>
                <c:pt idx="0">
                  <c:v>SCR3</c:v>
                </c:pt>
              </c:strCache>
            </c:strRef>
          </c:tx>
          <c:spPr>
            <a:pattFill prst="ltUpDiag">
              <a:fgClr>
                <a:schemeClr val="tx1"/>
              </a:fgClr>
              <a:bgClr>
                <a:schemeClr val="bg1"/>
              </a:bgClr>
            </a:pattFill>
            <a:ln w="3175">
              <a:solidFill>
                <a:schemeClr val="bg1">
                  <a:lumMod val="50000"/>
                </a:schemeClr>
              </a:solidFill>
            </a:ln>
          </c:spPr>
          <c:invertIfNegative val="0"/>
          <c:cat>
            <c:strRef>
              <c:f>'GWP100'!$A$523:$A$525</c:f>
              <c:strCache>
                <c:ptCount val="3"/>
                <c:pt idx="0">
                  <c:v>2010-2020</c:v>
                </c:pt>
                <c:pt idx="1">
                  <c:v>2010-2030</c:v>
                </c:pt>
                <c:pt idx="2">
                  <c:v>2010-2050</c:v>
                </c:pt>
              </c:strCache>
            </c:strRef>
          </c:cat>
          <c:val>
            <c:numRef>
              <c:f>'GWP100'!$J$523:$J$525</c:f>
              <c:numCache>
                <c:formatCode>#,##0.00</c:formatCode>
                <c:ptCount val="3"/>
                <c:pt idx="0">
                  <c:v>-1.3380540000002841</c:v>
                </c:pt>
                <c:pt idx="1">
                  <c:v>-8.2541040000010071</c:v>
                </c:pt>
                <c:pt idx="2">
                  <c:v>-39.1814317999997</c:v>
                </c:pt>
              </c:numCache>
            </c:numRef>
          </c:val>
        </c:ser>
        <c:ser>
          <c:idx val="8"/>
          <c:order val="11"/>
          <c:tx>
            <c:strRef>
              <c:f>'GWP100'!$L$518</c:f>
              <c:strCache>
                <c:ptCount val="1"/>
                <c:pt idx="0">
                  <c:v>VED1</c:v>
                </c:pt>
              </c:strCache>
            </c:strRef>
          </c:tx>
          <c:spPr>
            <a:pattFill prst="ltHorz">
              <a:fgClr>
                <a:schemeClr val="tx1"/>
              </a:fgClr>
              <a:bgClr>
                <a:schemeClr val="bg1"/>
              </a:bgClr>
            </a:pattFill>
            <a:ln w="3175">
              <a:solidFill>
                <a:schemeClr val="bg1">
                  <a:lumMod val="50000"/>
                </a:schemeClr>
              </a:solidFill>
            </a:ln>
          </c:spPr>
          <c:invertIfNegative val="0"/>
          <c:cat>
            <c:strRef>
              <c:f>'GWP100'!$A$523:$A$525</c:f>
              <c:strCache>
                <c:ptCount val="3"/>
                <c:pt idx="0">
                  <c:v>2010-2020</c:v>
                </c:pt>
                <c:pt idx="1">
                  <c:v>2010-2030</c:v>
                </c:pt>
                <c:pt idx="2">
                  <c:v>2010-2050</c:v>
                </c:pt>
              </c:strCache>
            </c:strRef>
          </c:cat>
          <c:val>
            <c:numRef>
              <c:f>'GWP100'!$L$523:$L$525</c:f>
              <c:numCache>
                <c:formatCode>#,##0.00</c:formatCode>
                <c:ptCount val="3"/>
                <c:pt idx="0">
                  <c:v>-4.2063683000006096</c:v>
                </c:pt>
                <c:pt idx="1">
                  <c:v>-10.76472480000211</c:v>
                </c:pt>
                <c:pt idx="2">
                  <c:v>-30.192423299999859</c:v>
                </c:pt>
              </c:numCache>
            </c:numRef>
          </c:val>
        </c:ser>
        <c:ser>
          <c:idx val="11"/>
          <c:order val="12"/>
          <c:tx>
            <c:strRef>
              <c:f>'GWP100'!$M$518</c:f>
              <c:strCache>
                <c:ptCount val="1"/>
                <c:pt idx="0">
                  <c:v>VED2</c:v>
                </c:pt>
              </c:strCache>
            </c:strRef>
          </c:tx>
          <c:spPr>
            <a:pattFill prst="dashUpDiag">
              <a:fgClr>
                <a:schemeClr val="tx1"/>
              </a:fgClr>
              <a:bgClr>
                <a:schemeClr val="bg1"/>
              </a:bgClr>
            </a:pattFill>
            <a:ln w="3175">
              <a:solidFill>
                <a:schemeClr val="bg1">
                  <a:lumMod val="50000"/>
                </a:schemeClr>
              </a:solidFill>
            </a:ln>
          </c:spPr>
          <c:invertIfNegative val="0"/>
          <c:cat>
            <c:strRef>
              <c:f>'GWP100'!$A$523:$A$525</c:f>
              <c:strCache>
                <c:ptCount val="3"/>
                <c:pt idx="0">
                  <c:v>2010-2020</c:v>
                </c:pt>
                <c:pt idx="1">
                  <c:v>2010-2030</c:v>
                </c:pt>
                <c:pt idx="2">
                  <c:v>2010-2050</c:v>
                </c:pt>
              </c:strCache>
            </c:strRef>
          </c:cat>
          <c:val>
            <c:numRef>
              <c:f>'GWP100'!$M$523:$M$525</c:f>
              <c:numCache>
                <c:formatCode>#,##0.00</c:formatCode>
                <c:ptCount val="3"/>
                <c:pt idx="0">
                  <c:v>-5.1876484000003984</c:v>
                </c:pt>
                <c:pt idx="1">
                  <c:v>-18.263836600001429</c:v>
                </c:pt>
                <c:pt idx="2">
                  <c:v>-87.38265619999855</c:v>
                </c:pt>
              </c:numCache>
            </c:numRef>
          </c:val>
        </c:ser>
        <c:ser>
          <c:idx val="10"/>
          <c:order val="13"/>
          <c:tx>
            <c:strRef>
              <c:f>'GWP100'!$N$518</c:f>
              <c:strCache>
                <c:ptCount val="1"/>
                <c:pt idx="0">
                  <c:v>VED3</c:v>
                </c:pt>
              </c:strCache>
            </c:strRef>
          </c:tx>
          <c:spPr>
            <a:pattFill prst="wave">
              <a:fgClr>
                <a:schemeClr val="tx1"/>
              </a:fgClr>
              <a:bgClr>
                <a:schemeClr val="bg1"/>
              </a:bgClr>
            </a:pattFill>
            <a:ln w="3175">
              <a:solidFill>
                <a:schemeClr val="bg1">
                  <a:lumMod val="50000"/>
                </a:schemeClr>
              </a:solidFill>
            </a:ln>
          </c:spPr>
          <c:invertIfNegative val="0"/>
          <c:cat>
            <c:strRef>
              <c:f>'GWP100'!$A$523:$A$525</c:f>
              <c:strCache>
                <c:ptCount val="3"/>
                <c:pt idx="0">
                  <c:v>2010-2020</c:v>
                </c:pt>
                <c:pt idx="1">
                  <c:v>2010-2030</c:v>
                </c:pt>
                <c:pt idx="2">
                  <c:v>2010-2050</c:v>
                </c:pt>
              </c:strCache>
            </c:strRef>
          </c:cat>
          <c:val>
            <c:numRef>
              <c:f>'GWP100'!$N$523:$N$525</c:f>
              <c:numCache>
                <c:formatCode>#,##0.00</c:formatCode>
                <c:ptCount val="3"/>
                <c:pt idx="0">
                  <c:v>-17.469209400000182</c:v>
                </c:pt>
                <c:pt idx="1">
                  <c:v>-55.246923100000458</c:v>
                </c:pt>
                <c:pt idx="2">
                  <c:v>-203.73011099999999</c:v>
                </c:pt>
              </c:numCache>
            </c:numRef>
          </c:val>
        </c:ser>
        <c:dLbls>
          <c:showLegendKey val="0"/>
          <c:showVal val="0"/>
          <c:showCatName val="0"/>
          <c:showSerName val="0"/>
          <c:showPercent val="0"/>
          <c:showBubbleSize val="0"/>
        </c:dLbls>
        <c:gapWidth val="100"/>
        <c:axId val="139308032"/>
        <c:axId val="139403264"/>
      </c:barChart>
      <c:catAx>
        <c:axId val="139308032"/>
        <c:scaling>
          <c:orientation val="minMax"/>
        </c:scaling>
        <c:delete val="0"/>
        <c:axPos val="b"/>
        <c:majorTickMark val="out"/>
        <c:minorTickMark val="none"/>
        <c:tickLblPos val="high"/>
        <c:crossAx val="139403264"/>
        <c:crosses val="autoZero"/>
        <c:auto val="1"/>
        <c:lblAlgn val="ctr"/>
        <c:lblOffset val="100"/>
        <c:noMultiLvlLbl val="0"/>
      </c:catAx>
      <c:valAx>
        <c:axId val="139403264"/>
        <c:scaling>
          <c:orientation val="minMax"/>
          <c:min val="-500"/>
        </c:scaling>
        <c:delete val="0"/>
        <c:axPos val="l"/>
        <c:title>
          <c:tx>
            <c:rich>
              <a:bodyPr rot="-5400000" vert="horz"/>
              <a:lstStyle/>
              <a:p>
                <a:pPr>
                  <a:defRPr/>
                </a:pPr>
                <a:r>
                  <a:rPr lang="en-US"/>
                  <a:t>cumulative CO2e (Mt)</a:t>
                </a:r>
              </a:p>
            </c:rich>
          </c:tx>
          <c:layout>
            <c:manualLayout>
              <c:xMode val="edge"/>
              <c:yMode val="edge"/>
              <c:x val="4.2004009924613502E-4"/>
              <c:y val="0.28415789369698802"/>
            </c:manualLayout>
          </c:layout>
          <c:overlay val="0"/>
        </c:title>
        <c:numFmt formatCode="#,##0" sourceLinked="0"/>
        <c:majorTickMark val="out"/>
        <c:minorTickMark val="none"/>
        <c:tickLblPos val="nextTo"/>
        <c:crossAx val="139308032"/>
        <c:crosses val="autoZero"/>
        <c:crossBetween val="between"/>
      </c:valAx>
    </c:plotArea>
    <c:legend>
      <c:legendPos val="r"/>
      <c:layout>
        <c:manualLayout>
          <c:xMode val="edge"/>
          <c:yMode val="edge"/>
          <c:x val="0.84214980880793799"/>
          <c:y val="6.3362435598328506E-2"/>
          <c:w val="0.14085589370624399"/>
          <c:h val="0.87790670636350499"/>
        </c:manualLayout>
      </c:layout>
      <c:overlay val="0"/>
    </c:legend>
    <c:plotVisOnly val="1"/>
    <c:dispBlanksAs val="gap"/>
    <c:showDLblsOverMax val="0"/>
  </c:chart>
  <c:spPr>
    <a:ln>
      <a:noFill/>
    </a:ln>
  </c:spPr>
  <c:txPr>
    <a:bodyPr/>
    <a:lstStyle/>
    <a:p>
      <a:pPr>
        <a:defRPr sz="1200">
          <a:latin typeface="Times New Roman" pitchFamily="18" charset="0"/>
          <a:cs typeface="Times New Roman" pitchFamily="18" charset="0"/>
        </a:defRPr>
      </a:pPr>
      <a:endParaRPr lang="en-US"/>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10"/>
    </mc:Choice>
    <mc:Fallback>
      <c:style val="10"/>
    </mc:Fallback>
  </mc:AlternateContent>
  <c:chart>
    <c:autoTitleDeleted val="0"/>
    <c:plotArea>
      <c:layout>
        <c:manualLayout>
          <c:layoutTarget val="inner"/>
          <c:xMode val="edge"/>
          <c:yMode val="edge"/>
          <c:x val="0.10377883304829454"/>
          <c:y val="3.9167222222222201E-2"/>
          <c:w val="0.76913889347073072"/>
          <c:h val="0.92166555555555696"/>
        </c:manualLayout>
      </c:layout>
      <c:barChart>
        <c:barDir val="col"/>
        <c:grouping val="clustered"/>
        <c:varyColors val="0"/>
        <c:ser>
          <c:idx val="1"/>
          <c:order val="0"/>
          <c:tx>
            <c:strRef>
              <c:f>Traffic!$C$520</c:f>
              <c:strCache>
                <c:ptCount val="1"/>
                <c:pt idx="0">
                  <c:v>CPT1</c:v>
                </c:pt>
              </c:strCache>
            </c:strRef>
          </c:tx>
          <c:spPr>
            <a:pattFill prst="pct5">
              <a:fgClr>
                <a:schemeClr val="tx1"/>
              </a:fgClr>
              <a:bgClr>
                <a:schemeClr val="bg1"/>
              </a:bgClr>
            </a:pattFill>
            <a:ln w="3175">
              <a:solidFill>
                <a:schemeClr val="bg1">
                  <a:lumMod val="50000"/>
                </a:schemeClr>
              </a:solidFill>
            </a:ln>
          </c:spPr>
          <c:invertIfNegative val="0"/>
          <c:cat>
            <c:numRef>
              <c:f>Traffic!$A$521:$A$524</c:f>
              <c:numCache>
                <c:formatCode>General</c:formatCode>
                <c:ptCount val="4"/>
                <c:pt idx="0">
                  <c:v>2020</c:v>
                </c:pt>
                <c:pt idx="1">
                  <c:v>2030</c:v>
                </c:pt>
                <c:pt idx="2">
                  <c:v>2040</c:v>
                </c:pt>
                <c:pt idx="3">
                  <c:v>2050</c:v>
                </c:pt>
              </c:numCache>
            </c:numRef>
          </c:cat>
          <c:val>
            <c:numRef>
              <c:f>Traffic!$C$521:$C$524</c:f>
              <c:numCache>
                <c:formatCode>0.0%</c:formatCode>
                <c:ptCount val="4"/>
                <c:pt idx="0">
                  <c:v>-1.9527626179855499E-3</c:v>
                </c:pt>
                <c:pt idx="1">
                  <c:v>-2.2038400135705898E-3</c:v>
                </c:pt>
                <c:pt idx="2">
                  <c:v>-6.3277716456605097E-3</c:v>
                </c:pt>
                <c:pt idx="3">
                  <c:v>-9.6464728713281708E-3</c:v>
                </c:pt>
              </c:numCache>
            </c:numRef>
          </c:val>
        </c:ser>
        <c:ser>
          <c:idx val="2"/>
          <c:order val="1"/>
          <c:tx>
            <c:strRef>
              <c:f>Traffic!$D$520</c:f>
              <c:strCache>
                <c:ptCount val="1"/>
                <c:pt idx="0">
                  <c:v>CPT1a</c:v>
                </c:pt>
              </c:strCache>
            </c:strRef>
          </c:tx>
          <c:spPr>
            <a:pattFill prst="pct50">
              <a:fgClr>
                <a:schemeClr val="tx1"/>
              </a:fgClr>
              <a:bgClr>
                <a:schemeClr val="bg1"/>
              </a:bgClr>
            </a:pattFill>
            <a:ln w="3175">
              <a:solidFill>
                <a:schemeClr val="bg1">
                  <a:lumMod val="50000"/>
                </a:schemeClr>
              </a:solidFill>
            </a:ln>
          </c:spPr>
          <c:invertIfNegative val="0"/>
          <c:cat>
            <c:numRef>
              <c:f>Traffic!$A$521:$A$524</c:f>
              <c:numCache>
                <c:formatCode>General</c:formatCode>
                <c:ptCount val="4"/>
                <c:pt idx="0">
                  <c:v>2020</c:v>
                </c:pt>
                <c:pt idx="1">
                  <c:v>2030</c:v>
                </c:pt>
                <c:pt idx="2">
                  <c:v>2040</c:v>
                </c:pt>
                <c:pt idx="3">
                  <c:v>2050</c:v>
                </c:pt>
              </c:numCache>
            </c:numRef>
          </c:cat>
          <c:val>
            <c:numRef>
              <c:f>Traffic!$D$521:$D$524</c:f>
              <c:numCache>
                <c:formatCode>0.0%</c:formatCode>
                <c:ptCount val="4"/>
                <c:pt idx="0">
                  <c:v>-8.5648512283664994E-3</c:v>
                </c:pt>
                <c:pt idx="1">
                  <c:v>-1.1675382990408101E-2</c:v>
                </c:pt>
                <c:pt idx="2">
                  <c:v>-1.1006971714993199E-2</c:v>
                </c:pt>
                <c:pt idx="3">
                  <c:v>-1.75537913082504E-2</c:v>
                </c:pt>
              </c:numCache>
            </c:numRef>
          </c:val>
        </c:ser>
        <c:ser>
          <c:idx val="3"/>
          <c:order val="2"/>
          <c:tx>
            <c:strRef>
              <c:f>Traffic!$E$520</c:f>
              <c:strCache>
                <c:ptCount val="1"/>
                <c:pt idx="0">
                  <c:v>CPT2</c:v>
                </c:pt>
              </c:strCache>
            </c:strRef>
          </c:tx>
          <c:spPr>
            <a:pattFill prst="ltDnDiag">
              <a:fgClr>
                <a:schemeClr val="tx1"/>
              </a:fgClr>
              <a:bgClr>
                <a:schemeClr val="bg1"/>
              </a:bgClr>
            </a:pattFill>
            <a:ln w="3175">
              <a:solidFill>
                <a:schemeClr val="bg1">
                  <a:lumMod val="50000"/>
                </a:schemeClr>
              </a:solidFill>
            </a:ln>
          </c:spPr>
          <c:invertIfNegative val="0"/>
          <c:cat>
            <c:numRef>
              <c:f>Traffic!$A$521:$A$524</c:f>
              <c:numCache>
                <c:formatCode>General</c:formatCode>
                <c:ptCount val="4"/>
                <c:pt idx="0">
                  <c:v>2020</c:v>
                </c:pt>
                <c:pt idx="1">
                  <c:v>2030</c:v>
                </c:pt>
                <c:pt idx="2">
                  <c:v>2040</c:v>
                </c:pt>
                <c:pt idx="3">
                  <c:v>2050</c:v>
                </c:pt>
              </c:numCache>
            </c:numRef>
          </c:cat>
          <c:val>
            <c:numRef>
              <c:f>Traffic!$E$521:$E$524</c:f>
              <c:numCache>
                <c:formatCode>0.0%</c:formatCode>
                <c:ptCount val="4"/>
                <c:pt idx="0">
                  <c:v>-7.0884514722249102E-3</c:v>
                </c:pt>
                <c:pt idx="1">
                  <c:v>-1.00629653215845E-2</c:v>
                </c:pt>
                <c:pt idx="2">
                  <c:v>-1.1766530080735201E-2</c:v>
                </c:pt>
                <c:pt idx="3">
                  <c:v>-9.1045301520968295E-3</c:v>
                </c:pt>
              </c:numCache>
            </c:numRef>
          </c:val>
        </c:ser>
        <c:ser>
          <c:idx val="4"/>
          <c:order val="3"/>
          <c:tx>
            <c:strRef>
              <c:f>Traffic!$F$520</c:f>
              <c:strCache>
                <c:ptCount val="1"/>
                <c:pt idx="0">
                  <c:v>CPT2a</c:v>
                </c:pt>
              </c:strCache>
            </c:strRef>
          </c:tx>
          <c:spPr>
            <a:pattFill prst="ltVert">
              <a:fgClr>
                <a:schemeClr val="tx1"/>
              </a:fgClr>
              <a:bgClr>
                <a:schemeClr val="bg1"/>
              </a:bgClr>
            </a:pattFill>
            <a:ln w="3175">
              <a:solidFill>
                <a:schemeClr val="bg1">
                  <a:lumMod val="50000"/>
                </a:schemeClr>
              </a:solidFill>
            </a:ln>
          </c:spPr>
          <c:invertIfNegative val="0"/>
          <c:cat>
            <c:numRef>
              <c:f>Traffic!$A$521:$A$524</c:f>
              <c:numCache>
                <c:formatCode>General</c:formatCode>
                <c:ptCount val="4"/>
                <c:pt idx="0">
                  <c:v>2020</c:v>
                </c:pt>
                <c:pt idx="1">
                  <c:v>2030</c:v>
                </c:pt>
                <c:pt idx="2">
                  <c:v>2040</c:v>
                </c:pt>
                <c:pt idx="3">
                  <c:v>2050</c:v>
                </c:pt>
              </c:numCache>
            </c:numRef>
          </c:cat>
          <c:val>
            <c:numRef>
              <c:f>Traffic!$F$521:$F$524</c:f>
              <c:numCache>
                <c:formatCode>0.0%</c:formatCode>
                <c:ptCount val="4"/>
                <c:pt idx="0">
                  <c:v>-3.5078294463790302E-3</c:v>
                </c:pt>
                <c:pt idx="1">
                  <c:v>-2.63812098341248E-4</c:v>
                </c:pt>
                <c:pt idx="2">
                  <c:v>1.12510563503825E-2</c:v>
                </c:pt>
                <c:pt idx="3">
                  <c:v>2.6263029638568799E-2</c:v>
                </c:pt>
              </c:numCache>
            </c:numRef>
          </c:val>
        </c:ser>
        <c:ser>
          <c:idx val="13"/>
          <c:order val="4"/>
          <c:tx>
            <c:strRef>
              <c:f>Traffic!$O$520</c:f>
              <c:strCache>
                <c:ptCount val="1"/>
                <c:pt idx="0">
                  <c:v>CPT2b</c:v>
                </c:pt>
              </c:strCache>
            </c:strRef>
          </c:tx>
          <c:spPr>
            <a:pattFill prst="dashDnDiag">
              <a:fgClr>
                <a:schemeClr val="tx1"/>
              </a:fgClr>
              <a:bgClr>
                <a:schemeClr val="bg1"/>
              </a:bgClr>
            </a:pattFill>
            <a:ln w="3175">
              <a:solidFill>
                <a:schemeClr val="bg1">
                  <a:lumMod val="50000"/>
                </a:schemeClr>
              </a:solidFill>
            </a:ln>
          </c:spPr>
          <c:invertIfNegative val="0"/>
          <c:cat>
            <c:numRef>
              <c:f>Traffic!$A$521:$A$524</c:f>
              <c:numCache>
                <c:formatCode>General</c:formatCode>
                <c:ptCount val="4"/>
                <c:pt idx="0">
                  <c:v>2020</c:v>
                </c:pt>
                <c:pt idx="1">
                  <c:v>2030</c:v>
                </c:pt>
                <c:pt idx="2">
                  <c:v>2040</c:v>
                </c:pt>
                <c:pt idx="3">
                  <c:v>2050</c:v>
                </c:pt>
              </c:numCache>
            </c:numRef>
          </c:cat>
          <c:val>
            <c:numRef>
              <c:f>Traffic!$O$521:$O$524</c:f>
              <c:numCache>
                <c:formatCode>0.0%</c:formatCode>
                <c:ptCount val="4"/>
                <c:pt idx="0">
                  <c:v>-2.1620049308315602E-3</c:v>
                </c:pt>
                <c:pt idx="1">
                  <c:v>-3.0496568889262199E-3</c:v>
                </c:pt>
                <c:pt idx="2">
                  <c:v>-9.8277590706800293E-4</c:v>
                </c:pt>
                <c:pt idx="3">
                  <c:v>4.8579523172472298E-3</c:v>
                </c:pt>
              </c:numCache>
            </c:numRef>
          </c:val>
        </c:ser>
        <c:ser>
          <c:idx val="5"/>
          <c:order val="5"/>
          <c:tx>
            <c:strRef>
              <c:f>Traffic!$G$520</c:f>
              <c:strCache>
                <c:ptCount val="1"/>
                <c:pt idx="0">
                  <c:v>CPT3</c:v>
                </c:pt>
              </c:strCache>
            </c:strRef>
          </c:tx>
          <c:spPr>
            <a:pattFill prst="zigZag">
              <a:fgClr>
                <a:schemeClr val="tx1"/>
              </a:fgClr>
              <a:bgClr>
                <a:schemeClr val="bg1"/>
              </a:bgClr>
            </a:pattFill>
            <a:ln w="3175">
              <a:solidFill>
                <a:schemeClr val="bg1">
                  <a:lumMod val="50000"/>
                </a:schemeClr>
              </a:solidFill>
            </a:ln>
          </c:spPr>
          <c:invertIfNegative val="0"/>
          <c:cat>
            <c:numRef>
              <c:f>Traffic!$A$521:$A$524</c:f>
              <c:numCache>
                <c:formatCode>General</c:formatCode>
                <c:ptCount val="4"/>
                <c:pt idx="0">
                  <c:v>2020</c:v>
                </c:pt>
                <c:pt idx="1">
                  <c:v>2030</c:v>
                </c:pt>
                <c:pt idx="2">
                  <c:v>2040</c:v>
                </c:pt>
                <c:pt idx="3">
                  <c:v>2050</c:v>
                </c:pt>
              </c:numCache>
            </c:numRef>
          </c:cat>
          <c:val>
            <c:numRef>
              <c:f>Traffic!$G$521:$G$524</c:f>
              <c:numCache>
                <c:formatCode>0.0%</c:formatCode>
                <c:ptCount val="4"/>
                <c:pt idx="0">
                  <c:v>-5.0830498694700898E-3</c:v>
                </c:pt>
                <c:pt idx="1">
                  <c:v>-3.93112878133911E-4</c:v>
                </c:pt>
                <c:pt idx="2">
                  <c:v>7.61528795056247E-3</c:v>
                </c:pt>
                <c:pt idx="3">
                  <c:v>2.4720663076082901E-2</c:v>
                </c:pt>
              </c:numCache>
            </c:numRef>
          </c:val>
        </c:ser>
        <c:ser>
          <c:idx val="14"/>
          <c:order val="6"/>
          <c:tx>
            <c:strRef>
              <c:f>Traffic!$P$520</c:f>
              <c:strCache>
                <c:ptCount val="1"/>
                <c:pt idx="0">
                  <c:v>CPT3a</c:v>
                </c:pt>
              </c:strCache>
            </c:strRef>
          </c:tx>
          <c:spPr>
            <a:pattFill prst="divot">
              <a:fgClr>
                <a:schemeClr val="tx1"/>
              </a:fgClr>
              <a:bgClr>
                <a:schemeClr val="bg1"/>
              </a:bgClr>
            </a:pattFill>
            <a:ln w="3175">
              <a:solidFill>
                <a:schemeClr val="bg1">
                  <a:lumMod val="50000"/>
                </a:schemeClr>
              </a:solidFill>
            </a:ln>
          </c:spPr>
          <c:invertIfNegative val="0"/>
          <c:cat>
            <c:numRef>
              <c:f>Traffic!$A$521:$A$524</c:f>
              <c:numCache>
                <c:formatCode>General</c:formatCode>
                <c:ptCount val="4"/>
                <c:pt idx="0">
                  <c:v>2020</c:v>
                </c:pt>
                <c:pt idx="1">
                  <c:v>2030</c:v>
                </c:pt>
                <c:pt idx="2">
                  <c:v>2040</c:v>
                </c:pt>
                <c:pt idx="3">
                  <c:v>2050</c:v>
                </c:pt>
              </c:numCache>
            </c:numRef>
          </c:cat>
          <c:val>
            <c:numRef>
              <c:f>Traffic!$P$521:$P$524</c:f>
              <c:numCache>
                <c:formatCode>0.0%</c:formatCode>
                <c:ptCount val="4"/>
                <c:pt idx="0">
                  <c:v>-5.0830498694700898E-3</c:v>
                </c:pt>
                <c:pt idx="1">
                  <c:v>-1.12732902470063E-3</c:v>
                </c:pt>
                <c:pt idx="2">
                  <c:v>5.3335965976136898E-3</c:v>
                </c:pt>
                <c:pt idx="3">
                  <c:v>1.7979276137037301E-2</c:v>
                </c:pt>
              </c:numCache>
            </c:numRef>
          </c:val>
        </c:ser>
        <c:ser>
          <c:idx val="6"/>
          <c:order val="7"/>
          <c:tx>
            <c:strRef>
              <c:f>Traffic!$H$520</c:f>
              <c:strCache>
                <c:ptCount val="1"/>
                <c:pt idx="0">
                  <c:v>SCR1</c:v>
                </c:pt>
              </c:strCache>
            </c:strRef>
          </c:tx>
          <c:spPr>
            <a:pattFill prst="smGrid">
              <a:fgClr>
                <a:schemeClr val="tx1"/>
              </a:fgClr>
              <a:bgClr>
                <a:schemeClr val="bg1"/>
              </a:bgClr>
            </a:pattFill>
            <a:ln w="3175">
              <a:solidFill>
                <a:schemeClr val="bg1">
                  <a:lumMod val="50000"/>
                </a:schemeClr>
              </a:solidFill>
            </a:ln>
          </c:spPr>
          <c:invertIfNegative val="0"/>
          <c:cat>
            <c:numRef>
              <c:f>Traffic!$A$521:$A$524</c:f>
              <c:numCache>
                <c:formatCode>General</c:formatCode>
                <c:ptCount val="4"/>
                <c:pt idx="0">
                  <c:v>2020</c:v>
                </c:pt>
                <c:pt idx="1">
                  <c:v>2030</c:v>
                </c:pt>
                <c:pt idx="2">
                  <c:v>2040</c:v>
                </c:pt>
                <c:pt idx="3">
                  <c:v>2050</c:v>
                </c:pt>
              </c:numCache>
            </c:numRef>
          </c:cat>
          <c:val>
            <c:numRef>
              <c:f>Traffic!$H$521:$H$524</c:f>
              <c:numCache>
                <c:formatCode>0.0%</c:formatCode>
                <c:ptCount val="4"/>
                <c:pt idx="0">
                  <c:v>-2.02583264588148E-5</c:v>
                </c:pt>
                <c:pt idx="1">
                  <c:v>-1.513079204364E-5</c:v>
                </c:pt>
                <c:pt idx="2">
                  <c:v>-5.0804546324824899E-6</c:v>
                </c:pt>
                <c:pt idx="3">
                  <c:v>-7.5540023280546904E-6</c:v>
                </c:pt>
              </c:numCache>
            </c:numRef>
          </c:val>
        </c:ser>
        <c:ser>
          <c:idx val="7"/>
          <c:order val="8"/>
          <c:tx>
            <c:strRef>
              <c:f>Traffic!$I$520</c:f>
              <c:strCache>
                <c:ptCount val="1"/>
                <c:pt idx="0">
                  <c:v>SCR2</c:v>
                </c:pt>
              </c:strCache>
            </c:strRef>
          </c:tx>
          <c:spPr>
            <a:pattFill prst="pct10">
              <a:fgClr>
                <a:schemeClr val="tx1"/>
              </a:fgClr>
              <a:bgClr>
                <a:schemeClr val="bg1"/>
              </a:bgClr>
            </a:pattFill>
            <a:ln w="3175">
              <a:solidFill>
                <a:schemeClr val="bg1">
                  <a:lumMod val="50000"/>
                </a:schemeClr>
              </a:solidFill>
            </a:ln>
          </c:spPr>
          <c:invertIfNegative val="0"/>
          <c:cat>
            <c:numRef>
              <c:f>Traffic!$A$521:$A$524</c:f>
              <c:numCache>
                <c:formatCode>General</c:formatCode>
                <c:ptCount val="4"/>
                <c:pt idx="0">
                  <c:v>2020</c:v>
                </c:pt>
                <c:pt idx="1">
                  <c:v>2030</c:v>
                </c:pt>
                <c:pt idx="2">
                  <c:v>2040</c:v>
                </c:pt>
                <c:pt idx="3">
                  <c:v>2050</c:v>
                </c:pt>
              </c:numCache>
            </c:numRef>
          </c:cat>
          <c:val>
            <c:numRef>
              <c:f>Traffic!$I$521:$I$524</c:f>
              <c:numCache>
                <c:formatCode>0.0%</c:formatCode>
                <c:ptCount val="4"/>
                <c:pt idx="0">
                  <c:v>1.60898203628046E-2</c:v>
                </c:pt>
                <c:pt idx="1">
                  <c:v>2.35249817404279E-2</c:v>
                </c:pt>
                <c:pt idx="2">
                  <c:v>2.6391527689505499E-2</c:v>
                </c:pt>
                <c:pt idx="3">
                  <c:v>2.8736594816871599E-2</c:v>
                </c:pt>
              </c:numCache>
            </c:numRef>
          </c:val>
        </c:ser>
        <c:ser>
          <c:idx val="9"/>
          <c:order val="9"/>
          <c:tx>
            <c:strRef>
              <c:f>Traffic!$K$520</c:f>
              <c:strCache>
                <c:ptCount val="1"/>
                <c:pt idx="0">
                  <c:v>SCR2a</c:v>
                </c:pt>
              </c:strCache>
            </c:strRef>
          </c:tx>
          <c:spPr>
            <a:pattFill prst="pct60">
              <a:fgClr>
                <a:schemeClr val="tx1"/>
              </a:fgClr>
              <a:bgClr>
                <a:schemeClr val="bg1"/>
              </a:bgClr>
            </a:pattFill>
            <a:ln w="3175">
              <a:solidFill>
                <a:schemeClr val="bg1">
                  <a:lumMod val="50000"/>
                </a:schemeClr>
              </a:solidFill>
            </a:ln>
          </c:spPr>
          <c:invertIfNegative val="0"/>
          <c:cat>
            <c:numRef>
              <c:f>Traffic!$A$521:$A$524</c:f>
              <c:numCache>
                <c:formatCode>General</c:formatCode>
                <c:ptCount val="4"/>
                <c:pt idx="0">
                  <c:v>2020</c:v>
                </c:pt>
                <c:pt idx="1">
                  <c:v>2030</c:v>
                </c:pt>
                <c:pt idx="2">
                  <c:v>2040</c:v>
                </c:pt>
                <c:pt idx="3">
                  <c:v>2050</c:v>
                </c:pt>
              </c:numCache>
            </c:numRef>
          </c:cat>
          <c:val>
            <c:numRef>
              <c:f>Traffic!$K$521:$K$524</c:f>
              <c:numCache>
                <c:formatCode>0.0%</c:formatCode>
                <c:ptCount val="4"/>
                <c:pt idx="0">
                  <c:v>1.8169766862188099E-2</c:v>
                </c:pt>
                <c:pt idx="1">
                  <c:v>2.4357218767281801E-2</c:v>
                </c:pt>
                <c:pt idx="2">
                  <c:v>2.7097794510051398E-2</c:v>
                </c:pt>
                <c:pt idx="3">
                  <c:v>2.9693827547450698E-2</c:v>
                </c:pt>
              </c:numCache>
            </c:numRef>
          </c:val>
        </c:ser>
        <c:ser>
          <c:idx val="8"/>
          <c:order val="10"/>
          <c:tx>
            <c:strRef>
              <c:f>Traffic!$J$520</c:f>
              <c:strCache>
                <c:ptCount val="1"/>
                <c:pt idx="0">
                  <c:v>SCR3</c:v>
                </c:pt>
              </c:strCache>
            </c:strRef>
          </c:tx>
          <c:spPr>
            <a:pattFill prst="ltUpDiag">
              <a:fgClr>
                <a:schemeClr val="tx1"/>
              </a:fgClr>
              <a:bgClr>
                <a:schemeClr val="bg1"/>
              </a:bgClr>
            </a:pattFill>
            <a:ln w="3175">
              <a:solidFill>
                <a:schemeClr val="bg1">
                  <a:lumMod val="50000"/>
                </a:schemeClr>
              </a:solidFill>
            </a:ln>
          </c:spPr>
          <c:invertIfNegative val="0"/>
          <c:cat>
            <c:numRef>
              <c:f>Traffic!$A$521:$A$524</c:f>
              <c:numCache>
                <c:formatCode>General</c:formatCode>
                <c:ptCount val="4"/>
                <c:pt idx="0">
                  <c:v>2020</c:v>
                </c:pt>
                <c:pt idx="1">
                  <c:v>2030</c:v>
                </c:pt>
                <c:pt idx="2">
                  <c:v>2040</c:v>
                </c:pt>
                <c:pt idx="3">
                  <c:v>2050</c:v>
                </c:pt>
              </c:numCache>
            </c:numRef>
          </c:cat>
          <c:val>
            <c:numRef>
              <c:f>Traffic!$J$521:$J$524</c:f>
              <c:numCache>
                <c:formatCode>0.0%</c:formatCode>
                <c:ptCount val="4"/>
                <c:pt idx="0">
                  <c:v>5.2033686771875897E-3</c:v>
                </c:pt>
                <c:pt idx="1">
                  <c:v>7.1013599305677E-3</c:v>
                </c:pt>
                <c:pt idx="2">
                  <c:v>9.7510925108649504E-3</c:v>
                </c:pt>
                <c:pt idx="3">
                  <c:v>1.4466649699914499E-2</c:v>
                </c:pt>
              </c:numCache>
            </c:numRef>
          </c:val>
        </c:ser>
        <c:ser>
          <c:idx val="10"/>
          <c:order val="11"/>
          <c:tx>
            <c:strRef>
              <c:f>Traffic!$L$520</c:f>
              <c:strCache>
                <c:ptCount val="1"/>
                <c:pt idx="0">
                  <c:v>VED1</c:v>
                </c:pt>
              </c:strCache>
            </c:strRef>
          </c:tx>
          <c:spPr>
            <a:pattFill prst="ltHorz">
              <a:fgClr>
                <a:schemeClr val="tx1"/>
              </a:fgClr>
              <a:bgClr>
                <a:schemeClr val="bg1"/>
              </a:bgClr>
            </a:pattFill>
            <a:ln w="3175">
              <a:solidFill>
                <a:schemeClr val="bg1">
                  <a:lumMod val="50000"/>
                </a:schemeClr>
              </a:solidFill>
            </a:ln>
          </c:spPr>
          <c:invertIfNegative val="0"/>
          <c:cat>
            <c:numRef>
              <c:f>Traffic!$A$521:$A$524</c:f>
              <c:numCache>
                <c:formatCode>General</c:formatCode>
                <c:ptCount val="4"/>
                <c:pt idx="0">
                  <c:v>2020</c:v>
                </c:pt>
                <c:pt idx="1">
                  <c:v>2030</c:v>
                </c:pt>
                <c:pt idx="2">
                  <c:v>2040</c:v>
                </c:pt>
                <c:pt idx="3">
                  <c:v>2050</c:v>
                </c:pt>
              </c:numCache>
            </c:numRef>
          </c:cat>
          <c:val>
            <c:numRef>
              <c:f>Traffic!$L$521:$L$524</c:f>
              <c:numCache>
                <c:formatCode>0.0%</c:formatCode>
                <c:ptCount val="4"/>
                <c:pt idx="0">
                  <c:v>-1.4156711323123599E-3</c:v>
                </c:pt>
                <c:pt idx="1">
                  <c:v>-2.2358848216894999E-3</c:v>
                </c:pt>
                <c:pt idx="2">
                  <c:v>-2.4710098747310599E-3</c:v>
                </c:pt>
                <c:pt idx="3">
                  <c:v>-2.8454464058205301E-3</c:v>
                </c:pt>
              </c:numCache>
            </c:numRef>
          </c:val>
        </c:ser>
        <c:ser>
          <c:idx val="11"/>
          <c:order val="12"/>
          <c:tx>
            <c:strRef>
              <c:f>Traffic!$M$520</c:f>
              <c:strCache>
                <c:ptCount val="1"/>
                <c:pt idx="0">
                  <c:v>VED2</c:v>
                </c:pt>
              </c:strCache>
            </c:strRef>
          </c:tx>
          <c:spPr>
            <a:pattFill prst="dashUpDiag">
              <a:fgClr>
                <a:schemeClr val="tx1"/>
              </a:fgClr>
              <a:bgClr>
                <a:schemeClr val="bg1"/>
              </a:bgClr>
            </a:pattFill>
            <a:ln w="3175">
              <a:solidFill>
                <a:schemeClr val="bg1">
                  <a:lumMod val="50000"/>
                </a:schemeClr>
              </a:solidFill>
            </a:ln>
          </c:spPr>
          <c:invertIfNegative val="0"/>
          <c:cat>
            <c:numRef>
              <c:f>Traffic!$A$521:$A$524</c:f>
              <c:numCache>
                <c:formatCode>General</c:formatCode>
                <c:ptCount val="4"/>
                <c:pt idx="0">
                  <c:v>2020</c:v>
                </c:pt>
                <c:pt idx="1">
                  <c:v>2030</c:v>
                </c:pt>
                <c:pt idx="2">
                  <c:v>2040</c:v>
                </c:pt>
                <c:pt idx="3">
                  <c:v>2050</c:v>
                </c:pt>
              </c:numCache>
            </c:numRef>
          </c:cat>
          <c:val>
            <c:numRef>
              <c:f>Traffic!$M$521:$M$524</c:f>
              <c:numCache>
                <c:formatCode>0.0%</c:formatCode>
                <c:ptCount val="4"/>
                <c:pt idx="0">
                  <c:v>-2.2992126141863898E-3</c:v>
                </c:pt>
                <c:pt idx="1">
                  <c:v>-6.96750310277886E-3</c:v>
                </c:pt>
                <c:pt idx="2">
                  <c:v>-1.1270519138575999E-2</c:v>
                </c:pt>
                <c:pt idx="3">
                  <c:v>-1.42284804152168E-2</c:v>
                </c:pt>
              </c:numCache>
            </c:numRef>
          </c:val>
        </c:ser>
        <c:ser>
          <c:idx val="12"/>
          <c:order val="13"/>
          <c:tx>
            <c:strRef>
              <c:f>Traffic!$N$520</c:f>
              <c:strCache>
                <c:ptCount val="1"/>
                <c:pt idx="0">
                  <c:v>VED3</c:v>
                </c:pt>
              </c:strCache>
            </c:strRef>
          </c:tx>
          <c:spPr>
            <a:pattFill prst="wave">
              <a:fgClr>
                <a:schemeClr val="tx1"/>
              </a:fgClr>
              <a:bgClr>
                <a:schemeClr val="bg1"/>
              </a:bgClr>
            </a:pattFill>
            <a:ln w="3175">
              <a:solidFill>
                <a:schemeClr val="bg1">
                  <a:lumMod val="50000"/>
                </a:schemeClr>
              </a:solidFill>
            </a:ln>
          </c:spPr>
          <c:invertIfNegative val="0"/>
          <c:cat>
            <c:numRef>
              <c:f>Traffic!$A$521:$A$524</c:f>
              <c:numCache>
                <c:formatCode>General</c:formatCode>
                <c:ptCount val="4"/>
                <c:pt idx="0">
                  <c:v>2020</c:v>
                </c:pt>
                <c:pt idx="1">
                  <c:v>2030</c:v>
                </c:pt>
                <c:pt idx="2">
                  <c:v>2040</c:v>
                </c:pt>
                <c:pt idx="3">
                  <c:v>2050</c:v>
                </c:pt>
              </c:numCache>
            </c:numRef>
          </c:cat>
          <c:val>
            <c:numRef>
              <c:f>Traffic!$N$521:$N$524</c:f>
              <c:numCache>
                <c:formatCode>0.0%</c:formatCode>
                <c:ptCount val="4"/>
                <c:pt idx="0">
                  <c:v>-1.1321474011912899E-2</c:v>
                </c:pt>
                <c:pt idx="1">
                  <c:v>-1.7368050025633599E-2</c:v>
                </c:pt>
                <c:pt idx="2">
                  <c:v>-2.2171708461056899E-2</c:v>
                </c:pt>
                <c:pt idx="3">
                  <c:v>-2.455733997788E-2</c:v>
                </c:pt>
              </c:numCache>
            </c:numRef>
          </c:val>
        </c:ser>
        <c:dLbls>
          <c:showLegendKey val="0"/>
          <c:showVal val="0"/>
          <c:showCatName val="0"/>
          <c:showSerName val="0"/>
          <c:showPercent val="0"/>
          <c:showBubbleSize val="0"/>
        </c:dLbls>
        <c:gapWidth val="99"/>
        <c:axId val="153714688"/>
        <c:axId val="153716608"/>
      </c:barChart>
      <c:catAx>
        <c:axId val="153714688"/>
        <c:scaling>
          <c:orientation val="minMax"/>
        </c:scaling>
        <c:delete val="0"/>
        <c:axPos val="b"/>
        <c:numFmt formatCode="General" sourceLinked="1"/>
        <c:majorTickMark val="out"/>
        <c:minorTickMark val="none"/>
        <c:tickLblPos val="low"/>
        <c:crossAx val="153716608"/>
        <c:crosses val="autoZero"/>
        <c:auto val="1"/>
        <c:lblAlgn val="ctr"/>
        <c:lblOffset val="100"/>
        <c:noMultiLvlLbl val="0"/>
      </c:catAx>
      <c:valAx>
        <c:axId val="153716608"/>
        <c:scaling>
          <c:orientation val="minMax"/>
          <c:max val="0.03"/>
        </c:scaling>
        <c:delete val="0"/>
        <c:axPos val="l"/>
        <c:title>
          <c:tx>
            <c:rich>
              <a:bodyPr rot="-5400000" vert="horz"/>
              <a:lstStyle/>
              <a:p>
                <a:pPr>
                  <a:defRPr/>
                </a:pPr>
                <a:r>
                  <a:rPr lang="en-US"/>
                  <a:t>car use, change over REF</a:t>
                </a:r>
              </a:p>
            </c:rich>
          </c:tx>
          <c:layout>
            <c:manualLayout>
              <c:xMode val="edge"/>
              <c:yMode val="edge"/>
              <c:x val="1.5706187222738283E-2"/>
              <c:y val="0.2822422818950418"/>
            </c:manualLayout>
          </c:layout>
          <c:overlay val="0"/>
        </c:title>
        <c:numFmt formatCode="0%" sourceLinked="0"/>
        <c:majorTickMark val="out"/>
        <c:minorTickMark val="none"/>
        <c:tickLblPos val="nextTo"/>
        <c:crossAx val="153714688"/>
        <c:crosses val="autoZero"/>
        <c:crossBetween val="between"/>
      </c:valAx>
    </c:plotArea>
    <c:legend>
      <c:legendPos val="r"/>
      <c:layout>
        <c:manualLayout>
          <c:xMode val="edge"/>
          <c:yMode val="edge"/>
          <c:x val="0.86164409722222501"/>
          <c:y val="2.5230277777778101E-2"/>
          <c:w val="0.13615206313102812"/>
          <c:h val="0.94953944444444505"/>
        </c:manualLayout>
      </c:layout>
      <c:overlay val="0"/>
    </c:legend>
    <c:plotVisOnly val="1"/>
    <c:dispBlanksAs val="gap"/>
    <c:showDLblsOverMax val="0"/>
  </c:chart>
  <c:spPr>
    <a:ln>
      <a:noFill/>
    </a:ln>
  </c:spPr>
  <c:txPr>
    <a:bodyPr/>
    <a:lstStyle/>
    <a:p>
      <a:pPr>
        <a:defRPr>
          <a:latin typeface="Times New Roman" pitchFamily="18" charset="0"/>
          <a:cs typeface="Times New Roman" pitchFamily="18" charset="0"/>
        </a:defRPr>
      </a:pPr>
      <a:endParaRPr lang="en-US"/>
    </a:p>
  </c:txPr>
  <c:externalData r:id="rId1">
    <c:autoUpdate val="0"/>
  </c:externalData>
</c:chartSpace>
</file>

<file path=word/drawings/drawing1.xml><?xml version="1.0" encoding="utf-8"?>
<c:userShapes xmlns:c="http://schemas.openxmlformats.org/drawingml/2006/chart">
  <cdr:relSizeAnchor xmlns:cdr="http://schemas.openxmlformats.org/drawingml/2006/chartDrawing">
    <cdr:from>
      <cdr:x>0.12471</cdr:x>
      <cdr:y>0.88155</cdr:y>
    </cdr:from>
    <cdr:to>
      <cdr:x>0.26347</cdr:x>
      <cdr:y>0.96942</cdr:y>
    </cdr:to>
    <cdr:sp macro="" textlink="">
      <cdr:nvSpPr>
        <cdr:cNvPr id="2" name="TextBox 1"/>
        <cdr:cNvSpPr txBox="1"/>
      </cdr:nvSpPr>
      <cdr:spPr>
        <a:xfrm xmlns:a="http://schemas.openxmlformats.org/drawingml/2006/main">
          <a:off x="628544" y="2776535"/>
          <a:ext cx="699323" cy="276765"/>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pPr algn="ctr"/>
          <a:r>
            <a:rPr lang="en-GB" sz="1800" dirty="0">
              <a:solidFill>
                <a:srgbClr val="006600"/>
              </a:solidFill>
              <a:latin typeface="Gill Sans MT" pitchFamily="34" charset="0"/>
            </a:rPr>
            <a:t>rebate</a:t>
          </a:r>
        </a:p>
      </cdr:txBody>
    </cdr:sp>
  </cdr:relSizeAnchor>
  <cdr:relSizeAnchor xmlns:cdr="http://schemas.openxmlformats.org/drawingml/2006/chartDrawing">
    <cdr:from>
      <cdr:x>0.39499</cdr:x>
      <cdr:y>0.88408</cdr:y>
    </cdr:from>
    <cdr:to>
      <cdr:x>0.52232</cdr:x>
      <cdr:y>0.96597</cdr:y>
    </cdr:to>
    <cdr:sp macro="" textlink="">
      <cdr:nvSpPr>
        <cdr:cNvPr id="3" name="TextBox 1"/>
        <cdr:cNvSpPr txBox="1"/>
      </cdr:nvSpPr>
      <cdr:spPr>
        <a:xfrm xmlns:a="http://schemas.openxmlformats.org/drawingml/2006/main">
          <a:off x="1990762" y="2784487"/>
          <a:ext cx="641743" cy="257921"/>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pPr algn="ctr"/>
          <a:r>
            <a:rPr lang="en-GB" sz="1800">
              <a:solidFill>
                <a:srgbClr val="FF0000"/>
              </a:solidFill>
              <a:latin typeface="Gill Sans MT" pitchFamily="34" charset="0"/>
            </a:rPr>
            <a:t>fee</a:t>
          </a:r>
        </a:p>
      </cdr:txBody>
    </cdr:sp>
  </cdr:relSizeAnchor>
  <cdr:relSizeAnchor xmlns:cdr="http://schemas.openxmlformats.org/drawingml/2006/chartDrawing">
    <cdr:from>
      <cdr:x>0.33913</cdr:x>
      <cdr:y>0.89411</cdr:y>
    </cdr:from>
    <cdr:to>
      <cdr:x>0.33913</cdr:x>
      <cdr:y>0.96985</cdr:y>
    </cdr:to>
    <cdr:cxnSp macro="">
      <cdr:nvCxnSpPr>
        <cdr:cNvPr id="6" name="Straight Connector 5"/>
        <cdr:cNvCxnSpPr/>
      </cdr:nvCxnSpPr>
      <cdr:spPr>
        <a:xfrm xmlns:a="http://schemas.openxmlformats.org/drawingml/2006/main">
          <a:off x="1892250" y="3118146"/>
          <a:ext cx="0" cy="264137"/>
        </a:xfrm>
        <a:prstGeom xmlns:a="http://schemas.openxmlformats.org/drawingml/2006/main" prst="line">
          <a:avLst/>
        </a:prstGeom>
        <a:ln xmlns:a="http://schemas.openxmlformats.org/drawingml/2006/mai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userShapes>
</file>

<file path=word/drawings/drawing2.xml><?xml version="1.0" encoding="utf-8"?>
<c:userShapes xmlns:c="http://schemas.openxmlformats.org/drawingml/2006/chart">
  <cdr:relSizeAnchor xmlns:cdr="http://schemas.openxmlformats.org/drawingml/2006/chartDrawing">
    <cdr:from>
      <cdr:x>0.24454</cdr:x>
      <cdr:y>0.92869</cdr:y>
    </cdr:from>
    <cdr:to>
      <cdr:x>0.38428</cdr:x>
      <cdr:y>0.99468</cdr:y>
    </cdr:to>
    <cdr:sp macro="" textlink="">
      <cdr:nvSpPr>
        <cdr:cNvPr id="2" name="TextBox 1"/>
        <cdr:cNvSpPr txBox="1"/>
      </cdr:nvSpPr>
      <cdr:spPr>
        <a:xfrm xmlns:a="http://schemas.openxmlformats.org/drawingml/2006/main">
          <a:off x="1452562" y="3343272"/>
          <a:ext cx="830045" cy="237569"/>
        </a:xfrm>
        <a:prstGeom xmlns:a="http://schemas.openxmlformats.org/drawingml/2006/main" prst="rect">
          <a:avLst/>
        </a:prstGeom>
        <a:ln xmlns:a="http://schemas.openxmlformats.org/drawingml/2006/main">
          <a:noFill/>
          <a:prstDash val="solid"/>
        </a:ln>
      </cdr:spPr>
      <cdr:txBody>
        <a:bodyPr xmlns:a="http://schemas.openxmlformats.org/drawingml/2006/main" wrap="non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pPr algn="ctr"/>
          <a:r>
            <a:rPr lang="en-GB" sz="900">
              <a:latin typeface="Arial" pitchFamily="34" charset="0"/>
              <a:cs typeface="Arial" pitchFamily="34" charset="0"/>
            </a:rPr>
            <a:t>2020</a:t>
          </a:r>
        </a:p>
      </cdr:txBody>
    </cdr:sp>
  </cdr:relSizeAnchor>
  <cdr:relSizeAnchor xmlns:cdr="http://schemas.openxmlformats.org/drawingml/2006/chartDrawing">
    <cdr:from>
      <cdr:x>0.56989</cdr:x>
      <cdr:y>0.92604</cdr:y>
    </cdr:from>
    <cdr:to>
      <cdr:x>0.70963</cdr:x>
      <cdr:y>0.99203</cdr:y>
    </cdr:to>
    <cdr:sp macro="" textlink="">
      <cdr:nvSpPr>
        <cdr:cNvPr id="3" name="TextBox 1"/>
        <cdr:cNvSpPr txBox="1"/>
      </cdr:nvSpPr>
      <cdr:spPr>
        <a:xfrm xmlns:a="http://schemas.openxmlformats.org/drawingml/2006/main">
          <a:off x="3385154" y="3333751"/>
          <a:ext cx="830045" cy="237569"/>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pPr algn="ctr"/>
          <a:r>
            <a:rPr lang="en-GB" sz="900">
              <a:latin typeface="Arial" pitchFamily="34" charset="0"/>
              <a:cs typeface="Arial" pitchFamily="34" charset="0"/>
            </a:rPr>
            <a:t>2050</a:t>
          </a:r>
        </a:p>
      </cdr:txBody>
    </cdr:sp>
  </cdr:relSizeAnchor>
  <cdr:relSizeAnchor xmlns:cdr="http://schemas.openxmlformats.org/drawingml/2006/chartDrawing">
    <cdr:from>
      <cdr:x>0.17772</cdr:x>
      <cdr:y>0.93266</cdr:y>
    </cdr:from>
    <cdr:to>
      <cdr:x>0.45283</cdr:x>
      <cdr:y>0.93282</cdr:y>
    </cdr:to>
    <cdr:sp macro="" textlink="">
      <cdr:nvSpPr>
        <cdr:cNvPr id="4" name="Straight Connector 3"/>
        <cdr:cNvSpPr/>
      </cdr:nvSpPr>
      <cdr:spPr>
        <a:xfrm xmlns:a="http://schemas.openxmlformats.org/drawingml/2006/main">
          <a:off x="1023569" y="3585417"/>
          <a:ext cx="1584459" cy="622"/>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hade val="95000"/>
              <a:satMod val="105000"/>
            </a:sysClr>
          </a:solidFill>
          <a:prstDash val="solid"/>
        </a:ln>
        <a:effectLst xmlns:a="http://schemas.openxmlformats.org/drawingml/2006/mai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en-US" sz="900">
            <a:latin typeface="Arial" pitchFamily="34" charset="0"/>
            <a:cs typeface="Arial" pitchFamily="34" charset="0"/>
          </a:endParaRPr>
        </a:p>
      </cdr:txBody>
    </cdr:sp>
  </cdr:relSizeAnchor>
  <cdr:relSizeAnchor xmlns:cdr="http://schemas.openxmlformats.org/drawingml/2006/chartDrawing">
    <cdr:from>
      <cdr:x>0.48908</cdr:x>
      <cdr:y>0.93239</cdr:y>
    </cdr:from>
    <cdr:to>
      <cdr:x>0.77036</cdr:x>
      <cdr:y>0.93282</cdr:y>
    </cdr:to>
    <cdr:sp macro="" textlink="">
      <cdr:nvSpPr>
        <cdr:cNvPr id="5" name="Straight Connector 4"/>
        <cdr:cNvSpPr/>
      </cdr:nvSpPr>
      <cdr:spPr>
        <a:xfrm xmlns:a="http://schemas.openxmlformats.org/drawingml/2006/main">
          <a:off x="2816832" y="3584364"/>
          <a:ext cx="1619996" cy="1673"/>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hade val="95000"/>
              <a:satMod val="105000"/>
            </a:sysClr>
          </a:solidFill>
          <a:prstDash val="solid"/>
        </a:ln>
        <a:effectLst xmlns:a="http://schemas.openxmlformats.org/drawingml/2006/mai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en-US" sz="900">
            <a:latin typeface="Arial" pitchFamily="34" charset="0"/>
            <a:cs typeface="Arial" pitchFamily="34" charset="0"/>
          </a:endParaRPr>
        </a:p>
      </cdr:txBody>
    </cdr:sp>
  </cdr:relSizeAnchor>
</c:userShapes>
</file>

<file path=word/drawings/drawing3.xml><?xml version="1.0" encoding="utf-8"?>
<c:userShapes xmlns:c="http://schemas.openxmlformats.org/drawingml/2006/chart">
  <cdr:relSizeAnchor xmlns:cdr="http://schemas.openxmlformats.org/drawingml/2006/chartDrawing">
    <cdr:from>
      <cdr:x>0.30262</cdr:x>
      <cdr:y>0.04498</cdr:y>
    </cdr:from>
    <cdr:to>
      <cdr:x>0.30262</cdr:x>
      <cdr:y>0.87313</cdr:y>
    </cdr:to>
    <cdr:sp macro="" textlink="">
      <cdr:nvSpPr>
        <cdr:cNvPr id="3" name="Straight Connector 2"/>
        <cdr:cNvSpPr/>
      </cdr:nvSpPr>
      <cdr:spPr>
        <a:xfrm xmlns:a="http://schemas.openxmlformats.org/drawingml/2006/main" rot="5400000" flipH="1" flipV="1">
          <a:off x="252413" y="1652588"/>
          <a:ext cx="2981326" cy="0"/>
        </a:xfrm>
        <a:prstGeom xmlns:a="http://schemas.openxmlformats.org/drawingml/2006/main" prst="line">
          <a:avLst/>
        </a:prstGeom>
        <a:ln xmlns:a="http://schemas.openxmlformats.org/drawingml/2006/main" w="12700">
          <a:solidFill>
            <a:schemeClr val="tx1"/>
          </a:solidFill>
          <a:prstDash val="sys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en-US"/>
        </a:p>
      </cdr:txBody>
    </cdr:sp>
  </cdr:relSizeAnchor>
  <cdr:relSizeAnchor xmlns:cdr="http://schemas.openxmlformats.org/drawingml/2006/chartDrawing">
    <cdr:from>
      <cdr:x>0.14056</cdr:x>
      <cdr:y>0.03704</cdr:y>
    </cdr:from>
    <cdr:to>
      <cdr:x>0.29601</cdr:x>
      <cdr:y>0.12171</cdr:y>
    </cdr:to>
    <cdr:sp macro="" textlink="">
      <cdr:nvSpPr>
        <cdr:cNvPr id="4" name="TextBox 3"/>
        <cdr:cNvSpPr txBox="1"/>
      </cdr:nvSpPr>
      <cdr:spPr>
        <a:xfrm xmlns:a="http://schemas.openxmlformats.org/drawingml/2006/main">
          <a:off x="809605" y="133350"/>
          <a:ext cx="895392" cy="304812"/>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pPr algn="r"/>
          <a:r>
            <a:rPr lang="en-GB" sz="1400" b="1">
              <a:latin typeface="Times New Roman" pitchFamily="18" charset="0"/>
              <a:cs typeface="Times New Roman" pitchFamily="18" charset="0"/>
            </a:rPr>
            <a:t>historic</a:t>
          </a:r>
        </a:p>
      </cdr:txBody>
    </cdr:sp>
  </cdr:relSizeAnchor>
  <cdr:relSizeAnchor xmlns:cdr="http://schemas.openxmlformats.org/drawingml/2006/chartDrawing">
    <cdr:from>
      <cdr:x>0.31089</cdr:x>
      <cdr:y>0.0344</cdr:y>
    </cdr:from>
    <cdr:to>
      <cdr:x>0.46633</cdr:x>
      <cdr:y>0.11907</cdr:y>
    </cdr:to>
    <cdr:sp macro="" textlink="">
      <cdr:nvSpPr>
        <cdr:cNvPr id="5" name="TextBox 1"/>
        <cdr:cNvSpPr txBox="1"/>
      </cdr:nvSpPr>
      <cdr:spPr>
        <a:xfrm xmlns:a="http://schemas.openxmlformats.org/drawingml/2006/main">
          <a:off x="1790711" y="123831"/>
          <a:ext cx="895334" cy="304812"/>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pPr algn="l"/>
          <a:r>
            <a:rPr lang="en-GB" sz="1400" b="1">
              <a:latin typeface="Times New Roman" pitchFamily="18" charset="0"/>
              <a:cs typeface="Times New Roman" pitchFamily="18" charset="0"/>
            </a:rPr>
            <a:t>projected</a:t>
          </a:r>
        </a:p>
      </cdr:txBody>
    </cdr:sp>
  </cdr:relSizeAnchor>
</c:userShapes>
</file>

<file path=word/drawings/drawing4.xml><?xml version="1.0" encoding="utf-8"?>
<c:userShapes xmlns:c="http://schemas.openxmlformats.org/drawingml/2006/chart">
  <cdr:relSizeAnchor xmlns:cdr="http://schemas.openxmlformats.org/drawingml/2006/chartDrawing">
    <cdr:from>
      <cdr:x>0.29913</cdr:x>
      <cdr:y>0.04315</cdr:y>
    </cdr:from>
    <cdr:to>
      <cdr:x>0.29913</cdr:x>
      <cdr:y>0.88356</cdr:y>
    </cdr:to>
    <cdr:cxnSp macro="">
      <cdr:nvCxnSpPr>
        <cdr:cNvPr id="4" name="Straight Connector 3"/>
        <cdr:cNvCxnSpPr/>
      </cdr:nvCxnSpPr>
      <cdr:spPr>
        <a:xfrm xmlns:a="http://schemas.openxmlformats.org/drawingml/2006/main" flipV="1">
          <a:off x="1722824" y="155332"/>
          <a:ext cx="0" cy="3025321"/>
        </a:xfrm>
        <a:prstGeom xmlns:a="http://schemas.openxmlformats.org/drawingml/2006/main" prst="line">
          <a:avLst/>
        </a:prstGeom>
        <a:ln xmlns:a="http://schemas.openxmlformats.org/drawingml/2006/main" w="12700">
          <a:solidFill>
            <a:schemeClr val="tx1"/>
          </a:solidFill>
          <a:prstDash val="sysDot"/>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0.14514</cdr:x>
      <cdr:y>0.0411</cdr:y>
    </cdr:from>
    <cdr:to>
      <cdr:x>0.29015</cdr:x>
      <cdr:y>0.1089</cdr:y>
    </cdr:to>
    <cdr:sp macro="" textlink="">
      <cdr:nvSpPr>
        <cdr:cNvPr id="5" name="Text Box 4"/>
        <cdr:cNvSpPr txBox="1"/>
      </cdr:nvSpPr>
      <cdr:spPr>
        <a:xfrm xmlns:a="http://schemas.openxmlformats.org/drawingml/2006/main">
          <a:off x="731520" y="129436"/>
          <a:ext cx="730817" cy="213568"/>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r"/>
          <a:r>
            <a:rPr lang="en-GB" sz="1200">
              <a:latin typeface="Times New Roman" pitchFamily="18" charset="0"/>
              <a:cs typeface="Times New Roman" pitchFamily="18" charset="0"/>
            </a:rPr>
            <a:t>historic</a:t>
          </a:r>
        </a:p>
      </cdr:txBody>
    </cdr:sp>
  </cdr:relSizeAnchor>
  <cdr:relSizeAnchor xmlns:cdr="http://schemas.openxmlformats.org/drawingml/2006/chartDrawing">
    <cdr:from>
      <cdr:x>0.30769</cdr:x>
      <cdr:y>0.04452</cdr:y>
    </cdr:from>
    <cdr:to>
      <cdr:x>0.42709</cdr:x>
      <cdr:y>0.11233</cdr:y>
    </cdr:to>
    <cdr:sp macro="" textlink="">
      <cdr:nvSpPr>
        <cdr:cNvPr id="6" name="Text Box 1"/>
        <cdr:cNvSpPr txBox="1"/>
      </cdr:nvSpPr>
      <cdr:spPr>
        <a:xfrm xmlns:a="http://schemas.openxmlformats.org/drawingml/2006/main">
          <a:off x="1826260" y="165100"/>
          <a:ext cx="708660" cy="251460"/>
        </a:xfrm>
        <a:prstGeom xmlns:a="http://schemas.openxmlformats.org/drawingml/2006/main" prst="rect">
          <a:avLst/>
        </a:prstGeom>
      </cdr:spPr>
    </cdr:sp>
  </cdr:relSizeAnchor>
  <cdr:relSizeAnchor xmlns:cdr="http://schemas.openxmlformats.org/drawingml/2006/chartDrawing">
    <cdr:from>
      <cdr:x>0.30384</cdr:x>
      <cdr:y>0.04247</cdr:y>
    </cdr:from>
    <cdr:to>
      <cdr:x>0.42324</cdr:x>
      <cdr:y>0.11027</cdr:y>
    </cdr:to>
    <cdr:sp macro="" textlink="">
      <cdr:nvSpPr>
        <cdr:cNvPr id="7" name="Text Box 1"/>
        <cdr:cNvSpPr txBox="1"/>
      </cdr:nvSpPr>
      <cdr:spPr>
        <a:xfrm xmlns:a="http://schemas.openxmlformats.org/drawingml/2006/main">
          <a:off x="1803400" y="157480"/>
          <a:ext cx="708660" cy="251460"/>
        </a:xfrm>
        <a:prstGeom xmlns:a="http://schemas.openxmlformats.org/drawingml/2006/main" prst="rect">
          <a:avLst/>
        </a:prstGeom>
      </cdr:spPr>
    </cdr:sp>
  </cdr:relSizeAnchor>
  <cdr:relSizeAnchor xmlns:cdr="http://schemas.openxmlformats.org/drawingml/2006/chartDrawing">
    <cdr:from>
      <cdr:x>0.30042</cdr:x>
      <cdr:y>0.0411</cdr:y>
    </cdr:from>
    <cdr:to>
      <cdr:x>0.47776</cdr:x>
      <cdr:y>0.11507</cdr:y>
    </cdr:to>
    <cdr:sp macro="" textlink="">
      <cdr:nvSpPr>
        <cdr:cNvPr id="8" name="Text Box 7"/>
        <cdr:cNvSpPr txBox="1"/>
      </cdr:nvSpPr>
      <cdr:spPr>
        <a:xfrm xmlns:a="http://schemas.openxmlformats.org/drawingml/2006/main">
          <a:off x="1514100" y="129436"/>
          <a:ext cx="893819" cy="232984"/>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l"/>
          <a:r>
            <a:rPr lang="en-GB" sz="1200">
              <a:latin typeface="Times New Roman" pitchFamily="18" charset="0"/>
              <a:cs typeface="Times New Roman" pitchFamily="18" charset="0"/>
            </a:rPr>
            <a:t>modelled</a:t>
          </a:r>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B833CB8-54F8-4946-8E8D-C7A731619E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3305</TotalTime>
  <Pages>1</Pages>
  <Words>26634</Words>
  <Characters>151817</Characters>
  <Application>Microsoft Office Word</Application>
  <DocSecurity>0</DocSecurity>
  <Lines>1265</Lines>
  <Paragraphs>356</Paragraphs>
  <ScaleCrop>false</ScaleCrop>
  <HeadingPairs>
    <vt:vector size="2" baseType="variant">
      <vt:variant>
        <vt:lpstr>Title</vt:lpstr>
      </vt:variant>
      <vt:variant>
        <vt:i4>1</vt:i4>
      </vt:variant>
    </vt:vector>
  </HeadingPairs>
  <TitlesOfParts>
    <vt:vector size="1" baseType="lpstr">
      <vt:lpstr>eceee paper #329</vt:lpstr>
    </vt:vector>
  </TitlesOfParts>
  <Company>University of Aberdeen</Company>
  <LinksUpToDate>false</LinksUpToDate>
  <CharactersWithSpaces>178095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eceee paper #329</dc:title>
  <dc:creator>Christian Brand</dc:creator>
  <cp:lastModifiedBy>Christian Brand</cp:lastModifiedBy>
  <cp:revision>74</cp:revision>
  <cp:lastPrinted>2011-11-21T16:04:00Z</cp:lastPrinted>
  <dcterms:created xsi:type="dcterms:W3CDTF">2011-11-21T09:29:00Z</dcterms:created>
  <dcterms:modified xsi:type="dcterms:W3CDTF">2012-09-27T14:52:00Z</dcterms:modified>
</cp:coreProperties>
</file>