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2509" w:rsidRPr="002C3240" w:rsidRDefault="00692509" w:rsidP="005A67A6">
      <w:pPr>
        <w:spacing w:line="360" w:lineRule="auto"/>
        <w:rPr>
          <w:u w:val="single"/>
        </w:rPr>
      </w:pPr>
      <w:r w:rsidRPr="002C3240">
        <w:rPr>
          <w:u w:val="single"/>
        </w:rPr>
        <w:t>Supplement</w:t>
      </w:r>
      <w:r w:rsidR="0015028F">
        <w:rPr>
          <w:u w:val="single"/>
        </w:rPr>
        <w:t xml:space="preserve"> 1</w:t>
      </w:r>
      <w:bookmarkStart w:id="0" w:name="_GoBack"/>
      <w:bookmarkEnd w:id="0"/>
    </w:p>
    <w:p w:rsidR="00692509" w:rsidRPr="005F2861" w:rsidRDefault="00692509" w:rsidP="005A67A6">
      <w:pPr>
        <w:spacing w:line="360" w:lineRule="auto"/>
        <w:rPr>
          <w:b/>
          <w:color w:val="000000" w:themeColor="text1"/>
        </w:rPr>
      </w:pPr>
      <w:r w:rsidRPr="00991955">
        <w:rPr>
          <w:b/>
        </w:rPr>
        <w:t>Methods</w:t>
      </w:r>
      <w:r>
        <w:rPr>
          <w:b/>
        </w:rPr>
        <w:br/>
      </w:r>
      <w:r>
        <w:rPr>
          <w:b/>
        </w:rPr>
        <w:br/>
        <w:t>Netherlands Study of Depression and Anxiety (NESDA)</w:t>
      </w:r>
    </w:p>
    <w:p w:rsidR="00692509" w:rsidRDefault="00692509" w:rsidP="005A67A6">
      <w:pPr>
        <w:autoSpaceDE w:val="0"/>
        <w:autoSpaceDN w:val="0"/>
        <w:adjustRightInd w:val="0"/>
        <w:spacing w:after="0" w:line="360" w:lineRule="auto"/>
        <w:rPr>
          <w:rFonts w:cs="Times New Roman"/>
        </w:rPr>
      </w:pPr>
      <w:r w:rsidRPr="005F2861">
        <w:rPr>
          <w:rFonts w:cs="AdvP49811"/>
          <w:color w:val="000000" w:themeColor="text1"/>
        </w:rPr>
        <w:t>The present study used data from the Netherlands Study of Depression and Anxiety (NESDA): an ongoing longitudinal cohort study in which 2981 participants</w:t>
      </w:r>
      <w:r>
        <w:rPr>
          <w:rFonts w:cs="AdvP49811"/>
          <w:color w:val="000000" w:themeColor="text1"/>
        </w:rPr>
        <w:t xml:space="preserve"> (18-65 years at baseline), from which 94.8% were of North-European ancestry, were</w:t>
      </w:r>
      <w:r w:rsidRPr="005F2861">
        <w:rPr>
          <w:rFonts w:cs="AdvP49811"/>
          <w:color w:val="000000" w:themeColor="text1"/>
        </w:rPr>
        <w:t xml:space="preserve"> monitored</w:t>
      </w:r>
      <w:r>
        <w:rPr>
          <w:rFonts w:cs="AdvP49811"/>
          <w:color w:val="000000" w:themeColor="text1"/>
        </w:rPr>
        <w:t xml:space="preserve"> </w:t>
      </w:r>
      <w:r w:rsidRPr="005F2861">
        <w:rPr>
          <w:rFonts w:cs="AdvP49811"/>
          <w:color w:val="000000" w:themeColor="text1"/>
        </w:rPr>
        <w:t xml:space="preserve">to investigate the long-term course and consequences of depressive and anxiety disorders. </w:t>
      </w:r>
      <w:r>
        <w:rPr>
          <w:rFonts w:cs="AdvP49811"/>
          <w:color w:val="000000" w:themeColor="text1"/>
        </w:rPr>
        <w:t>T</w:t>
      </w:r>
      <w:r w:rsidRPr="005F2861">
        <w:rPr>
          <w:rFonts w:cs="AdvP49811"/>
          <w:color w:val="000000" w:themeColor="text1"/>
        </w:rPr>
        <w:t xml:space="preserve">o </w:t>
      </w:r>
      <w:r>
        <w:rPr>
          <w:rFonts w:cs="AdvP49811"/>
          <w:color w:val="000000" w:themeColor="text1"/>
        </w:rPr>
        <w:t>establish inclusion of</w:t>
      </w:r>
      <w:r w:rsidRPr="005F2861">
        <w:rPr>
          <w:rFonts w:cs="AdvP49811"/>
          <w:color w:val="000000" w:themeColor="text1"/>
        </w:rPr>
        <w:t xml:space="preserve"> patients at different </w:t>
      </w:r>
      <w:r>
        <w:rPr>
          <w:rFonts w:cs="AdvP49811"/>
          <w:color w:val="000000" w:themeColor="text1"/>
        </w:rPr>
        <w:t xml:space="preserve">developmental </w:t>
      </w:r>
      <w:r w:rsidRPr="005F2861">
        <w:rPr>
          <w:rFonts w:cs="AdvP49811"/>
          <w:color w:val="000000" w:themeColor="text1"/>
        </w:rPr>
        <w:t>stages of their disorder</w:t>
      </w:r>
      <w:r>
        <w:rPr>
          <w:rFonts w:cs="AdvP49811"/>
          <w:color w:val="000000" w:themeColor="text1"/>
        </w:rPr>
        <w:t xml:space="preserve">, participants were </w:t>
      </w:r>
      <w:r w:rsidRPr="005F2861">
        <w:rPr>
          <w:rFonts w:cs="AdvP49811"/>
          <w:color w:val="000000" w:themeColor="text1"/>
        </w:rPr>
        <w:t>recruited from the commun</w:t>
      </w:r>
      <w:r>
        <w:rPr>
          <w:rFonts w:cs="AdvP49811"/>
          <w:color w:val="000000" w:themeColor="text1"/>
        </w:rPr>
        <w:t>ity</w:t>
      </w:r>
      <w:r w:rsidRPr="005F2861">
        <w:rPr>
          <w:rFonts w:cs="AdvP49811"/>
          <w:color w:val="000000" w:themeColor="text1"/>
        </w:rPr>
        <w:t xml:space="preserve"> </w:t>
      </w:r>
      <w:r w:rsidRPr="00991955">
        <w:rPr>
          <w:rFonts w:cs="Times New Roman"/>
        </w:rPr>
        <w:t xml:space="preserve">(19%), from primary care (54%) through a screening procedure conducted among 65 General Practitioners, and from specialized mental health care (27%) when newly enrolled at one of the 17 participating mental health centers. </w:t>
      </w:r>
    </w:p>
    <w:p w:rsidR="00692509" w:rsidRDefault="00692509" w:rsidP="005A67A6">
      <w:pPr>
        <w:autoSpaceDE w:val="0"/>
        <w:autoSpaceDN w:val="0"/>
        <w:adjustRightInd w:val="0"/>
        <w:spacing w:after="0" w:line="360" w:lineRule="auto"/>
        <w:ind w:firstLine="720"/>
        <w:rPr>
          <w:rFonts w:cs="AdvP49811"/>
        </w:rPr>
      </w:pPr>
      <w:r>
        <w:rPr>
          <w:rFonts w:cs="AdvP49811"/>
        </w:rPr>
        <w:t>At b</w:t>
      </w:r>
      <w:r w:rsidRPr="00D542E8">
        <w:rPr>
          <w:rFonts w:cs="AdvP49811"/>
        </w:rPr>
        <w:t>aseline, persons with a range of</w:t>
      </w:r>
      <w:r>
        <w:rPr>
          <w:rFonts w:cs="AdvP49811"/>
        </w:rPr>
        <w:t xml:space="preserve"> </w:t>
      </w:r>
      <w:r w:rsidRPr="00D542E8">
        <w:rPr>
          <w:rFonts w:cs="AdvP49811"/>
        </w:rPr>
        <w:t>psychopathology</w:t>
      </w:r>
      <w:r w:rsidR="002E7CCF">
        <w:rPr>
          <w:rFonts w:cs="AdvP49811"/>
        </w:rPr>
        <w:t xml:space="preserve"> were included: f</w:t>
      </w:r>
      <w:r w:rsidRPr="00D542E8">
        <w:rPr>
          <w:rFonts w:cs="AdvP49811"/>
        </w:rPr>
        <w:t>rom those without a depressive or anxiety</w:t>
      </w:r>
      <w:r>
        <w:rPr>
          <w:rFonts w:cs="AdvP49811"/>
        </w:rPr>
        <w:t xml:space="preserve"> </w:t>
      </w:r>
      <w:r w:rsidRPr="00D542E8">
        <w:rPr>
          <w:rFonts w:cs="AdvP49811"/>
        </w:rPr>
        <w:t>disorder (controls) to those with a current, first or recurrent (in the</w:t>
      </w:r>
      <w:r>
        <w:rPr>
          <w:rFonts w:cs="AdvP49811"/>
        </w:rPr>
        <w:t xml:space="preserve"> </w:t>
      </w:r>
      <w:r w:rsidRPr="00D542E8">
        <w:rPr>
          <w:rFonts w:cs="AdvP49811"/>
        </w:rPr>
        <w:t>past 6 months) depressive or anxiety disorder and those with a</w:t>
      </w:r>
      <w:r>
        <w:rPr>
          <w:rFonts w:cs="AdvP49811"/>
        </w:rPr>
        <w:t xml:space="preserve"> </w:t>
      </w:r>
      <w:r w:rsidRPr="00D542E8">
        <w:rPr>
          <w:rFonts w:cs="AdvP49811"/>
        </w:rPr>
        <w:t>remitted disorder (at baseline, a depressive and/or anxiety</w:t>
      </w:r>
      <w:r>
        <w:rPr>
          <w:rFonts w:cs="AdvP49811"/>
        </w:rPr>
        <w:t xml:space="preserve"> </w:t>
      </w:r>
      <w:r w:rsidRPr="00D542E8">
        <w:rPr>
          <w:rFonts w:cs="AdvP49811"/>
        </w:rPr>
        <w:t>disorder was diagnosed in the past, but no diagnoses were present</w:t>
      </w:r>
      <w:r>
        <w:rPr>
          <w:rFonts w:cs="AdvP49811"/>
        </w:rPr>
        <w:t xml:space="preserve"> </w:t>
      </w:r>
      <w:r w:rsidRPr="00D542E8">
        <w:rPr>
          <w:rFonts w:cs="AdvP49811"/>
        </w:rPr>
        <w:t>at 6 months before baseline).</w:t>
      </w:r>
      <w:r w:rsidR="002E7CCF">
        <w:rPr>
          <w:rFonts w:cs="AdvP49811"/>
        </w:rPr>
        <w:t xml:space="preserve"> Lifetime diagnoses includes both current </w:t>
      </w:r>
      <w:r w:rsidR="00D80F14">
        <w:rPr>
          <w:rFonts w:cs="AdvP49811"/>
        </w:rPr>
        <w:t xml:space="preserve">and </w:t>
      </w:r>
      <w:r w:rsidR="001C788E">
        <w:rPr>
          <w:rFonts w:cs="AdvP49811"/>
        </w:rPr>
        <w:t>remitted</w:t>
      </w:r>
      <w:r w:rsidR="002E7CCF">
        <w:rPr>
          <w:rFonts w:cs="AdvP49811"/>
        </w:rPr>
        <w:t xml:space="preserve"> disorder</w:t>
      </w:r>
      <w:r w:rsidR="00D80F14">
        <w:rPr>
          <w:rFonts w:cs="AdvP49811"/>
        </w:rPr>
        <w:t>s</w:t>
      </w:r>
      <w:r w:rsidR="002E7CCF">
        <w:rPr>
          <w:rFonts w:cs="AdvP49811"/>
        </w:rPr>
        <w:t>.</w:t>
      </w:r>
      <w:r w:rsidRPr="00D542E8">
        <w:rPr>
          <w:rFonts w:cs="AdvP49811"/>
        </w:rPr>
        <w:t xml:space="preserve"> The disorders included dysthymia,</w:t>
      </w:r>
      <w:r>
        <w:rPr>
          <w:rFonts w:cs="AdvP49811"/>
        </w:rPr>
        <w:t xml:space="preserve"> </w:t>
      </w:r>
      <w:r w:rsidRPr="00D542E8">
        <w:rPr>
          <w:rFonts w:cs="AdvP49811"/>
        </w:rPr>
        <w:t>major depressive disorder, general anxiety disorder, panic</w:t>
      </w:r>
      <w:r>
        <w:rPr>
          <w:rFonts w:cs="AdvP49811"/>
        </w:rPr>
        <w:t xml:space="preserve"> </w:t>
      </w:r>
      <w:r w:rsidRPr="00D542E8">
        <w:rPr>
          <w:rFonts w:cs="AdvP49811"/>
        </w:rPr>
        <w:t>disorder, social phobia, and agoraphobia. Exclusion criteria were</w:t>
      </w:r>
      <w:r>
        <w:rPr>
          <w:rFonts w:cs="AdvP49811"/>
        </w:rPr>
        <w:t xml:space="preserve"> </w:t>
      </w:r>
      <w:r w:rsidRPr="00D542E8">
        <w:rPr>
          <w:rFonts w:cs="AdvP49811"/>
        </w:rPr>
        <w:t>not being fluent in Dutch and a primary diagnosis of psychotic,</w:t>
      </w:r>
      <w:r>
        <w:rPr>
          <w:rFonts w:cs="AdvP49811"/>
        </w:rPr>
        <w:t xml:space="preserve"> </w:t>
      </w:r>
      <w:r w:rsidRPr="00D542E8">
        <w:rPr>
          <w:rFonts w:cs="AdvP49811"/>
        </w:rPr>
        <w:t xml:space="preserve">obsessive compulsive, bipolar or severe addiction disorder. </w:t>
      </w:r>
    </w:p>
    <w:p w:rsidR="00692509" w:rsidRPr="00D542E8" w:rsidRDefault="00692509" w:rsidP="005A67A6">
      <w:pPr>
        <w:autoSpaceDE w:val="0"/>
        <w:autoSpaceDN w:val="0"/>
        <w:adjustRightInd w:val="0"/>
        <w:spacing w:after="0" w:line="360" w:lineRule="auto"/>
        <w:ind w:firstLine="720"/>
        <w:rPr>
          <w:rFonts w:cs="Times New Roman"/>
        </w:rPr>
      </w:pPr>
      <w:r w:rsidRPr="00991955">
        <w:rPr>
          <w:rFonts w:cs="Times New Roman"/>
        </w:rPr>
        <w:t xml:space="preserve">At the 4-h baseline assessment (2004–2007), including written questionnaires, a face-to-face interview, a medical exam, an experimental computer task and blood collection, extensive information was gathered about demographic, clinical, psychosocial, genetic and biological </w:t>
      </w:r>
      <w:r>
        <w:rPr>
          <w:rFonts w:cs="Times New Roman"/>
        </w:rPr>
        <w:t>c</w:t>
      </w:r>
      <w:r w:rsidRPr="00991955">
        <w:rPr>
          <w:rFonts w:cs="Times New Roman"/>
        </w:rPr>
        <w:t>haracteristics.</w:t>
      </w:r>
      <w:r>
        <w:rPr>
          <w:rFonts w:cs="Times New Roman"/>
        </w:rPr>
        <w:t xml:space="preserve"> </w:t>
      </w:r>
      <w:r w:rsidRPr="00D542E8">
        <w:rPr>
          <w:rFonts w:cs="AdvP49811"/>
        </w:rPr>
        <w:t>The</w:t>
      </w:r>
      <w:r>
        <w:rPr>
          <w:rFonts w:cs="AdvP49811"/>
        </w:rPr>
        <w:t xml:space="preserve"> </w:t>
      </w:r>
      <w:r w:rsidRPr="00D542E8">
        <w:rPr>
          <w:rFonts w:cs="AdvP49811"/>
        </w:rPr>
        <w:t>research protocol was approved by the Ethical Committee of</w:t>
      </w:r>
      <w:r>
        <w:rPr>
          <w:rFonts w:cs="AdvP49811"/>
        </w:rPr>
        <w:t xml:space="preserve"> </w:t>
      </w:r>
      <w:r w:rsidRPr="00D542E8">
        <w:rPr>
          <w:rFonts w:cs="AdvP49811"/>
        </w:rPr>
        <w:t>participating universities and written informed consent was</w:t>
      </w:r>
      <w:r>
        <w:rPr>
          <w:rFonts w:cs="AdvP49811"/>
        </w:rPr>
        <w:t xml:space="preserve"> </w:t>
      </w:r>
      <w:r w:rsidRPr="00D542E8">
        <w:rPr>
          <w:rFonts w:cs="AdvP49811"/>
        </w:rPr>
        <w:t>obtained from all participants. Interviews were conducted by</w:t>
      </w:r>
      <w:r>
        <w:rPr>
          <w:rFonts w:cs="AdvP49811"/>
        </w:rPr>
        <w:t xml:space="preserve"> </w:t>
      </w:r>
      <w:r w:rsidRPr="00C23227">
        <w:rPr>
          <w:rFonts w:cs="AdvP49811"/>
        </w:rPr>
        <w:t>specially trained research staff.</w:t>
      </w:r>
      <w:r w:rsidR="001864B3">
        <w:rPr>
          <w:rFonts w:cs="AdvP49811"/>
        </w:rPr>
        <w:t xml:space="preserve"> Penninx et al. [</w:t>
      </w:r>
      <w:r>
        <w:rPr>
          <w:rFonts w:ascii="Verdana" w:hAnsi="Verdana" w:cs="Arial"/>
          <w:noProof/>
          <w:sz w:val="20"/>
          <w:szCs w:val="20"/>
        </w:rPr>
        <w:t>1]</w:t>
      </w:r>
      <w:r w:rsidRPr="00270DC9">
        <w:rPr>
          <w:rFonts w:cs="AdvGulliv-R"/>
          <w:color w:val="000000" w:themeColor="text1"/>
        </w:rPr>
        <w:t xml:space="preserve"> </w:t>
      </w:r>
      <w:r w:rsidRPr="00270DC9">
        <w:rPr>
          <w:rFonts w:cs="AdvP49811"/>
          <w:color w:val="000000" w:themeColor="text1"/>
        </w:rPr>
        <w:t>provide</w:t>
      </w:r>
      <w:r>
        <w:rPr>
          <w:rFonts w:cs="AdvP49811"/>
          <w:color w:val="000000" w:themeColor="text1"/>
        </w:rPr>
        <w:t>d</w:t>
      </w:r>
      <w:r w:rsidRPr="00270DC9">
        <w:rPr>
          <w:rFonts w:cs="AdvP49811"/>
          <w:color w:val="000000" w:themeColor="text1"/>
        </w:rPr>
        <w:t xml:space="preserve"> </w:t>
      </w:r>
      <w:r w:rsidRPr="005F2861">
        <w:rPr>
          <w:rFonts w:cs="AdvP49811"/>
          <w:color w:val="000000" w:themeColor="text1"/>
        </w:rPr>
        <w:t>a detailed</w:t>
      </w:r>
      <w:r>
        <w:rPr>
          <w:rFonts w:cs="AdvP49811"/>
          <w:color w:val="000000" w:themeColor="text1"/>
        </w:rPr>
        <w:t xml:space="preserve"> </w:t>
      </w:r>
      <w:r w:rsidRPr="005F2861">
        <w:rPr>
          <w:rFonts w:cs="AdvP49811"/>
          <w:color w:val="000000" w:themeColor="text1"/>
        </w:rPr>
        <w:t>description of the NESDA study design and sampling procedures.</w:t>
      </w:r>
    </w:p>
    <w:p w:rsidR="00692509" w:rsidRDefault="00692509" w:rsidP="00A93EB0">
      <w:pPr>
        <w:autoSpaceDE w:val="0"/>
        <w:autoSpaceDN w:val="0"/>
        <w:adjustRightInd w:val="0"/>
        <w:spacing w:after="0" w:line="360" w:lineRule="auto"/>
        <w:rPr>
          <w:rFonts w:ascii="Calibri" w:hAnsi="Calibri"/>
          <w:lang w:val="en-GB"/>
        </w:rPr>
      </w:pPr>
      <w:r>
        <w:rPr>
          <w:rFonts w:cs="Times New Roman"/>
          <w:b/>
        </w:rPr>
        <w:br/>
      </w:r>
      <w:r w:rsidRPr="00AC02AD">
        <w:rPr>
          <w:rFonts w:cs="Times New Roman"/>
          <w:b/>
        </w:rPr>
        <w:br/>
      </w:r>
      <w:r w:rsidRPr="003A747C">
        <w:rPr>
          <w:rFonts w:cs="Times New Roman"/>
          <w:b/>
        </w:rPr>
        <w:t>Covariates</w:t>
      </w:r>
      <w:r>
        <w:rPr>
          <w:rFonts w:cs="Times New Roman"/>
          <w:b/>
        </w:rPr>
        <w:br/>
      </w:r>
      <w:r w:rsidRPr="003A747C">
        <w:rPr>
          <w:rFonts w:ascii="Calibri" w:hAnsi="Calibri"/>
          <w:lang w:val="en-GB"/>
        </w:rPr>
        <w:t>A first set of covariates included sociodemographic characteristics (age, sex, and years of education); cortisol sampling factors (in HPA-axis analyses) including awakening time, working on day of sampling (yes/no), season (light vs. dark month), and &lt;6h sleep (yes/no)</w:t>
      </w:r>
      <w:r>
        <w:rPr>
          <w:rFonts w:ascii="Calibri" w:hAnsi="Calibri"/>
          <w:noProof/>
          <w:lang w:val="en-GB"/>
        </w:rPr>
        <w:t>[2]</w:t>
      </w:r>
      <w:r w:rsidRPr="003A747C">
        <w:rPr>
          <w:rFonts w:ascii="Calibri" w:hAnsi="Calibri"/>
          <w:lang w:val="en-GB"/>
        </w:rPr>
        <w:t>; laboratory site (in LPS analyses); and r</w:t>
      </w:r>
      <w:proofErr w:type="spellStart"/>
      <w:r w:rsidRPr="003A747C">
        <w:rPr>
          <w:rFonts w:ascii="Calibri" w:hAnsi="Calibri" w:cs="Melior"/>
        </w:rPr>
        <w:t>espiration</w:t>
      </w:r>
      <w:proofErr w:type="spellEnd"/>
      <w:r w:rsidRPr="003A747C">
        <w:rPr>
          <w:rFonts w:ascii="Calibri" w:hAnsi="Calibri" w:cs="Melior"/>
        </w:rPr>
        <w:t xml:space="preserve"> rate (breaths/minute, in RSA analyses)</w:t>
      </w:r>
      <w:r>
        <w:rPr>
          <w:rFonts w:ascii="Calibri" w:hAnsi="Calibri" w:cs="Melior"/>
          <w:noProof/>
        </w:rPr>
        <w:t>[3]</w:t>
      </w:r>
      <w:r w:rsidRPr="003A747C">
        <w:rPr>
          <w:rFonts w:ascii="Calibri" w:hAnsi="Calibri" w:cs="Melior"/>
        </w:rPr>
        <w:t xml:space="preserve">. </w:t>
      </w:r>
    </w:p>
    <w:p w:rsidR="00692509" w:rsidRDefault="00692509" w:rsidP="005A67A6">
      <w:pPr>
        <w:autoSpaceDE w:val="0"/>
        <w:autoSpaceDN w:val="0"/>
        <w:adjustRightInd w:val="0"/>
        <w:spacing w:line="360" w:lineRule="auto"/>
        <w:ind w:firstLine="720"/>
        <w:rPr>
          <w:rFonts w:ascii="Calibri" w:hAnsi="Calibri" w:cs="Melior"/>
        </w:rPr>
      </w:pPr>
      <w:r w:rsidRPr="003A747C">
        <w:rPr>
          <w:rFonts w:ascii="Calibri" w:hAnsi="Calibri"/>
          <w:lang w:val="en-GB"/>
        </w:rPr>
        <w:t xml:space="preserve">A second set of covariates comprised several lifestyle and disease factors. Body mass index was calculated as body weight in kilograms divided by height in meters squared. Smoking was </w:t>
      </w:r>
      <w:r w:rsidRPr="003A747C">
        <w:rPr>
          <w:rFonts w:ascii="Calibri" w:hAnsi="Calibri"/>
          <w:lang w:val="en-GB"/>
        </w:rPr>
        <w:lastRenderedPageBreak/>
        <w:t xml:space="preserve">categorized as never, former or current smoker. Alcohol </w:t>
      </w:r>
      <w:r w:rsidR="00E14752">
        <w:rPr>
          <w:rFonts w:ascii="Calibri" w:hAnsi="Calibri"/>
          <w:lang w:val="en-GB"/>
        </w:rPr>
        <w:t>intake</w:t>
      </w:r>
      <w:r w:rsidRPr="003A747C">
        <w:rPr>
          <w:rFonts w:ascii="Calibri" w:hAnsi="Calibri"/>
          <w:lang w:val="en-GB"/>
        </w:rPr>
        <w:t xml:space="preserve"> was categorized as non-drinker, mild/moderate drinker (1–21 (men)/1-14 (women) drinks/week), or heavy drinker (&gt;21 (men)/&gt;14 (women) drinks/week)</w:t>
      </w:r>
      <w:r>
        <w:rPr>
          <w:rFonts w:ascii="Calibri" w:hAnsi="Calibri"/>
          <w:noProof/>
          <w:lang w:val="en-GB"/>
        </w:rPr>
        <w:t>[4]</w:t>
      </w:r>
      <w:r w:rsidRPr="003A747C">
        <w:rPr>
          <w:rFonts w:ascii="Calibri" w:hAnsi="Calibri"/>
          <w:lang w:val="en-GB"/>
        </w:rPr>
        <w:t xml:space="preserve">. Physical activity was assessed with the International Physical Activity Questionnaire </w:t>
      </w:r>
      <w:r w:rsidRPr="003A747C">
        <w:rPr>
          <w:rFonts w:ascii="Calibri" w:hAnsi="Calibri" w:cs="Berkeley-Medium"/>
          <w:color w:val="292526"/>
        </w:rPr>
        <w:t>and expressed as one’s</w:t>
      </w:r>
      <w:r>
        <w:rPr>
          <w:rFonts w:ascii="Calibri" w:hAnsi="Calibri" w:cs="Berkeley-Medium"/>
          <w:color w:val="292526"/>
        </w:rPr>
        <w:t xml:space="preserve"> </w:t>
      </w:r>
      <w:r w:rsidRPr="003A747C">
        <w:rPr>
          <w:rFonts w:ascii="Calibri" w:hAnsi="Calibri" w:cs="Berkeley-Medium"/>
          <w:color w:val="292526"/>
        </w:rPr>
        <w:t>resting metabolic rate multiplied by minutes of physical activity per week</w:t>
      </w:r>
      <w:r>
        <w:rPr>
          <w:rFonts w:ascii="Calibri" w:hAnsi="Calibri" w:cs="Berkeley-Medium"/>
          <w:color w:val="292526"/>
        </w:rPr>
        <w:t xml:space="preserve"> </w:t>
      </w:r>
      <w:r>
        <w:rPr>
          <w:rFonts w:ascii="Calibri" w:hAnsi="Calibri"/>
          <w:lang w:val="en-GB"/>
        </w:rPr>
        <w:t>(MET-minutes per week)</w:t>
      </w:r>
      <w:r>
        <w:rPr>
          <w:rFonts w:ascii="Calibri" w:hAnsi="Calibri"/>
          <w:noProof/>
          <w:lang w:val="en-GB"/>
        </w:rPr>
        <w:t>[5]</w:t>
      </w:r>
      <w:r w:rsidRPr="003A747C">
        <w:rPr>
          <w:rFonts w:ascii="Calibri" w:hAnsi="Calibri"/>
          <w:lang w:val="en-GB"/>
        </w:rPr>
        <w:t>. Chronic diseases (including cardiovascular disease, epilepsy, diabetes mellitus, osteoarthritis, stroke, cancer, chronic lung disease, thyroid disease, liver disease, intestinal disorders, and ulcers) were assessed by self-report and considered present if persons were under treatment. Medication use was based on drug container inspection of all drugs used in the past month and classified according to the World Health Organization Anatomical Therapeutic Chemical (ATC) classification</w:t>
      </w:r>
      <w:r>
        <w:rPr>
          <w:rFonts w:ascii="Calibri" w:hAnsi="Calibri"/>
          <w:noProof/>
          <w:lang w:val="en-GB"/>
        </w:rPr>
        <w:t>[6]</w:t>
      </w:r>
      <w:r w:rsidRPr="003A747C">
        <w:rPr>
          <w:rFonts w:ascii="Calibri" w:hAnsi="Calibri"/>
          <w:lang w:val="en-GB"/>
        </w:rPr>
        <w:t xml:space="preserve"> and considered if frequently </w:t>
      </w:r>
      <w:r w:rsidRPr="003A747C">
        <w:rPr>
          <w:rFonts w:ascii="Calibri" w:hAnsi="Calibri"/>
        </w:rPr>
        <w:t>used (daily or &gt;50% of the time</w:t>
      </w:r>
      <w:r>
        <w:rPr>
          <w:rFonts w:ascii="Calibri" w:hAnsi="Calibri"/>
        </w:rPr>
        <w:t>)</w:t>
      </w:r>
      <w:r w:rsidRPr="003A747C">
        <w:rPr>
          <w:rFonts w:ascii="Calibri" w:hAnsi="Calibri"/>
          <w:lang w:val="en-GB"/>
        </w:rPr>
        <w:t>. For IMS analyses, use of anti-inflammatory medication</w:t>
      </w:r>
      <w:r>
        <w:rPr>
          <w:rFonts w:ascii="Calibri" w:hAnsi="Calibri"/>
          <w:lang w:val="en-GB"/>
        </w:rPr>
        <w:t xml:space="preserve"> </w:t>
      </w:r>
      <w:r w:rsidRPr="003A747C">
        <w:rPr>
          <w:rFonts w:ascii="Calibri" w:hAnsi="Calibri"/>
          <w:lang w:val="en-GB"/>
        </w:rPr>
        <w:t>(ATC</w:t>
      </w:r>
      <w:r>
        <w:rPr>
          <w:rFonts w:ascii="Calibri" w:hAnsi="Calibri"/>
          <w:lang w:val="en-GB"/>
        </w:rPr>
        <w:t xml:space="preserve"> codes</w:t>
      </w:r>
      <w:r w:rsidRPr="003A747C">
        <w:rPr>
          <w:rFonts w:ascii="Calibri" w:hAnsi="Calibri"/>
          <w:lang w:val="en-GB"/>
        </w:rPr>
        <w:t>: M01A, M01B, A07EB, A07EC) was considered. For ANS analyses, use of heart medication (</w:t>
      </w:r>
      <w:r w:rsidRPr="003A747C">
        <w:rPr>
          <w:rFonts w:ascii="Calibri" w:hAnsi="Calibri" w:cs="Melior"/>
        </w:rPr>
        <w:t>beta-blocking agents[</w:t>
      </w:r>
      <w:r w:rsidR="006D4FF9">
        <w:rPr>
          <w:rFonts w:ascii="Calibri" w:hAnsi="Calibri" w:cs="Melior"/>
        </w:rPr>
        <w:t xml:space="preserve">ATC code: </w:t>
      </w:r>
      <w:r w:rsidRPr="003A747C">
        <w:rPr>
          <w:rFonts w:ascii="Calibri" w:hAnsi="Calibri" w:cs="Melior"/>
        </w:rPr>
        <w:t>C07] and other heart medication [</w:t>
      </w:r>
      <w:r>
        <w:rPr>
          <w:rFonts w:ascii="Calibri" w:hAnsi="Calibri" w:cs="Melior"/>
        </w:rPr>
        <w:t xml:space="preserve">ATC codes: </w:t>
      </w:r>
      <w:r w:rsidRPr="003A747C">
        <w:rPr>
          <w:rFonts w:ascii="Calibri" w:hAnsi="Calibri" w:cs="Melior"/>
        </w:rPr>
        <w:t xml:space="preserve">C01, C02, C03, C04, C05, C08, C09]) was considered. </w:t>
      </w:r>
    </w:p>
    <w:p w:rsidR="00692509" w:rsidRDefault="00692509" w:rsidP="005A67A6">
      <w:pPr>
        <w:autoSpaceDE w:val="0"/>
        <w:autoSpaceDN w:val="0"/>
        <w:adjustRightInd w:val="0"/>
        <w:spacing w:line="360" w:lineRule="auto"/>
        <w:ind w:firstLine="720"/>
        <w:rPr>
          <w:rFonts w:ascii="Calibri" w:hAnsi="Calibri"/>
        </w:rPr>
      </w:pPr>
      <w:r w:rsidRPr="00545984">
        <w:rPr>
          <w:rFonts w:ascii="Calibri" w:hAnsi="Calibri" w:cs="Verdana"/>
          <w:lang w:val="en-GB"/>
        </w:rPr>
        <w:t>Since depression and anxiety may confound the association between biological stress systems and pain</w:t>
      </w:r>
      <w:r>
        <w:rPr>
          <w:rFonts w:ascii="Calibri" w:hAnsi="Calibri" w:cs="Verdana"/>
          <w:noProof/>
          <w:lang w:val="en-GB"/>
        </w:rPr>
        <w:t>[7, 8]</w:t>
      </w:r>
      <w:r w:rsidRPr="00545984">
        <w:rPr>
          <w:rFonts w:ascii="Calibri" w:hAnsi="Calibri" w:cs="Verdana"/>
          <w:lang w:val="en-GB"/>
        </w:rPr>
        <w:t xml:space="preserve">, a </w:t>
      </w:r>
      <w:r w:rsidRPr="00545984">
        <w:rPr>
          <w:rFonts w:ascii="Calibri" w:hAnsi="Calibri"/>
          <w:lang w:val="en-GB"/>
        </w:rPr>
        <w:t xml:space="preserve">third set of covariates included lifetime diagnoses of depressive and/or anxiety disorders and use of antidepressant medication. Both current and prior diagnoses of depressive disorders </w:t>
      </w:r>
      <w:r w:rsidRPr="00545984">
        <w:rPr>
          <w:rFonts w:ascii="Calibri" w:hAnsi="Calibri" w:cs="Melior"/>
          <w:lang w:val="en-GB"/>
        </w:rPr>
        <w:t>(major depressive disorder, dysthymia)</w:t>
      </w:r>
      <w:r w:rsidRPr="00545984">
        <w:rPr>
          <w:rFonts w:ascii="Calibri" w:hAnsi="Calibri"/>
          <w:lang w:val="en-GB"/>
        </w:rPr>
        <w:t xml:space="preserve"> and anxiety disorders </w:t>
      </w:r>
      <w:r w:rsidRPr="00545984">
        <w:rPr>
          <w:rFonts w:ascii="Calibri" w:hAnsi="Calibri" w:cs="Melior"/>
          <w:lang w:val="en-GB"/>
        </w:rPr>
        <w:t xml:space="preserve">(panic disorder, agoraphobia, generalized anxiety disorder, social phobia) </w:t>
      </w:r>
      <w:r w:rsidRPr="00545984">
        <w:rPr>
          <w:rFonts w:ascii="Calibri" w:hAnsi="Calibri"/>
          <w:lang w:val="en-GB"/>
        </w:rPr>
        <w:t>were established with the Composite International Diagnostic Interview(WHO version 2.1) according to DSM-IV criteria</w:t>
      </w:r>
      <w:r>
        <w:rPr>
          <w:rFonts w:ascii="Calibri" w:hAnsi="Calibri"/>
          <w:noProof/>
          <w:lang w:val="en-GB"/>
        </w:rPr>
        <w:t>[9]</w:t>
      </w:r>
      <w:r w:rsidRPr="00545984">
        <w:rPr>
          <w:rFonts w:ascii="Calibri" w:hAnsi="Calibri"/>
          <w:lang w:val="en-GB"/>
        </w:rPr>
        <w:t>. F</w:t>
      </w:r>
      <w:proofErr w:type="spellStart"/>
      <w:r w:rsidRPr="00545984">
        <w:rPr>
          <w:rFonts w:ascii="Calibri" w:hAnsi="Calibri"/>
        </w:rPr>
        <w:t>requent</w:t>
      </w:r>
      <w:proofErr w:type="spellEnd"/>
      <w:r w:rsidRPr="00545984">
        <w:rPr>
          <w:rFonts w:ascii="Calibri" w:hAnsi="Calibri"/>
        </w:rPr>
        <w:t xml:space="preserve"> use</w:t>
      </w:r>
      <w:r>
        <w:rPr>
          <w:rFonts w:ascii="Calibri" w:hAnsi="Calibri"/>
        </w:rPr>
        <w:t xml:space="preserve"> </w:t>
      </w:r>
      <w:r w:rsidRPr="003A747C">
        <w:rPr>
          <w:rFonts w:ascii="Calibri" w:hAnsi="Calibri"/>
        </w:rPr>
        <w:t>(daily or &gt;50% of the time</w:t>
      </w:r>
      <w:r>
        <w:rPr>
          <w:rFonts w:ascii="Calibri" w:hAnsi="Calibri"/>
        </w:rPr>
        <w:t>)</w:t>
      </w:r>
      <w:r w:rsidRPr="00545984">
        <w:rPr>
          <w:rFonts w:ascii="Calibri" w:hAnsi="Calibri"/>
        </w:rPr>
        <w:t xml:space="preserve"> of tricyclic antidepressants (</w:t>
      </w:r>
      <w:r>
        <w:rPr>
          <w:rFonts w:ascii="Calibri" w:hAnsi="Calibri"/>
        </w:rPr>
        <w:t xml:space="preserve">ATC code: </w:t>
      </w:r>
      <w:r w:rsidRPr="00545984">
        <w:rPr>
          <w:rFonts w:ascii="Calibri" w:hAnsi="Calibri"/>
        </w:rPr>
        <w:t>N06AA), selective serotonin reuptake inhibitors (</w:t>
      </w:r>
      <w:r>
        <w:rPr>
          <w:rFonts w:ascii="Calibri" w:hAnsi="Calibri"/>
        </w:rPr>
        <w:t xml:space="preserve">ATC code: </w:t>
      </w:r>
      <w:r w:rsidRPr="00545984">
        <w:rPr>
          <w:rFonts w:ascii="Calibri" w:hAnsi="Calibri"/>
        </w:rPr>
        <w:t>N06AB) and other antidepressant medications (</w:t>
      </w:r>
      <w:r>
        <w:rPr>
          <w:rFonts w:ascii="Calibri" w:hAnsi="Calibri"/>
        </w:rPr>
        <w:t xml:space="preserve">ATC codes: </w:t>
      </w:r>
      <w:r w:rsidRPr="00545984">
        <w:rPr>
          <w:rFonts w:ascii="Calibri" w:hAnsi="Calibri"/>
        </w:rPr>
        <w:t xml:space="preserve">N06AF/AG/AX) was </w:t>
      </w:r>
      <w:r>
        <w:rPr>
          <w:rFonts w:ascii="Calibri" w:hAnsi="Calibri"/>
        </w:rPr>
        <w:t>considered</w:t>
      </w:r>
      <w:r w:rsidRPr="00545984">
        <w:rPr>
          <w:rFonts w:ascii="Calibri" w:hAnsi="Calibri"/>
        </w:rPr>
        <w:t xml:space="preserve">. </w:t>
      </w:r>
    </w:p>
    <w:p w:rsidR="00692509" w:rsidRDefault="00692509" w:rsidP="005A67A6">
      <w:pPr>
        <w:autoSpaceDE w:val="0"/>
        <w:autoSpaceDN w:val="0"/>
        <w:adjustRightInd w:val="0"/>
        <w:spacing w:line="360" w:lineRule="auto"/>
      </w:pPr>
    </w:p>
    <w:p w:rsidR="00692509" w:rsidRPr="00C94792" w:rsidRDefault="00692509" w:rsidP="00C94792">
      <w:pPr>
        <w:spacing w:line="360" w:lineRule="auto"/>
        <w:rPr>
          <w:rFonts w:ascii="Calibri" w:hAnsi="Calibri"/>
          <w:b/>
          <w:noProof/>
        </w:rPr>
      </w:pPr>
      <w:r w:rsidRPr="00C94792">
        <w:rPr>
          <w:rFonts w:ascii="Calibri" w:hAnsi="Calibri"/>
          <w:b/>
          <w:noProof/>
        </w:rPr>
        <w:t>References</w:t>
      </w:r>
    </w:p>
    <w:p w:rsidR="00692509" w:rsidRPr="0015028F" w:rsidRDefault="00692509" w:rsidP="005A67A6">
      <w:pPr>
        <w:tabs>
          <w:tab w:val="right" w:pos="360"/>
          <w:tab w:val="left" w:pos="540"/>
        </w:tabs>
        <w:spacing w:after="240" w:line="360" w:lineRule="auto"/>
        <w:ind w:left="1260" w:hanging="1260"/>
        <w:rPr>
          <w:rFonts w:ascii="Calibri" w:hAnsi="Calibri"/>
          <w:noProof/>
          <w:lang w:val="nl-NL"/>
        </w:rPr>
      </w:pPr>
      <w:r>
        <w:rPr>
          <w:rFonts w:ascii="Calibri" w:hAnsi="Calibri"/>
          <w:noProof/>
        </w:rPr>
        <w:tab/>
        <w:t xml:space="preserve">1. </w:t>
      </w:r>
      <w:r>
        <w:rPr>
          <w:rFonts w:ascii="Calibri" w:hAnsi="Calibri"/>
          <w:noProof/>
        </w:rPr>
        <w:tab/>
        <w:t>Penninx BW, Beekman AT, Smit JH, et al.</w:t>
      </w:r>
      <w:r w:rsidRPr="00D43819">
        <w:rPr>
          <w:rFonts w:ascii="Calibri" w:hAnsi="Calibri"/>
          <w:b/>
          <w:noProof/>
        </w:rPr>
        <w:t xml:space="preserve"> </w:t>
      </w:r>
      <w:r>
        <w:rPr>
          <w:rFonts w:ascii="Calibri" w:hAnsi="Calibri"/>
          <w:noProof/>
        </w:rPr>
        <w:t xml:space="preserve">The Netherlands Study of Depression and Anxiety (NESDA): rationale, objectives and methods. </w:t>
      </w:r>
      <w:r w:rsidRPr="0015028F">
        <w:rPr>
          <w:rFonts w:ascii="Calibri" w:hAnsi="Calibri"/>
          <w:i/>
          <w:noProof/>
          <w:lang w:val="nl-NL"/>
        </w:rPr>
        <w:t>Int J Methods Psychiatr Res</w:t>
      </w:r>
      <w:r w:rsidRPr="0015028F">
        <w:rPr>
          <w:rFonts w:ascii="Calibri" w:hAnsi="Calibri"/>
          <w:noProof/>
          <w:lang w:val="nl-NL"/>
        </w:rPr>
        <w:t xml:space="preserve"> 2008;17</w:t>
      </w:r>
      <w:r w:rsidRPr="0015028F">
        <w:rPr>
          <w:rFonts w:ascii="Calibri" w:hAnsi="Calibri"/>
          <w:b/>
          <w:noProof/>
          <w:lang w:val="nl-NL"/>
        </w:rPr>
        <w:t>:</w:t>
      </w:r>
      <w:r w:rsidR="005C510C" w:rsidRPr="0015028F">
        <w:rPr>
          <w:rFonts w:ascii="Calibri" w:hAnsi="Calibri"/>
          <w:noProof/>
          <w:lang w:val="nl-NL"/>
        </w:rPr>
        <w:t>121-</w:t>
      </w:r>
      <w:r w:rsidRPr="0015028F">
        <w:rPr>
          <w:rFonts w:ascii="Calibri" w:hAnsi="Calibri"/>
          <w:noProof/>
          <w:lang w:val="nl-NL"/>
        </w:rPr>
        <w:t>40.</w:t>
      </w:r>
    </w:p>
    <w:p w:rsidR="00692509" w:rsidRDefault="00692509" w:rsidP="005A67A6">
      <w:pPr>
        <w:tabs>
          <w:tab w:val="right" w:pos="360"/>
          <w:tab w:val="left" w:pos="540"/>
        </w:tabs>
        <w:spacing w:after="240" w:line="360" w:lineRule="auto"/>
        <w:ind w:left="1260" w:hanging="1260"/>
        <w:rPr>
          <w:rFonts w:ascii="Calibri" w:hAnsi="Calibri"/>
          <w:noProof/>
        </w:rPr>
      </w:pPr>
      <w:r w:rsidRPr="0015028F">
        <w:rPr>
          <w:rFonts w:ascii="Calibri" w:hAnsi="Calibri"/>
          <w:noProof/>
          <w:lang w:val="nl-NL"/>
        </w:rPr>
        <w:tab/>
        <w:t xml:space="preserve">2. </w:t>
      </w:r>
      <w:r w:rsidRPr="0015028F">
        <w:rPr>
          <w:rFonts w:ascii="Calibri" w:hAnsi="Calibri"/>
          <w:noProof/>
          <w:lang w:val="nl-NL"/>
        </w:rPr>
        <w:tab/>
        <w:t>Vreeburg SA, Kruijtzer BP, van PJ, et al.</w:t>
      </w:r>
      <w:r w:rsidRPr="0015028F">
        <w:rPr>
          <w:rFonts w:ascii="Calibri" w:hAnsi="Calibri"/>
          <w:b/>
          <w:noProof/>
          <w:lang w:val="nl-NL"/>
        </w:rPr>
        <w:t xml:space="preserve"> </w:t>
      </w:r>
      <w:r>
        <w:rPr>
          <w:rFonts w:ascii="Calibri" w:hAnsi="Calibri"/>
          <w:noProof/>
        </w:rPr>
        <w:t xml:space="preserve">Associations between sociodemographic, sampling and health factors and various salivary cortisol indicators in a large sample without psychopathology. </w:t>
      </w:r>
      <w:r w:rsidRPr="00D43819">
        <w:rPr>
          <w:rFonts w:ascii="Calibri" w:hAnsi="Calibri"/>
          <w:i/>
          <w:noProof/>
        </w:rPr>
        <w:t>Psychoneuroendocrinology</w:t>
      </w:r>
      <w:r>
        <w:rPr>
          <w:rFonts w:ascii="Calibri" w:hAnsi="Calibri"/>
          <w:noProof/>
        </w:rPr>
        <w:t xml:space="preserve"> 2009;34</w:t>
      </w:r>
      <w:r w:rsidRPr="00D43819">
        <w:rPr>
          <w:rFonts w:ascii="Calibri" w:hAnsi="Calibri"/>
          <w:b/>
          <w:noProof/>
        </w:rPr>
        <w:t>:</w:t>
      </w:r>
      <w:r w:rsidR="005C510C">
        <w:rPr>
          <w:rFonts w:ascii="Calibri" w:hAnsi="Calibri"/>
          <w:noProof/>
        </w:rPr>
        <w:t>1109-</w:t>
      </w:r>
      <w:r>
        <w:rPr>
          <w:rFonts w:ascii="Calibri" w:hAnsi="Calibri"/>
          <w:noProof/>
        </w:rPr>
        <w:t>20.</w:t>
      </w:r>
    </w:p>
    <w:p w:rsidR="00C94792" w:rsidRPr="00C94792" w:rsidRDefault="00692509" w:rsidP="00C94792">
      <w:pPr>
        <w:tabs>
          <w:tab w:val="right" w:pos="360"/>
          <w:tab w:val="left" w:pos="540"/>
        </w:tabs>
        <w:spacing w:after="240" w:line="360" w:lineRule="auto"/>
        <w:ind w:left="1260" w:hanging="1260"/>
        <w:rPr>
          <w:noProof/>
        </w:rPr>
      </w:pPr>
      <w:r>
        <w:rPr>
          <w:rFonts w:ascii="Calibri" w:hAnsi="Calibri"/>
          <w:noProof/>
        </w:rPr>
        <w:tab/>
        <w:t xml:space="preserve">3. </w:t>
      </w:r>
      <w:r>
        <w:rPr>
          <w:rFonts w:ascii="Calibri" w:hAnsi="Calibri"/>
          <w:noProof/>
        </w:rPr>
        <w:tab/>
        <w:t>Grossman P and Kollai M</w:t>
      </w:r>
      <w:r w:rsidR="000B1249">
        <w:rPr>
          <w:rFonts w:ascii="Calibri" w:hAnsi="Calibri"/>
          <w:noProof/>
        </w:rPr>
        <w:t>.</w:t>
      </w:r>
      <w:r w:rsidRPr="00D43819">
        <w:rPr>
          <w:rFonts w:ascii="Calibri" w:hAnsi="Calibri"/>
          <w:b/>
          <w:noProof/>
        </w:rPr>
        <w:t xml:space="preserve"> </w:t>
      </w:r>
      <w:r>
        <w:rPr>
          <w:rFonts w:ascii="Calibri" w:hAnsi="Calibri"/>
          <w:noProof/>
        </w:rPr>
        <w:t xml:space="preserve">Respiratory sinus arrhythmia, cardiac vagal tone, and respiration: </w:t>
      </w:r>
      <w:r w:rsidRPr="00C94792">
        <w:rPr>
          <w:noProof/>
        </w:rPr>
        <w:t xml:space="preserve">within- and between-individual relations. </w:t>
      </w:r>
      <w:r w:rsidRPr="00C94792">
        <w:rPr>
          <w:i/>
          <w:noProof/>
        </w:rPr>
        <w:t>Psychophysiology</w:t>
      </w:r>
      <w:r w:rsidRPr="00C94792">
        <w:rPr>
          <w:noProof/>
        </w:rPr>
        <w:t xml:space="preserve"> 1993;30</w:t>
      </w:r>
      <w:r w:rsidRPr="00C94792">
        <w:rPr>
          <w:b/>
          <w:noProof/>
        </w:rPr>
        <w:t>:</w:t>
      </w:r>
      <w:r w:rsidR="005C510C">
        <w:rPr>
          <w:noProof/>
        </w:rPr>
        <w:t>486-</w:t>
      </w:r>
      <w:r w:rsidRPr="00C94792">
        <w:rPr>
          <w:noProof/>
        </w:rPr>
        <w:t>95.</w:t>
      </w:r>
    </w:p>
    <w:p w:rsidR="00692509" w:rsidRPr="00802DF5" w:rsidRDefault="00692509" w:rsidP="00C94792">
      <w:pPr>
        <w:tabs>
          <w:tab w:val="right" w:pos="360"/>
          <w:tab w:val="left" w:pos="540"/>
        </w:tabs>
        <w:spacing w:after="240" w:line="360" w:lineRule="auto"/>
        <w:ind w:left="1260" w:hanging="1260"/>
        <w:rPr>
          <w:noProof/>
        </w:rPr>
      </w:pPr>
      <w:r w:rsidRPr="00C94792">
        <w:rPr>
          <w:noProof/>
        </w:rPr>
        <w:lastRenderedPageBreak/>
        <w:tab/>
        <w:t xml:space="preserve">4. </w:t>
      </w:r>
      <w:r w:rsidRPr="00C94792">
        <w:rPr>
          <w:noProof/>
        </w:rPr>
        <w:tab/>
      </w:r>
      <w:proofErr w:type="spellStart"/>
      <w:r w:rsidR="00C94792" w:rsidRPr="0015028F">
        <w:rPr>
          <w:rFonts w:cs="Times New Roman"/>
        </w:rPr>
        <w:t>Babor</w:t>
      </w:r>
      <w:proofErr w:type="spellEnd"/>
      <w:r w:rsidR="00C94792" w:rsidRPr="0015028F">
        <w:rPr>
          <w:rFonts w:cs="Times New Roman"/>
        </w:rPr>
        <w:t xml:space="preserve"> TF, Higgins-Biddle JC, Saunders JB, </w:t>
      </w:r>
      <w:r w:rsidR="005C510C" w:rsidRPr="0015028F">
        <w:rPr>
          <w:rFonts w:cs="Times New Roman"/>
        </w:rPr>
        <w:t>et al.</w:t>
      </w:r>
      <w:r w:rsidR="00C94792" w:rsidRPr="0015028F">
        <w:rPr>
          <w:rFonts w:cs="Times New Roman"/>
        </w:rPr>
        <w:t xml:space="preserve"> </w:t>
      </w:r>
      <w:r w:rsidR="00C94792" w:rsidRPr="0015028F">
        <w:rPr>
          <w:rFonts w:cs="Times New Roman"/>
          <w:i/>
          <w:iCs/>
        </w:rPr>
        <w:t>The Alcohol Use Disorders</w:t>
      </w:r>
      <w:r w:rsidR="00802DF5" w:rsidRPr="0015028F">
        <w:rPr>
          <w:rFonts w:cs="Times New Roman"/>
          <w:i/>
          <w:iCs/>
        </w:rPr>
        <w:t xml:space="preserve"> </w:t>
      </w:r>
      <w:r w:rsidR="00C94792" w:rsidRPr="0015028F">
        <w:rPr>
          <w:rFonts w:cs="Times New Roman"/>
          <w:i/>
          <w:iCs/>
        </w:rPr>
        <w:t xml:space="preserve">Identification Test: Guidelines for Use in Primary Care. </w:t>
      </w:r>
      <w:r w:rsidR="00D96874" w:rsidRPr="0015028F">
        <w:rPr>
          <w:rFonts w:cs="Times New Roman"/>
        </w:rPr>
        <w:t>Geneva, Switzerland.</w:t>
      </w:r>
      <w:r w:rsidR="00C94792" w:rsidRPr="0015028F">
        <w:rPr>
          <w:rFonts w:cs="Times New Roman"/>
        </w:rPr>
        <w:t xml:space="preserve"> World Health</w:t>
      </w:r>
      <w:r w:rsidR="00802DF5" w:rsidRPr="0015028F">
        <w:rPr>
          <w:rFonts w:cs="Times New Roman"/>
        </w:rPr>
        <w:t xml:space="preserve"> </w:t>
      </w:r>
      <w:r w:rsidR="00D96874" w:rsidRPr="0015028F">
        <w:rPr>
          <w:rFonts w:cs="Times New Roman"/>
        </w:rPr>
        <w:t>Organization:</w:t>
      </w:r>
      <w:r w:rsidR="00C94792" w:rsidRPr="0015028F">
        <w:rPr>
          <w:rFonts w:cs="Times New Roman"/>
        </w:rPr>
        <w:t xml:space="preserve"> 2001.</w:t>
      </w:r>
    </w:p>
    <w:p w:rsidR="00692509" w:rsidRDefault="00692509" w:rsidP="005A67A6">
      <w:pPr>
        <w:tabs>
          <w:tab w:val="right" w:pos="360"/>
          <w:tab w:val="left" w:pos="540"/>
        </w:tabs>
        <w:spacing w:after="240" w:line="360" w:lineRule="auto"/>
        <w:ind w:left="1260" w:hanging="1260"/>
        <w:rPr>
          <w:rFonts w:ascii="Calibri" w:hAnsi="Calibri"/>
          <w:noProof/>
        </w:rPr>
      </w:pPr>
      <w:r>
        <w:rPr>
          <w:rFonts w:ascii="Calibri" w:hAnsi="Calibri"/>
          <w:noProof/>
        </w:rPr>
        <w:tab/>
        <w:t xml:space="preserve">5. </w:t>
      </w:r>
      <w:r>
        <w:rPr>
          <w:rFonts w:ascii="Calibri" w:hAnsi="Calibri"/>
          <w:noProof/>
        </w:rPr>
        <w:tab/>
        <w:t>Ainsworth BE, Bassett DR, Jr., Strath SJ, et al.</w:t>
      </w:r>
      <w:r w:rsidRPr="00D43819">
        <w:rPr>
          <w:rFonts w:ascii="Calibri" w:hAnsi="Calibri"/>
          <w:b/>
          <w:noProof/>
        </w:rPr>
        <w:t xml:space="preserve"> </w:t>
      </w:r>
      <w:r>
        <w:rPr>
          <w:rFonts w:ascii="Calibri" w:hAnsi="Calibri"/>
          <w:noProof/>
        </w:rPr>
        <w:t xml:space="preserve">Comparison of three methods for measuring the time spent in physical activity. </w:t>
      </w:r>
      <w:r w:rsidRPr="00D43819">
        <w:rPr>
          <w:rFonts w:ascii="Calibri" w:hAnsi="Calibri"/>
          <w:i/>
          <w:noProof/>
        </w:rPr>
        <w:t>Med Sci Sports Exerc</w:t>
      </w:r>
      <w:r>
        <w:rPr>
          <w:rFonts w:ascii="Calibri" w:hAnsi="Calibri"/>
          <w:noProof/>
        </w:rPr>
        <w:t xml:space="preserve"> 2000;32</w:t>
      </w:r>
      <w:r w:rsidRPr="00D43819">
        <w:rPr>
          <w:rFonts w:ascii="Calibri" w:hAnsi="Calibri"/>
          <w:b/>
          <w:noProof/>
        </w:rPr>
        <w:t>:</w:t>
      </w:r>
      <w:r>
        <w:rPr>
          <w:rFonts w:ascii="Calibri" w:hAnsi="Calibri"/>
          <w:noProof/>
        </w:rPr>
        <w:t>S457-S464.</w:t>
      </w:r>
    </w:p>
    <w:p w:rsidR="00692509" w:rsidRDefault="00692509" w:rsidP="005A67A6">
      <w:pPr>
        <w:tabs>
          <w:tab w:val="right" w:pos="360"/>
          <w:tab w:val="left" w:pos="540"/>
        </w:tabs>
        <w:spacing w:after="240" w:line="360" w:lineRule="auto"/>
        <w:ind w:left="1260" w:hanging="1260"/>
        <w:rPr>
          <w:rFonts w:ascii="Calibri" w:hAnsi="Calibri"/>
          <w:noProof/>
        </w:rPr>
      </w:pPr>
      <w:r>
        <w:rPr>
          <w:rFonts w:ascii="Calibri" w:hAnsi="Calibri"/>
          <w:noProof/>
        </w:rPr>
        <w:tab/>
        <w:t xml:space="preserve">6. </w:t>
      </w:r>
      <w:r>
        <w:rPr>
          <w:rFonts w:ascii="Calibri" w:hAnsi="Calibri"/>
          <w:noProof/>
        </w:rPr>
        <w:tab/>
        <w:t>World Health Organization Collaborating Center for Drugs Statistics Methodology</w:t>
      </w:r>
      <w:r w:rsidRPr="00D43819">
        <w:rPr>
          <w:rFonts w:ascii="Calibri" w:hAnsi="Calibri"/>
          <w:b/>
          <w:noProof/>
        </w:rPr>
        <w:t xml:space="preserve"> </w:t>
      </w:r>
      <w:r>
        <w:rPr>
          <w:rFonts w:ascii="Calibri" w:hAnsi="Calibri"/>
          <w:noProof/>
        </w:rPr>
        <w:t>Anatomical Therapeutic Chemical (ATC) Classification. Geneva</w:t>
      </w:r>
      <w:r w:rsidR="000B1249">
        <w:rPr>
          <w:rFonts w:ascii="Calibri" w:hAnsi="Calibri"/>
          <w:noProof/>
        </w:rPr>
        <w:t>, Switzerland</w:t>
      </w:r>
      <w:r w:rsidR="00BB1D66">
        <w:rPr>
          <w:rFonts w:ascii="Calibri" w:hAnsi="Calibri"/>
          <w:noProof/>
        </w:rPr>
        <w:t>: 2007.</w:t>
      </w:r>
      <w:r w:rsidR="001B50DF">
        <w:t xml:space="preserve"> [</w:t>
      </w:r>
      <w:r w:rsidR="00BB1D66" w:rsidRPr="00BB1D66">
        <w:rPr>
          <w:rFonts w:ascii="Calibri" w:hAnsi="Calibri"/>
          <w:noProof/>
        </w:rPr>
        <w:t>http://www.whocc.no/atc_ddd_index/</w:t>
      </w:r>
      <w:r w:rsidR="001B50DF">
        <w:rPr>
          <w:rFonts w:ascii="Calibri" w:hAnsi="Calibri"/>
          <w:noProof/>
        </w:rPr>
        <w:t>].</w:t>
      </w:r>
      <w:r w:rsidR="00BB1D66">
        <w:rPr>
          <w:rFonts w:ascii="Calibri" w:hAnsi="Calibri"/>
          <w:noProof/>
        </w:rPr>
        <w:t xml:space="preserve"> Accessed </w:t>
      </w:r>
      <w:r w:rsidR="00C114E4">
        <w:rPr>
          <w:rFonts w:ascii="Calibri" w:hAnsi="Calibri"/>
          <w:noProof/>
        </w:rPr>
        <w:t>January</w:t>
      </w:r>
      <w:r w:rsidR="00BB1D66">
        <w:rPr>
          <w:rFonts w:ascii="Calibri" w:hAnsi="Calibri"/>
          <w:noProof/>
        </w:rPr>
        <w:t xml:space="preserve"> </w:t>
      </w:r>
      <w:r w:rsidR="001B50DF">
        <w:rPr>
          <w:rFonts w:ascii="Calibri" w:hAnsi="Calibri"/>
          <w:noProof/>
        </w:rPr>
        <w:t>2013</w:t>
      </w:r>
      <w:r w:rsidR="00BB1D66">
        <w:rPr>
          <w:rFonts w:ascii="Calibri" w:hAnsi="Calibri"/>
          <w:noProof/>
        </w:rPr>
        <w:t>.</w:t>
      </w:r>
      <w:r>
        <w:rPr>
          <w:rFonts w:ascii="Calibri" w:hAnsi="Calibri"/>
          <w:noProof/>
        </w:rPr>
        <w:t xml:space="preserve"> </w:t>
      </w:r>
    </w:p>
    <w:p w:rsidR="00692509" w:rsidRPr="0015028F" w:rsidRDefault="00692509" w:rsidP="005A67A6">
      <w:pPr>
        <w:tabs>
          <w:tab w:val="right" w:pos="360"/>
          <w:tab w:val="left" w:pos="540"/>
        </w:tabs>
        <w:spacing w:after="240" w:line="360" w:lineRule="auto"/>
        <w:ind w:left="1260" w:hanging="1260"/>
        <w:rPr>
          <w:rFonts w:ascii="Calibri" w:hAnsi="Calibri"/>
          <w:noProof/>
          <w:lang w:val="nl-NL"/>
        </w:rPr>
      </w:pPr>
      <w:r>
        <w:rPr>
          <w:rFonts w:ascii="Calibri" w:hAnsi="Calibri"/>
          <w:noProof/>
        </w:rPr>
        <w:tab/>
        <w:t xml:space="preserve">7. </w:t>
      </w:r>
      <w:r>
        <w:rPr>
          <w:rFonts w:ascii="Calibri" w:hAnsi="Calibri"/>
          <w:noProof/>
        </w:rPr>
        <w:tab/>
        <w:t>Maletic V and Raison CL</w:t>
      </w:r>
      <w:r w:rsidR="00042154">
        <w:rPr>
          <w:rFonts w:ascii="Calibri" w:hAnsi="Calibri"/>
          <w:noProof/>
        </w:rPr>
        <w:t>.</w:t>
      </w:r>
      <w:r w:rsidRPr="00D43819">
        <w:rPr>
          <w:rFonts w:ascii="Calibri" w:hAnsi="Calibri"/>
          <w:b/>
          <w:noProof/>
        </w:rPr>
        <w:t xml:space="preserve"> </w:t>
      </w:r>
      <w:r>
        <w:rPr>
          <w:rFonts w:ascii="Calibri" w:hAnsi="Calibri"/>
          <w:noProof/>
        </w:rPr>
        <w:t xml:space="preserve">Neurobiology of depression, fibromyalgia and neuropathic pain. </w:t>
      </w:r>
      <w:r w:rsidRPr="0015028F">
        <w:rPr>
          <w:rFonts w:ascii="Calibri" w:hAnsi="Calibri"/>
          <w:i/>
          <w:noProof/>
          <w:lang w:val="nl-NL"/>
        </w:rPr>
        <w:t>Front Biosci</w:t>
      </w:r>
      <w:r w:rsidRPr="0015028F">
        <w:rPr>
          <w:rFonts w:ascii="Calibri" w:hAnsi="Calibri"/>
          <w:noProof/>
          <w:lang w:val="nl-NL"/>
        </w:rPr>
        <w:t xml:space="preserve"> 2009;14</w:t>
      </w:r>
      <w:r w:rsidRPr="0015028F">
        <w:rPr>
          <w:rFonts w:ascii="Calibri" w:hAnsi="Calibri"/>
          <w:b/>
          <w:noProof/>
          <w:lang w:val="nl-NL"/>
        </w:rPr>
        <w:t>:</w:t>
      </w:r>
      <w:r w:rsidR="00D96874" w:rsidRPr="0015028F">
        <w:rPr>
          <w:rFonts w:ascii="Calibri" w:hAnsi="Calibri"/>
          <w:noProof/>
          <w:lang w:val="nl-NL"/>
        </w:rPr>
        <w:t>5291-</w:t>
      </w:r>
      <w:r w:rsidRPr="0015028F">
        <w:rPr>
          <w:rFonts w:ascii="Calibri" w:hAnsi="Calibri"/>
          <w:noProof/>
          <w:lang w:val="nl-NL"/>
        </w:rPr>
        <w:t>338.</w:t>
      </w:r>
    </w:p>
    <w:p w:rsidR="00692509" w:rsidRDefault="00692509" w:rsidP="005A67A6">
      <w:pPr>
        <w:tabs>
          <w:tab w:val="right" w:pos="360"/>
          <w:tab w:val="left" w:pos="540"/>
        </w:tabs>
        <w:spacing w:after="240" w:line="360" w:lineRule="auto"/>
        <w:ind w:left="1260" w:hanging="1260"/>
        <w:rPr>
          <w:rFonts w:ascii="Calibri" w:hAnsi="Calibri"/>
          <w:noProof/>
        </w:rPr>
      </w:pPr>
      <w:r w:rsidRPr="0015028F">
        <w:rPr>
          <w:rFonts w:ascii="Calibri" w:hAnsi="Calibri"/>
          <w:noProof/>
          <w:lang w:val="nl-NL"/>
        </w:rPr>
        <w:tab/>
        <w:t xml:space="preserve">8. </w:t>
      </w:r>
      <w:r w:rsidRPr="0015028F">
        <w:rPr>
          <w:rFonts w:ascii="Calibri" w:hAnsi="Calibri"/>
          <w:noProof/>
          <w:lang w:val="nl-NL"/>
        </w:rPr>
        <w:tab/>
        <w:t>Gerrits MM, Oppen PV, van Marwijk HW, et al.</w:t>
      </w:r>
      <w:r w:rsidRPr="0015028F">
        <w:rPr>
          <w:rFonts w:ascii="Calibri" w:hAnsi="Calibri"/>
          <w:b/>
          <w:noProof/>
          <w:lang w:val="nl-NL"/>
        </w:rPr>
        <w:t xml:space="preserve"> </w:t>
      </w:r>
      <w:r>
        <w:rPr>
          <w:rFonts w:ascii="Calibri" w:hAnsi="Calibri"/>
          <w:noProof/>
        </w:rPr>
        <w:t xml:space="preserve">Pain and the onset of depressive and anxiety disorders. </w:t>
      </w:r>
      <w:r w:rsidRPr="00D43819">
        <w:rPr>
          <w:rFonts w:ascii="Calibri" w:hAnsi="Calibri"/>
          <w:i/>
          <w:noProof/>
        </w:rPr>
        <w:t>Pain</w:t>
      </w:r>
      <w:r w:rsidR="00042154">
        <w:rPr>
          <w:rFonts w:ascii="Calibri" w:hAnsi="Calibri"/>
          <w:noProof/>
        </w:rPr>
        <w:t xml:space="preserve"> 2013;155:53-9.</w:t>
      </w:r>
    </w:p>
    <w:p w:rsidR="00692509" w:rsidRDefault="00692509" w:rsidP="005A67A6">
      <w:pPr>
        <w:tabs>
          <w:tab w:val="right" w:pos="360"/>
          <w:tab w:val="left" w:pos="540"/>
        </w:tabs>
        <w:spacing w:after="0" w:line="360" w:lineRule="auto"/>
        <w:ind w:left="1260" w:hanging="1260"/>
        <w:rPr>
          <w:rFonts w:ascii="Calibri" w:hAnsi="Calibri"/>
          <w:noProof/>
        </w:rPr>
      </w:pPr>
      <w:r>
        <w:rPr>
          <w:rFonts w:ascii="Calibri" w:hAnsi="Calibri"/>
          <w:noProof/>
        </w:rPr>
        <w:tab/>
        <w:t xml:space="preserve">9. </w:t>
      </w:r>
      <w:r>
        <w:rPr>
          <w:rFonts w:ascii="Calibri" w:hAnsi="Calibri"/>
          <w:noProof/>
        </w:rPr>
        <w:tab/>
        <w:t>Robins LN, Wing J, Wittchen HU, et al.</w:t>
      </w:r>
      <w:r w:rsidRPr="00D43819">
        <w:rPr>
          <w:rFonts w:ascii="Calibri" w:hAnsi="Calibri"/>
          <w:b/>
          <w:noProof/>
        </w:rPr>
        <w:t xml:space="preserve"> </w:t>
      </w:r>
      <w:r>
        <w:rPr>
          <w:rFonts w:ascii="Calibri" w:hAnsi="Calibri"/>
          <w:noProof/>
        </w:rPr>
        <w:t xml:space="preserve">The Composite International Diagnostic Interview. An epidemiologic Instrument suitable for use in conjunction with different diagnostic systems and in different cultures. </w:t>
      </w:r>
      <w:r w:rsidRPr="00D43819">
        <w:rPr>
          <w:rFonts w:ascii="Calibri" w:hAnsi="Calibri"/>
          <w:i/>
          <w:noProof/>
        </w:rPr>
        <w:t>Arch Gen Psychiatry</w:t>
      </w:r>
      <w:r>
        <w:rPr>
          <w:rFonts w:ascii="Calibri" w:hAnsi="Calibri"/>
          <w:noProof/>
        </w:rPr>
        <w:t xml:space="preserve"> 1988;45</w:t>
      </w:r>
      <w:r w:rsidRPr="00D43819">
        <w:rPr>
          <w:rFonts w:ascii="Calibri" w:hAnsi="Calibri"/>
          <w:b/>
          <w:noProof/>
        </w:rPr>
        <w:t>:</w:t>
      </w:r>
      <w:r w:rsidR="00042154">
        <w:rPr>
          <w:rFonts w:ascii="Calibri" w:hAnsi="Calibri"/>
          <w:noProof/>
        </w:rPr>
        <w:t>1069-</w:t>
      </w:r>
      <w:r>
        <w:rPr>
          <w:rFonts w:ascii="Calibri" w:hAnsi="Calibri"/>
          <w:noProof/>
        </w:rPr>
        <w:t>77.</w:t>
      </w:r>
    </w:p>
    <w:p w:rsidR="00692509" w:rsidRDefault="00692509" w:rsidP="005A67A6">
      <w:pPr>
        <w:tabs>
          <w:tab w:val="right" w:pos="360"/>
          <w:tab w:val="left" w:pos="540"/>
        </w:tabs>
        <w:spacing w:after="0" w:line="360" w:lineRule="auto"/>
        <w:ind w:left="1260" w:hanging="1260"/>
        <w:rPr>
          <w:rFonts w:ascii="Calibri" w:hAnsi="Calibri"/>
          <w:noProof/>
        </w:rPr>
      </w:pPr>
    </w:p>
    <w:p w:rsidR="00692509" w:rsidRDefault="00692509" w:rsidP="005A67A6">
      <w:pPr>
        <w:autoSpaceDE w:val="0"/>
        <w:autoSpaceDN w:val="0"/>
        <w:adjustRightInd w:val="0"/>
        <w:spacing w:line="360" w:lineRule="auto"/>
      </w:pPr>
    </w:p>
    <w:p w:rsidR="00F242C1" w:rsidRDefault="00F242C1"/>
    <w:sectPr w:rsidR="00F242C1" w:rsidSect="00692509">
      <w:pgSz w:w="11906" w:h="16838"/>
      <w:pgMar w:top="851" w:right="1418"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dvP49811">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dvGulliv-R">
    <w:panose1 w:val="00000000000000000000"/>
    <w:charset w:val="00"/>
    <w:family w:val="auto"/>
    <w:notTrueType/>
    <w:pitch w:val="default"/>
    <w:sig w:usb0="00000003" w:usb1="00000000" w:usb2="00000000" w:usb3="00000000" w:csb0="00000001" w:csb1="00000000"/>
  </w:font>
  <w:font w:name="Melior">
    <w:panose1 w:val="00000000000000000000"/>
    <w:charset w:val="00"/>
    <w:family w:val="auto"/>
    <w:notTrueType/>
    <w:pitch w:val="default"/>
    <w:sig w:usb0="00000003" w:usb1="00000000" w:usb2="00000000" w:usb3="00000000" w:csb0="00000001" w:csb1="00000000"/>
  </w:font>
  <w:font w:name="Berkeley-Medium">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0&lt;/Enabled&gt;&lt;ScanUnformatted&gt;1&lt;/ScanUnformatted&gt;&lt;ScanChanges&gt;1&lt;/ScanChanges&gt;&lt;/ENInstantFormat&gt;"/>
  </w:docVars>
  <w:rsids>
    <w:rsidRoot w:val="00692509"/>
    <w:rsid w:val="00042154"/>
    <w:rsid w:val="00056951"/>
    <w:rsid w:val="000B1249"/>
    <w:rsid w:val="0015028F"/>
    <w:rsid w:val="001864B3"/>
    <w:rsid w:val="001B50DF"/>
    <w:rsid w:val="001C788E"/>
    <w:rsid w:val="002E7CCF"/>
    <w:rsid w:val="005C510C"/>
    <w:rsid w:val="00692509"/>
    <w:rsid w:val="006C519D"/>
    <w:rsid w:val="006D4FF9"/>
    <w:rsid w:val="00802DF5"/>
    <w:rsid w:val="008405D8"/>
    <w:rsid w:val="00BB1D66"/>
    <w:rsid w:val="00C114E4"/>
    <w:rsid w:val="00C66A9C"/>
    <w:rsid w:val="00C94792"/>
    <w:rsid w:val="00D2162A"/>
    <w:rsid w:val="00D80F14"/>
    <w:rsid w:val="00D96874"/>
    <w:rsid w:val="00E14752"/>
    <w:rsid w:val="00F242C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92509"/>
    <w:rPr>
      <w:lang w:val="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92509"/>
    <w:rPr>
      <w:color w:val="0000FF"/>
      <w:u w:val="single"/>
    </w:rPr>
  </w:style>
  <w:style w:type="character" w:styleId="Verwijzingopmerking">
    <w:name w:val="annotation reference"/>
    <w:basedOn w:val="Standaardalinea-lettertype"/>
    <w:uiPriority w:val="99"/>
    <w:semiHidden/>
    <w:unhideWhenUsed/>
    <w:rsid w:val="00692509"/>
    <w:rPr>
      <w:sz w:val="16"/>
      <w:szCs w:val="16"/>
    </w:rPr>
  </w:style>
  <w:style w:type="paragraph" w:styleId="Tekstopmerking">
    <w:name w:val="annotation text"/>
    <w:basedOn w:val="Standaard"/>
    <w:link w:val="TekstopmerkingChar"/>
    <w:uiPriority w:val="99"/>
    <w:semiHidden/>
    <w:unhideWhenUsed/>
    <w:rsid w:val="0069250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692509"/>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692509"/>
    <w:rPr>
      <w:b/>
      <w:bCs/>
    </w:rPr>
  </w:style>
  <w:style w:type="character" w:customStyle="1" w:styleId="OnderwerpvanopmerkingChar">
    <w:name w:val="Onderwerp van opmerking Char"/>
    <w:basedOn w:val="TekstopmerkingChar"/>
    <w:link w:val="Onderwerpvanopmerking"/>
    <w:uiPriority w:val="99"/>
    <w:semiHidden/>
    <w:rsid w:val="00692509"/>
    <w:rPr>
      <w:b/>
      <w:bCs/>
      <w:sz w:val="20"/>
      <w:szCs w:val="20"/>
      <w:lang w:val="en-US"/>
    </w:rPr>
  </w:style>
  <w:style w:type="paragraph" w:styleId="Ballontekst">
    <w:name w:val="Balloon Text"/>
    <w:basedOn w:val="Standaard"/>
    <w:link w:val="BallontekstChar"/>
    <w:uiPriority w:val="99"/>
    <w:semiHidden/>
    <w:unhideWhenUsed/>
    <w:rsid w:val="0069250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92509"/>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92509"/>
    <w:rPr>
      <w:lang w:val="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92509"/>
    <w:rPr>
      <w:color w:val="0000FF"/>
      <w:u w:val="single"/>
    </w:rPr>
  </w:style>
  <w:style w:type="character" w:styleId="Verwijzingopmerking">
    <w:name w:val="annotation reference"/>
    <w:basedOn w:val="Standaardalinea-lettertype"/>
    <w:uiPriority w:val="99"/>
    <w:semiHidden/>
    <w:unhideWhenUsed/>
    <w:rsid w:val="00692509"/>
    <w:rPr>
      <w:sz w:val="16"/>
      <w:szCs w:val="16"/>
    </w:rPr>
  </w:style>
  <w:style w:type="paragraph" w:styleId="Tekstopmerking">
    <w:name w:val="annotation text"/>
    <w:basedOn w:val="Standaard"/>
    <w:link w:val="TekstopmerkingChar"/>
    <w:uiPriority w:val="99"/>
    <w:semiHidden/>
    <w:unhideWhenUsed/>
    <w:rsid w:val="0069250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692509"/>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692509"/>
    <w:rPr>
      <w:b/>
      <w:bCs/>
    </w:rPr>
  </w:style>
  <w:style w:type="character" w:customStyle="1" w:styleId="OnderwerpvanopmerkingChar">
    <w:name w:val="Onderwerp van opmerking Char"/>
    <w:basedOn w:val="TekstopmerkingChar"/>
    <w:link w:val="Onderwerpvanopmerking"/>
    <w:uiPriority w:val="99"/>
    <w:semiHidden/>
    <w:rsid w:val="00692509"/>
    <w:rPr>
      <w:b/>
      <w:bCs/>
      <w:sz w:val="20"/>
      <w:szCs w:val="20"/>
      <w:lang w:val="en-US"/>
    </w:rPr>
  </w:style>
  <w:style w:type="paragraph" w:styleId="Ballontekst">
    <w:name w:val="Balloon Text"/>
    <w:basedOn w:val="Standaard"/>
    <w:link w:val="BallontekstChar"/>
    <w:uiPriority w:val="99"/>
    <w:semiHidden/>
    <w:unhideWhenUsed/>
    <w:rsid w:val="0069250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92509"/>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3</Pages>
  <Words>989</Words>
  <Characters>5444</Characters>
  <Application>Microsoft Office Word</Application>
  <DocSecurity>0</DocSecurity>
  <Lines>45</Lines>
  <Paragraphs>12</Paragraphs>
  <ScaleCrop>false</ScaleCrop>
  <Company>GGZinGeest</Company>
  <LinksUpToDate>false</LinksUpToDate>
  <CharactersWithSpaces>6421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elleng</dc:creator>
  <cp:lastModifiedBy>elleng</cp:lastModifiedBy>
  <cp:revision>22</cp:revision>
  <dcterms:created xsi:type="dcterms:W3CDTF">2014-12-16T15:39:00Z</dcterms:created>
  <dcterms:modified xsi:type="dcterms:W3CDTF">2015-11-11T15:47:00Z</dcterms:modified>
</cp:coreProperties>
</file>